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6D30" w14:textId="46645094" w:rsidR="00F152DC" w:rsidRPr="002D52A1" w:rsidRDefault="00A6081D" w:rsidP="00A6081D">
      <w:pPr>
        <w:pStyle w:val="Pagedecouverture"/>
        <w:rPr>
          <w:noProof/>
        </w:rPr>
      </w:pPr>
      <w:r>
        <w:rPr>
          <w:noProof/>
        </w:rPr>
        <w:pict w14:anchorId="60CF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92B453E-DCA6-4CAE-870E-4A40BFB1CC22" style="width:455.25pt;height:383.25pt">
            <v:imagedata r:id="rId11" o:title=""/>
          </v:shape>
        </w:pict>
      </w:r>
    </w:p>
    <w:p w14:paraId="4B74A241" w14:textId="77777777" w:rsidR="00F152DC" w:rsidRPr="002D52A1" w:rsidRDefault="00F152DC" w:rsidP="00F152DC">
      <w:pPr>
        <w:rPr>
          <w:noProof/>
        </w:rPr>
        <w:sectPr w:rsidR="00F152DC" w:rsidRPr="002D52A1" w:rsidSect="00A6081D">
          <w:footerReference w:type="default" r:id="rId12"/>
          <w:pgSz w:w="11907" w:h="16839"/>
          <w:pgMar w:top="1134" w:right="1417" w:bottom="1134" w:left="1417" w:header="709" w:footer="709" w:gutter="0"/>
          <w:pgNumType w:start="0"/>
          <w:cols w:space="720"/>
          <w:docGrid w:linePitch="360"/>
        </w:sectPr>
      </w:pPr>
    </w:p>
    <w:p w14:paraId="54816CF5" w14:textId="77777777" w:rsidR="00F152DC" w:rsidRPr="002D52A1" w:rsidRDefault="00F152DC" w:rsidP="00D045D9">
      <w:pPr>
        <w:pStyle w:val="Exposdesmotifstitre"/>
        <w:rPr>
          <w:noProof/>
        </w:rPr>
      </w:pPr>
      <w:bookmarkStart w:id="0" w:name="_GoBack"/>
      <w:bookmarkEnd w:id="0"/>
      <w:r w:rsidRPr="002D52A1">
        <w:rPr>
          <w:noProof/>
        </w:rPr>
        <w:lastRenderedPageBreak/>
        <w:t>DÔVODOVÁ SPRÁVA</w:t>
      </w:r>
    </w:p>
    <w:p w14:paraId="043DC893" w14:textId="77777777" w:rsidR="00F152DC" w:rsidRPr="002D52A1" w:rsidRDefault="4EAF49A8" w:rsidP="61926C97">
      <w:pPr>
        <w:ind w:left="850" w:hanging="850"/>
        <w:rPr>
          <w:noProof/>
        </w:rPr>
      </w:pPr>
      <w:r w:rsidRPr="002D52A1">
        <w:rPr>
          <w:b/>
          <w:smallCaps/>
          <w:noProof/>
        </w:rPr>
        <w:t>1.</w:t>
      </w:r>
      <w:r w:rsidRPr="002D52A1">
        <w:rPr>
          <w:noProof/>
        </w:rPr>
        <w:tab/>
      </w:r>
      <w:r w:rsidRPr="002D52A1">
        <w:rPr>
          <w:b/>
          <w:smallCaps/>
          <w:noProof/>
        </w:rPr>
        <w:t>KONTEXT NÁVRHU</w:t>
      </w:r>
    </w:p>
    <w:p w14:paraId="51447383" w14:textId="5E60CCE6" w:rsidR="26DEF6C3" w:rsidRPr="002D52A1" w:rsidRDefault="26DEF6C3" w:rsidP="005C7190">
      <w:pPr>
        <w:pStyle w:val="Bullet0"/>
        <w:numPr>
          <w:ilvl w:val="0"/>
          <w:numId w:val="25"/>
        </w:numPr>
        <w:rPr>
          <w:noProof/>
        </w:rPr>
      </w:pPr>
      <w:r w:rsidRPr="002D52A1">
        <w:rPr>
          <w:noProof/>
        </w:rPr>
        <w:t>Dôvody</w:t>
      </w:r>
      <w:r w:rsidR="002D52A1">
        <w:rPr>
          <w:noProof/>
        </w:rPr>
        <w:t xml:space="preserve"> a </w:t>
      </w:r>
      <w:r w:rsidRPr="002D52A1">
        <w:rPr>
          <w:noProof/>
        </w:rPr>
        <w:t>ciele návrhu</w:t>
      </w:r>
    </w:p>
    <w:p w14:paraId="4FAEB011" w14:textId="3536A729" w:rsidR="008C4FA0" w:rsidRPr="002D52A1" w:rsidRDefault="30770F93" w:rsidP="00AB380C">
      <w:pPr>
        <w:rPr>
          <w:noProof/>
        </w:rPr>
      </w:pPr>
      <w:r w:rsidRPr="002D52A1">
        <w:rPr>
          <w:noProof/>
        </w:rPr>
        <w:t>Cieľom tohto návrhu je umožniť EÚ poskytnúť ďalšiu výnimočnú makrofinančnú pomoc Ukrajine vo výške 5 mld. EUR vo forme úverov</w:t>
      </w:r>
      <w:r w:rsidR="002D52A1">
        <w:rPr>
          <w:noProof/>
        </w:rPr>
        <w:t xml:space="preserve"> a </w:t>
      </w:r>
      <w:r w:rsidRPr="002D52A1">
        <w:rPr>
          <w:noProof/>
        </w:rPr>
        <w:t>zároveň zabezpečiť</w:t>
      </w:r>
      <w:r w:rsidR="002D52A1">
        <w:rPr>
          <w:noProof/>
        </w:rPr>
        <w:t xml:space="preserve"> v </w:t>
      </w:r>
      <w:r w:rsidRPr="002D52A1">
        <w:rPr>
          <w:noProof/>
        </w:rPr>
        <w:t>rozpočte EÚ prostriedky na absorbovanie rizika strát</w:t>
      </w:r>
      <w:r w:rsidR="002D52A1">
        <w:rPr>
          <w:noProof/>
        </w:rPr>
        <w:t xml:space="preserve"> z </w:t>
      </w:r>
      <w:r w:rsidRPr="002D52A1">
        <w:rPr>
          <w:noProof/>
        </w:rPr>
        <w:t>týchto dodatočných úverov, ako aj</w:t>
      </w:r>
      <w:r w:rsidR="002D52A1">
        <w:rPr>
          <w:noProof/>
        </w:rPr>
        <w:t xml:space="preserve"> z </w:t>
      </w:r>
      <w:r w:rsidRPr="002D52A1">
        <w:rPr>
          <w:noProof/>
        </w:rPr>
        <w:t>úveru makrofinančnej pomoci vo výške 1 mld. EUR, ktorý bol schválený 12</w:t>
      </w:r>
      <w:r w:rsidR="002D52A1">
        <w:rPr>
          <w:noProof/>
        </w:rPr>
        <w:t>. júla</w:t>
      </w:r>
      <w:r w:rsidRPr="002D52A1">
        <w:rPr>
          <w:noProof/>
        </w:rPr>
        <w:t xml:space="preserve"> 2022. Ďalším cieľom tohto návrhu je rozšíriť rovnakú rozpočtovú ochranu na vyplácanie už podpísaných úverov</w:t>
      </w:r>
      <w:r w:rsidR="002D52A1">
        <w:rPr>
          <w:noProof/>
        </w:rPr>
        <w:t xml:space="preserve"> v </w:t>
      </w:r>
      <w:r w:rsidRPr="002D52A1">
        <w:rPr>
          <w:noProof/>
        </w:rPr>
        <w:t>rámci mandátu na poskytovanie vonkajších úverov (ELM) ukrajinským orgánom</w:t>
      </w:r>
      <w:r w:rsidR="002D52A1">
        <w:rPr>
          <w:noProof/>
        </w:rPr>
        <w:t xml:space="preserve"> a </w:t>
      </w:r>
      <w:r w:rsidRPr="002D52A1">
        <w:rPr>
          <w:noProof/>
        </w:rPr>
        <w:t>ukrajinským štátom vlastneným subjektom po 15. júli 2022.</w:t>
      </w:r>
    </w:p>
    <w:p w14:paraId="41637F02" w14:textId="60AE47BD" w:rsidR="61926C97" w:rsidRPr="002D52A1" w:rsidRDefault="28D1E4D9" w:rsidP="007F0B43">
      <w:pPr>
        <w:pStyle w:val="Bullet0"/>
        <w:rPr>
          <w:rFonts w:eastAsiaTheme="minorEastAsia"/>
          <w:noProof/>
          <w:szCs w:val="24"/>
        </w:rPr>
      </w:pPr>
      <w:r w:rsidRPr="002D52A1">
        <w:rPr>
          <w:noProof/>
        </w:rPr>
        <w:t>Všeobecný kontext</w:t>
      </w:r>
    </w:p>
    <w:p w14:paraId="033682F0" w14:textId="77EE9701" w:rsidR="002D52A1" w:rsidRPr="002D52A1" w:rsidRDefault="5103E2AB" w:rsidP="61926C97">
      <w:pPr>
        <w:rPr>
          <w:noProof/>
        </w:rPr>
      </w:pPr>
      <w:r w:rsidRPr="002D52A1">
        <w:rPr>
          <w:noProof/>
        </w:rPr>
        <w:t>Podpora EÚ Ukrajine je zakotvená</w:t>
      </w:r>
      <w:r w:rsidR="002D52A1">
        <w:rPr>
          <w:noProof/>
        </w:rPr>
        <w:t xml:space="preserve"> v </w:t>
      </w:r>
      <w:r w:rsidRPr="002D52A1">
        <w:rPr>
          <w:noProof/>
        </w:rPr>
        <w:t>silných dlhodobých vzťahoch. Ukrajina rozvíja od roku 2014 silné partnerstvo</w:t>
      </w:r>
      <w:r w:rsidR="002D52A1">
        <w:rPr>
          <w:noProof/>
        </w:rPr>
        <w:t xml:space="preserve"> s </w:t>
      </w:r>
      <w:r w:rsidRPr="002D52A1">
        <w:rPr>
          <w:noProof/>
        </w:rPr>
        <w:t>EÚ, ktoré presahuje rámec jednoduchej dvojstrannej spolupráce</w:t>
      </w:r>
      <w:r w:rsidR="002D52A1">
        <w:rPr>
          <w:noProof/>
        </w:rPr>
        <w:t xml:space="preserve"> a </w:t>
      </w:r>
      <w:r w:rsidRPr="002D52A1">
        <w:rPr>
          <w:noProof/>
        </w:rPr>
        <w:t>smeruje</w:t>
      </w:r>
      <w:r w:rsidR="002D52A1">
        <w:rPr>
          <w:noProof/>
        </w:rPr>
        <w:t xml:space="preserve"> k </w:t>
      </w:r>
      <w:r w:rsidRPr="002D52A1">
        <w:rPr>
          <w:noProof/>
        </w:rPr>
        <w:t>postupnému politickému pridruženiu</w:t>
      </w:r>
      <w:r w:rsidR="002D52A1">
        <w:rPr>
          <w:noProof/>
        </w:rPr>
        <w:t xml:space="preserve"> a </w:t>
      </w:r>
      <w:r w:rsidRPr="002D52A1">
        <w:rPr>
          <w:noProof/>
        </w:rPr>
        <w:t>hospodárskej integrácii. Dohoda</w:t>
      </w:r>
      <w:r w:rsidR="002D52A1">
        <w:rPr>
          <w:noProof/>
        </w:rPr>
        <w:t xml:space="preserve"> o </w:t>
      </w:r>
      <w:r w:rsidRPr="002D52A1">
        <w:rPr>
          <w:noProof/>
        </w:rPr>
        <w:t>pridružení medzi EÚ</w:t>
      </w:r>
      <w:r w:rsidR="002D52A1">
        <w:rPr>
          <w:noProof/>
        </w:rPr>
        <w:t xml:space="preserve"> a </w:t>
      </w:r>
      <w:r w:rsidRPr="002D52A1">
        <w:rPr>
          <w:noProof/>
        </w:rPr>
        <w:t>Ukrajinou, ktorá nadobudla platnosť 1</w:t>
      </w:r>
      <w:r w:rsidR="002D52A1">
        <w:rPr>
          <w:noProof/>
        </w:rPr>
        <w:t>. septembra</w:t>
      </w:r>
      <w:r w:rsidRPr="002D52A1">
        <w:rPr>
          <w:noProof/>
        </w:rPr>
        <w:t xml:space="preserve"> 2017</w:t>
      </w:r>
      <w:r w:rsidR="002D52A1">
        <w:rPr>
          <w:noProof/>
        </w:rPr>
        <w:t xml:space="preserve"> a </w:t>
      </w:r>
      <w:r w:rsidRPr="002D52A1">
        <w:rPr>
          <w:noProof/>
        </w:rPr>
        <w:t>zahŕňa prehĺbenú</w:t>
      </w:r>
      <w:r w:rsidR="002D52A1">
        <w:rPr>
          <w:noProof/>
        </w:rPr>
        <w:t xml:space="preserve"> a </w:t>
      </w:r>
      <w:r w:rsidRPr="002D52A1">
        <w:rPr>
          <w:noProof/>
        </w:rPr>
        <w:t>komplexnú zónu voľného obchodu (DCFTA), je hlavným nástrojom na zblíženie Ukrajiny</w:t>
      </w:r>
      <w:r w:rsidR="002D52A1">
        <w:rPr>
          <w:noProof/>
        </w:rPr>
        <w:t xml:space="preserve"> a </w:t>
      </w:r>
      <w:r w:rsidRPr="002D52A1">
        <w:rPr>
          <w:noProof/>
        </w:rPr>
        <w:t>EÚ. Okrem podpory hlbších politických väzieb, silnejších hospodárskych väzieb</w:t>
      </w:r>
      <w:r w:rsidR="002D52A1">
        <w:rPr>
          <w:noProof/>
        </w:rPr>
        <w:t xml:space="preserve"> a </w:t>
      </w:r>
      <w:r w:rsidRPr="002D52A1">
        <w:rPr>
          <w:noProof/>
        </w:rPr>
        <w:t>dodržiavania spoločných hodnôt dohoda poskytla pevný rámec na vykonávanie ambiciózneho programu reforiem zameraného na boj proti korupcii, nezávislý systém súdnictva, právny štát</w:t>
      </w:r>
      <w:r w:rsidR="002D52A1">
        <w:rPr>
          <w:noProof/>
        </w:rPr>
        <w:t xml:space="preserve"> a </w:t>
      </w:r>
      <w:r w:rsidRPr="002D52A1">
        <w:rPr>
          <w:noProof/>
        </w:rPr>
        <w:t>lepšie podnikateľské prostredie. EÚ preukazuje nepretržitú podporu významným štrukturálnym reformám na Ukrajine, ktoré majú zásadný význam pre prilákanie investícií, zvýšenie produktivity</w:t>
      </w:r>
      <w:r w:rsidR="002D52A1">
        <w:rPr>
          <w:noProof/>
        </w:rPr>
        <w:t xml:space="preserve"> a </w:t>
      </w:r>
      <w:r w:rsidRPr="002D52A1">
        <w:rPr>
          <w:noProof/>
        </w:rPr>
        <w:t>zvýšenie životnej úrovne</w:t>
      </w:r>
      <w:r w:rsidR="002D52A1">
        <w:rPr>
          <w:noProof/>
        </w:rPr>
        <w:t xml:space="preserve"> v </w:t>
      </w:r>
      <w:r w:rsidRPr="002D52A1">
        <w:rPr>
          <w:noProof/>
        </w:rPr>
        <w:t>strednodobom</w:t>
      </w:r>
      <w:r w:rsidR="002D52A1">
        <w:rPr>
          <w:noProof/>
        </w:rPr>
        <w:t xml:space="preserve"> a </w:t>
      </w:r>
      <w:r w:rsidRPr="002D52A1">
        <w:rPr>
          <w:noProof/>
        </w:rPr>
        <w:t>dlhodobejšom horizonte. Po podaní žiadosti</w:t>
      </w:r>
      <w:r w:rsidR="002D52A1">
        <w:rPr>
          <w:noProof/>
        </w:rPr>
        <w:t xml:space="preserve"> o </w:t>
      </w:r>
      <w:r w:rsidRPr="002D52A1">
        <w:rPr>
          <w:noProof/>
        </w:rPr>
        <w:t>členstvo</w:t>
      </w:r>
      <w:r w:rsidR="002D52A1">
        <w:rPr>
          <w:noProof/>
        </w:rPr>
        <w:t xml:space="preserve"> v </w:t>
      </w:r>
      <w:r w:rsidRPr="002D52A1">
        <w:rPr>
          <w:noProof/>
        </w:rPr>
        <w:t>EÚ</w:t>
      </w:r>
      <w:r w:rsidR="002D52A1">
        <w:rPr>
          <w:noProof/>
        </w:rPr>
        <w:t xml:space="preserve"> a </w:t>
      </w:r>
      <w:r w:rsidRPr="002D52A1">
        <w:rPr>
          <w:noProof/>
        </w:rPr>
        <w:t>priznaní štatútu kandidátskej krajiny sa bude spolupráca</w:t>
      </w:r>
      <w:r w:rsidR="002D52A1">
        <w:rPr>
          <w:noProof/>
        </w:rPr>
        <w:t xml:space="preserve"> s </w:t>
      </w:r>
      <w:r w:rsidRPr="002D52A1">
        <w:rPr>
          <w:noProof/>
        </w:rPr>
        <w:t>Ukrajinou ďalej prehlbovať, keďže krajina sa vydá na svoju európsku cestu</w:t>
      </w:r>
      <w:r w:rsidRPr="002D52A1">
        <w:rPr>
          <w:rStyle w:val="FootnoteReference"/>
          <w:rFonts w:eastAsia="Times New Roman"/>
          <w:noProof/>
        </w:rPr>
        <w:footnoteReference w:id="2"/>
      </w:r>
      <w:r w:rsidR="002D52A1" w:rsidRPr="002D52A1">
        <w:rPr>
          <w:noProof/>
        </w:rPr>
        <w:t>.</w:t>
      </w:r>
    </w:p>
    <w:p w14:paraId="70EA8046" w14:textId="669E48FA" w:rsidR="61926C97" w:rsidRPr="002D52A1" w:rsidRDefault="42D736E0" w:rsidP="22327288">
      <w:pPr>
        <w:rPr>
          <w:noProof/>
        </w:rPr>
      </w:pPr>
      <w:r w:rsidRPr="002D52A1">
        <w:rPr>
          <w:noProof/>
        </w:rPr>
        <w:t>Dlhodobý hospodársky rozvoj Ukrajiny</w:t>
      </w:r>
      <w:r w:rsidR="002D52A1">
        <w:rPr>
          <w:noProof/>
        </w:rPr>
        <w:t xml:space="preserve"> a </w:t>
      </w:r>
      <w:r w:rsidRPr="002D52A1">
        <w:rPr>
          <w:noProof/>
        </w:rPr>
        <w:t>jej zameranie na reformnú orientáciu čelia obrovskej výzve, odkedy Rusko 24</w:t>
      </w:r>
      <w:r w:rsidR="002D52A1">
        <w:rPr>
          <w:noProof/>
        </w:rPr>
        <w:t>. februára</w:t>
      </w:r>
      <w:r w:rsidRPr="002D52A1">
        <w:rPr>
          <w:noProof/>
        </w:rPr>
        <w:t xml:space="preserve"> 2022 napadlo krajinu</w:t>
      </w:r>
      <w:r w:rsidR="002D52A1">
        <w:rPr>
          <w:noProof/>
        </w:rPr>
        <w:t xml:space="preserve"> v </w:t>
      </w:r>
      <w:r w:rsidRPr="002D52A1">
        <w:rPr>
          <w:noProof/>
        </w:rPr>
        <w:t>bezprecedentnom akte neodôvodnenej</w:t>
      </w:r>
      <w:r w:rsidR="002D52A1">
        <w:rPr>
          <w:noProof/>
        </w:rPr>
        <w:t xml:space="preserve"> a </w:t>
      </w:r>
      <w:r w:rsidRPr="002D52A1">
        <w:rPr>
          <w:noProof/>
        </w:rPr>
        <w:t>nevyprovokovanej agresie. Okrem ľudského utrpenia spôsobila prebiehajúca vojenská agresia Ruska voči Ukrajine obrovské škody na fyzickej infraštruktúre (cesty, mosty, továrne atď.)</w:t>
      </w:r>
      <w:r w:rsidR="002D52A1">
        <w:rPr>
          <w:noProof/>
        </w:rPr>
        <w:t xml:space="preserve"> a </w:t>
      </w:r>
      <w:r w:rsidRPr="002D52A1">
        <w:rPr>
          <w:noProof/>
        </w:rPr>
        <w:t>na obytných</w:t>
      </w:r>
      <w:r w:rsidR="002D52A1">
        <w:rPr>
          <w:noProof/>
        </w:rPr>
        <w:t xml:space="preserve"> a </w:t>
      </w:r>
      <w:r w:rsidRPr="002D52A1">
        <w:rPr>
          <w:noProof/>
        </w:rPr>
        <w:t>obecných budovách (bytové jednotky, školy, nemocnice atď.). Boje takisto spôsobili masívny exodus obyvateľov, pri ktorom bolo viac ako 8 miliónov ľudí vnútorne vysídlených</w:t>
      </w:r>
      <w:r w:rsidR="002D52A1">
        <w:rPr>
          <w:noProof/>
        </w:rPr>
        <w:t xml:space="preserve"> a </w:t>
      </w:r>
      <w:r w:rsidRPr="002D52A1">
        <w:rPr>
          <w:noProof/>
        </w:rPr>
        <w:t>viac ako 6 miliónov utieklo. Odhady celkového vplyvu na hospodárstvo, pokiaľ ide</w:t>
      </w:r>
      <w:r w:rsidR="002D52A1">
        <w:rPr>
          <w:noProof/>
        </w:rPr>
        <w:t xml:space="preserve"> o </w:t>
      </w:r>
      <w:r w:rsidRPr="002D52A1">
        <w:rPr>
          <w:noProof/>
        </w:rPr>
        <w:t>stratu produkcie</w:t>
      </w:r>
      <w:r w:rsidR="002D52A1">
        <w:rPr>
          <w:noProof/>
        </w:rPr>
        <w:t xml:space="preserve"> v </w:t>
      </w:r>
      <w:r w:rsidRPr="002D52A1">
        <w:rPr>
          <w:noProof/>
        </w:rPr>
        <w:t>roku 2022</w:t>
      </w:r>
      <w:r w:rsidR="002D52A1">
        <w:rPr>
          <w:noProof/>
        </w:rPr>
        <w:t xml:space="preserve"> a </w:t>
      </w:r>
      <w:r w:rsidRPr="002D52A1">
        <w:rPr>
          <w:noProof/>
        </w:rPr>
        <w:t>ušlú budúcu výrobu</w:t>
      </w:r>
      <w:r w:rsidR="002D52A1">
        <w:rPr>
          <w:noProof/>
        </w:rPr>
        <w:t xml:space="preserve"> v </w:t>
      </w:r>
      <w:r w:rsidRPr="002D52A1">
        <w:rPr>
          <w:noProof/>
        </w:rPr>
        <w:t>dôsledku zničenia kapitálu</w:t>
      </w:r>
      <w:r w:rsidR="002D52A1">
        <w:rPr>
          <w:noProof/>
        </w:rPr>
        <w:t xml:space="preserve"> a </w:t>
      </w:r>
      <w:r w:rsidRPr="002D52A1">
        <w:rPr>
          <w:noProof/>
        </w:rPr>
        <w:t>migrácie pracovnej sily, sa pohybujú</w:t>
      </w:r>
      <w:r w:rsidR="002D52A1">
        <w:rPr>
          <w:noProof/>
        </w:rPr>
        <w:t xml:space="preserve"> v </w:t>
      </w:r>
      <w:r w:rsidRPr="002D52A1">
        <w:rPr>
          <w:noProof/>
        </w:rPr>
        <w:t>stovkách miliárd. Očakáva sa, že len</w:t>
      </w:r>
      <w:r w:rsidR="002D52A1">
        <w:rPr>
          <w:noProof/>
        </w:rPr>
        <w:t xml:space="preserve"> v </w:t>
      </w:r>
      <w:r w:rsidRPr="002D52A1">
        <w:rPr>
          <w:noProof/>
        </w:rPr>
        <w:t>roku 2022 klesne ukrajinské HDP</w:t>
      </w:r>
      <w:r w:rsidR="002D52A1">
        <w:rPr>
          <w:noProof/>
        </w:rPr>
        <w:t xml:space="preserve"> o </w:t>
      </w:r>
      <w:r w:rsidRPr="002D52A1">
        <w:rPr>
          <w:noProof/>
        </w:rPr>
        <w:t>30</w:t>
      </w:r>
      <w:r w:rsidR="002D52A1">
        <w:rPr>
          <w:noProof/>
        </w:rPr>
        <w:t> %</w:t>
      </w:r>
      <w:r w:rsidRPr="002D52A1">
        <w:rPr>
          <w:noProof/>
        </w:rPr>
        <w:t xml:space="preserve"> až 50</w:t>
      </w:r>
      <w:r w:rsidR="002D52A1">
        <w:rPr>
          <w:noProof/>
        </w:rPr>
        <w:t> %</w:t>
      </w:r>
      <w:r w:rsidRPr="002D52A1">
        <w:rPr>
          <w:noProof/>
        </w:rPr>
        <w:t>, čo by okrem zničenia fyzického kapitálu znamenalo ďalšiu stratu vo výške viac ako 100 mld. EUR.</w:t>
      </w:r>
    </w:p>
    <w:p w14:paraId="6F47F649" w14:textId="5E8D3A2F" w:rsidR="2FEB44AC" w:rsidRPr="002D52A1" w:rsidRDefault="0FA07279" w:rsidP="22327288">
      <w:pPr>
        <w:rPr>
          <w:noProof/>
        </w:rPr>
      </w:pPr>
      <w:r w:rsidRPr="002D52A1">
        <w:rPr>
          <w:noProof/>
        </w:rPr>
        <w:t>Okrem toho, že ruská vojenská agresia voči Ukrajine spôsobila rozsiahle hospodárske škody, ukrajinský štát</w:t>
      </w:r>
      <w:r w:rsidR="002D52A1">
        <w:rPr>
          <w:noProof/>
        </w:rPr>
        <w:t xml:space="preserve"> v </w:t>
      </w:r>
      <w:r w:rsidRPr="002D52A1">
        <w:rPr>
          <w:noProof/>
        </w:rPr>
        <w:t>dôsledku nej prišiel</w:t>
      </w:r>
      <w:r w:rsidR="002D52A1">
        <w:rPr>
          <w:noProof/>
        </w:rPr>
        <w:t xml:space="preserve"> o </w:t>
      </w:r>
      <w:r w:rsidRPr="002D52A1">
        <w:rPr>
          <w:noProof/>
        </w:rPr>
        <w:t>prístup na medzinárodné kapitálové trhy. Výslednú likvidnú medzeru</w:t>
      </w:r>
      <w:r w:rsidR="002D52A1">
        <w:rPr>
          <w:noProof/>
        </w:rPr>
        <w:t xml:space="preserve"> v </w:t>
      </w:r>
      <w:r w:rsidRPr="002D52A1">
        <w:rPr>
          <w:noProof/>
        </w:rPr>
        <w:t>rámci platobnej bilancie odhadli orgány</w:t>
      </w:r>
      <w:r w:rsidR="002D52A1">
        <w:rPr>
          <w:noProof/>
        </w:rPr>
        <w:t xml:space="preserve"> a </w:t>
      </w:r>
      <w:r w:rsidRPr="002D52A1">
        <w:rPr>
          <w:noProof/>
        </w:rPr>
        <w:t>Medzinárodný menový fond (MMF)</w:t>
      </w:r>
      <w:r w:rsidR="002D52A1">
        <w:rPr>
          <w:noProof/>
        </w:rPr>
        <w:t xml:space="preserve"> v </w:t>
      </w:r>
      <w:r w:rsidRPr="002D52A1">
        <w:rPr>
          <w:noProof/>
        </w:rPr>
        <w:t>júni 2022 približne na 39 mld. USD za celý rok 2022. Pôvodne MMF usudzoval, že Ukrajina by mohla financovať 9 mld. USD tejto medzery prostredníctvom bezpečného čerpania svojich oficiálnych medzinárodných rezerv, ktoré by neohrozilo jej makrofinančnú stabilitu</w:t>
      </w:r>
      <w:r w:rsidRPr="002D52A1">
        <w:rPr>
          <w:rStyle w:val="FootnoteReference"/>
          <w:rFonts w:eastAsia="Times New Roman"/>
          <w:noProof/>
        </w:rPr>
        <w:footnoteReference w:id="3"/>
      </w:r>
      <w:r w:rsidRPr="002D52A1">
        <w:rPr>
          <w:noProof/>
        </w:rPr>
        <w:t>.</w:t>
      </w:r>
    </w:p>
    <w:p w14:paraId="758E6E2C" w14:textId="45110472" w:rsidR="002D52A1" w:rsidRPr="002D52A1" w:rsidRDefault="462E5199" w:rsidP="005264A0">
      <w:pPr>
        <w:rPr>
          <w:noProof/>
          <w:spacing w:val="-4"/>
        </w:rPr>
      </w:pPr>
      <w:r w:rsidRPr="002D52A1">
        <w:rPr>
          <w:noProof/>
          <w:spacing w:val="-4"/>
        </w:rPr>
        <w:t>Bilaterálne</w:t>
      </w:r>
      <w:r w:rsidR="002D52A1" w:rsidRPr="002D52A1">
        <w:rPr>
          <w:noProof/>
          <w:spacing w:val="-4"/>
        </w:rPr>
        <w:t xml:space="preserve"> a </w:t>
      </w:r>
      <w:r w:rsidRPr="002D52A1">
        <w:rPr>
          <w:noProof/>
          <w:spacing w:val="-4"/>
        </w:rPr>
        <w:t>multilaterálne záväzky finančnej podpory prisľúbenej Ukrajine na zasadnutí ministrov financií</w:t>
      </w:r>
      <w:r w:rsidR="002D52A1" w:rsidRPr="002D52A1">
        <w:rPr>
          <w:noProof/>
          <w:spacing w:val="-4"/>
        </w:rPr>
        <w:t xml:space="preserve"> a </w:t>
      </w:r>
      <w:r w:rsidRPr="002D52A1">
        <w:rPr>
          <w:noProof/>
          <w:spacing w:val="-4"/>
        </w:rPr>
        <w:t>guvernérov centrálnych bánk skupiny G7, ktoré sa uskutočnilo 18. až 20</w:t>
      </w:r>
      <w:r w:rsidR="002D52A1" w:rsidRPr="002D52A1">
        <w:rPr>
          <w:noProof/>
          <w:spacing w:val="-4"/>
        </w:rPr>
        <w:t>. mája v </w:t>
      </w:r>
      <w:r w:rsidRPr="002D52A1">
        <w:rPr>
          <w:noProof/>
          <w:spacing w:val="-4"/>
        </w:rPr>
        <w:t>Petersbergu, dosiahli úroveň takmer 20 mld. USD. Hoci sú tieto záväzky mimoriadne dôležité na podporu fungovania ukrajinského štátu, napriek ich rýchlemu vyplateniu</w:t>
      </w:r>
      <w:r w:rsidR="002D52A1" w:rsidRPr="002D52A1">
        <w:rPr>
          <w:noProof/>
          <w:spacing w:val="-4"/>
        </w:rPr>
        <w:t xml:space="preserve"> v </w:t>
      </w:r>
      <w:r w:rsidRPr="002D52A1">
        <w:rPr>
          <w:noProof/>
          <w:spacing w:val="-4"/>
        </w:rPr>
        <w:t>plnej výške by nepokrytá zostávajúca medzera vo finančných potrebách odhadovaných MMF predstavovala približne 10 mld. USD. Uvoľnenie veľkej časti zostávajúcich prostriedkov</w:t>
      </w:r>
      <w:r w:rsidR="002D52A1" w:rsidRPr="002D52A1">
        <w:rPr>
          <w:noProof/>
          <w:spacing w:val="-4"/>
        </w:rPr>
        <w:t xml:space="preserve"> v </w:t>
      </w:r>
      <w:r w:rsidRPr="002D52A1">
        <w:rPr>
          <w:noProof/>
          <w:spacing w:val="-4"/>
        </w:rPr>
        <w:t>rámci výnimočnej makrofinančnej pomoci by predstavovalo ďalšiu významnú úľavu</w:t>
      </w:r>
      <w:r w:rsidR="002D52A1" w:rsidRPr="002D52A1">
        <w:rPr>
          <w:noProof/>
          <w:spacing w:val="-4"/>
        </w:rPr>
        <w:t xml:space="preserve"> a </w:t>
      </w:r>
      <w:r w:rsidRPr="002D52A1">
        <w:rPr>
          <w:noProof/>
          <w:spacing w:val="-4"/>
        </w:rPr>
        <w:t>prispelo by</w:t>
      </w:r>
      <w:r w:rsidR="002D52A1" w:rsidRPr="002D52A1">
        <w:rPr>
          <w:noProof/>
          <w:spacing w:val="-4"/>
        </w:rPr>
        <w:t xml:space="preserve"> k </w:t>
      </w:r>
      <w:r w:rsidRPr="002D52A1">
        <w:rPr>
          <w:noProof/>
          <w:spacing w:val="-4"/>
        </w:rPr>
        <w:t>doplneniu časti týchto chýbajúcich finančných prostriedkov</w:t>
      </w:r>
      <w:r w:rsidR="002D52A1" w:rsidRPr="002D52A1">
        <w:rPr>
          <w:noProof/>
          <w:spacing w:val="-4"/>
        </w:rPr>
        <w:t>.</w:t>
      </w:r>
    </w:p>
    <w:p w14:paraId="0A87A1BC" w14:textId="1EA104AF" w:rsidR="006D7C8B" w:rsidRPr="002D52A1" w:rsidRDefault="57E70C73" w:rsidP="005264A0">
      <w:pPr>
        <w:rPr>
          <w:noProof/>
        </w:rPr>
      </w:pPr>
      <w:r w:rsidRPr="002D52A1">
        <w:rPr>
          <w:noProof/>
        </w:rPr>
        <w:t>V dôsledku veľkého rozdielu medzi záväzkami</w:t>
      </w:r>
      <w:r w:rsidR="002D52A1">
        <w:rPr>
          <w:noProof/>
        </w:rPr>
        <w:t xml:space="preserve"> a </w:t>
      </w:r>
      <w:r w:rsidRPr="002D52A1">
        <w:rPr>
          <w:noProof/>
        </w:rPr>
        <w:t>vyplatenými prostriedkami (okrem iných problémov) sa medzinárodné rezervy krajiny za prvých sedem mesiacov roka 2022 znížili</w:t>
      </w:r>
      <w:r w:rsidR="002D52A1">
        <w:rPr>
          <w:noProof/>
        </w:rPr>
        <w:t xml:space="preserve"> o </w:t>
      </w:r>
      <w:r w:rsidRPr="002D52A1">
        <w:rPr>
          <w:noProof/>
        </w:rPr>
        <w:t>ekvivalent 8,5 mld. USD</w:t>
      </w:r>
      <w:r w:rsidR="002D52A1">
        <w:rPr>
          <w:noProof/>
        </w:rPr>
        <w:t xml:space="preserve"> a </w:t>
      </w:r>
      <w:r w:rsidRPr="002D52A1">
        <w:rPr>
          <w:noProof/>
        </w:rPr>
        <w:t>na konci júla boli približne na úrovni 22,3 mld. USD (čo zahŕňalo približne 3,5 mesiaca budúceho dovozu), čiže vankúš na čerpanie rezerv na zvyšok roka je veľmi obmedzený (keďže 20 mld. USD sa často považuje za kritickú úroveň rezerv potrebnú na zabezpečenie makroekonomickej stability krajiny).</w:t>
      </w:r>
      <w:r w:rsidR="002D52A1">
        <w:rPr>
          <w:noProof/>
        </w:rPr>
        <w:t xml:space="preserve"> V </w:t>
      </w:r>
      <w:r w:rsidRPr="002D52A1">
        <w:rPr>
          <w:noProof/>
        </w:rPr>
        <w:t>tejto čoraz náročnejšej situácii ukrajinská centrálna banka (NBU) 21</w:t>
      </w:r>
      <w:r w:rsidR="002D52A1">
        <w:rPr>
          <w:noProof/>
        </w:rPr>
        <w:t>. júla</w:t>
      </w:r>
      <w:r w:rsidRPr="002D52A1">
        <w:rPr>
          <w:noProof/>
        </w:rPr>
        <w:t xml:space="preserve"> devalvovala hrivnu</w:t>
      </w:r>
      <w:r w:rsidR="002D52A1">
        <w:rPr>
          <w:noProof/>
        </w:rPr>
        <w:t xml:space="preserve"> o </w:t>
      </w:r>
      <w:r w:rsidRPr="002D52A1">
        <w:rPr>
          <w:noProof/>
        </w:rPr>
        <w:t>25</w:t>
      </w:r>
      <w:r w:rsidR="002D52A1">
        <w:rPr>
          <w:noProof/>
        </w:rPr>
        <w:t> %</w:t>
      </w:r>
      <w:r w:rsidRPr="002D52A1">
        <w:rPr>
          <w:noProof/>
        </w:rPr>
        <w:t xml:space="preserve"> voči americkému doláru, pričom zachovala režim pevného výmenného kurzu. Tento krok sprevádzali dodatočné opatrenia na minimalizovanie dopytu po cudzej mene</w:t>
      </w:r>
      <w:r w:rsidRPr="002D52A1">
        <w:rPr>
          <w:rStyle w:val="FootnoteReference"/>
          <w:noProof/>
        </w:rPr>
        <w:footnoteReference w:id="4"/>
      </w:r>
      <w:r w:rsidRPr="002D52A1">
        <w:rPr>
          <w:noProof/>
        </w:rPr>
        <w:t>.</w:t>
      </w:r>
    </w:p>
    <w:p w14:paraId="5ED84440" w14:textId="0B892039" w:rsidR="002D52A1" w:rsidRPr="002D52A1" w:rsidRDefault="01BA6172" w:rsidP="6CC4F004">
      <w:pPr>
        <w:rPr>
          <w:noProof/>
        </w:rPr>
      </w:pPr>
      <w:r w:rsidRPr="002D52A1">
        <w:rPr>
          <w:noProof/>
        </w:rPr>
        <w:t>Ukrajina takisto 21</w:t>
      </w:r>
      <w:r w:rsidR="002D52A1">
        <w:rPr>
          <w:noProof/>
        </w:rPr>
        <w:t>. júla</w:t>
      </w:r>
      <w:r w:rsidRPr="002D52A1">
        <w:rPr>
          <w:noProof/>
        </w:rPr>
        <w:t xml:space="preserve"> vydala formálnu žiadosť</w:t>
      </w:r>
      <w:r w:rsidR="002D52A1">
        <w:rPr>
          <w:noProof/>
        </w:rPr>
        <w:t xml:space="preserve"> o </w:t>
      </w:r>
      <w:r w:rsidRPr="002D52A1">
        <w:rPr>
          <w:noProof/>
        </w:rPr>
        <w:t>súhlas</w:t>
      </w:r>
      <w:r w:rsidR="002D52A1">
        <w:rPr>
          <w:noProof/>
        </w:rPr>
        <w:t xml:space="preserve"> s </w:t>
      </w:r>
      <w:r w:rsidRPr="002D52A1">
        <w:rPr>
          <w:noProof/>
        </w:rPr>
        <w:t>pozastavením dlhovej služby</w:t>
      </w:r>
      <w:r w:rsidR="002D52A1">
        <w:rPr>
          <w:noProof/>
        </w:rPr>
        <w:t xml:space="preserve"> v </w:t>
      </w:r>
      <w:r w:rsidRPr="002D52A1">
        <w:rPr>
          <w:noProof/>
        </w:rPr>
        <w:t>prípade obchodných dlhov aspoň do konca roka 2023. Kľúčoví bilaterálni oficiálni veritelia, predovšetkým Skupina veriteľov Ukrajiny</w:t>
      </w:r>
      <w:r w:rsidRPr="002D52A1">
        <w:rPr>
          <w:rStyle w:val="FootnoteReference"/>
          <w:rFonts w:eastAsia="Times New Roman"/>
          <w:noProof/>
        </w:rPr>
        <w:footnoteReference w:id="5"/>
      </w:r>
      <w:r w:rsidRPr="002D52A1">
        <w:rPr>
          <w:noProof/>
        </w:rPr>
        <w:t>, túto iniciatívu na pozastavenie dlhovej služby privítali</w:t>
      </w:r>
      <w:r w:rsidR="002D52A1">
        <w:rPr>
          <w:noProof/>
        </w:rPr>
        <w:t xml:space="preserve"> a </w:t>
      </w:r>
      <w:r w:rsidRPr="002D52A1">
        <w:rPr>
          <w:noProof/>
        </w:rPr>
        <w:t>podporili úmyslom urobiť to isté. Je to významný krok pre schopnosť Ukrajiny riadiť svoju likviditu, ktorý by jej mal zabezpečiť aj ďalšiu rozpočtovú úľavu</w:t>
      </w:r>
      <w:r w:rsidR="002D52A1" w:rsidRPr="002D52A1">
        <w:rPr>
          <w:noProof/>
        </w:rPr>
        <w:t>.</w:t>
      </w:r>
    </w:p>
    <w:p w14:paraId="27C794F5" w14:textId="2919AF18" w:rsidR="002D52A1" w:rsidRPr="002D52A1" w:rsidRDefault="7821F817" w:rsidP="6CC4F004">
      <w:pPr>
        <w:rPr>
          <w:noProof/>
        </w:rPr>
      </w:pPr>
      <w:r w:rsidRPr="002D52A1">
        <w:rPr>
          <w:noProof/>
        </w:rPr>
        <w:t>Na strane EÚ poskytli mnohé členské štáty granty</w:t>
      </w:r>
      <w:r w:rsidR="002D52A1">
        <w:rPr>
          <w:noProof/>
        </w:rPr>
        <w:t xml:space="preserve"> a </w:t>
      </w:r>
      <w:r w:rsidRPr="002D52A1">
        <w:rPr>
          <w:noProof/>
        </w:rPr>
        <w:t>prisľúbili ďalšie úvery</w:t>
      </w:r>
      <w:r w:rsidR="002D52A1">
        <w:rPr>
          <w:noProof/>
        </w:rPr>
        <w:t xml:space="preserve"> a </w:t>
      </w:r>
      <w:r w:rsidRPr="002D52A1">
        <w:rPr>
          <w:noProof/>
        </w:rPr>
        <w:t>záruky,</w:t>
      </w:r>
      <w:r w:rsidR="002D52A1">
        <w:rPr>
          <w:noProof/>
        </w:rPr>
        <w:t xml:space="preserve"> a </w:t>
      </w:r>
      <w:r w:rsidRPr="002D52A1">
        <w:rPr>
          <w:noProof/>
        </w:rPr>
        <w:t>to buď bilaterálne, alebo prostredníctvom medzinárodných finančných inštitúcií. Bilaterálne úvery poskytnuté do dnešného dňa členskými štátmi EÚ sú svojou podstatou zvýhodnené</w:t>
      </w:r>
      <w:r w:rsidR="002D52A1">
        <w:rPr>
          <w:noProof/>
        </w:rPr>
        <w:t xml:space="preserve"> a </w:t>
      </w:r>
      <w:r w:rsidRPr="002D52A1">
        <w:rPr>
          <w:noProof/>
        </w:rPr>
        <w:t>obsahujú značnú grantovú časť pri uplatnení zavedenej metodiky OECD na výpočet grantovej časti oficiálnej rozvojovej pomoci</w:t>
      </w:r>
      <w:r w:rsidR="002D52A1" w:rsidRPr="002D52A1">
        <w:rPr>
          <w:noProof/>
        </w:rPr>
        <w:t>.</w:t>
      </w:r>
    </w:p>
    <w:p w14:paraId="1A2846B9" w14:textId="22767FA1" w:rsidR="008022AB" w:rsidRPr="002D52A1" w:rsidRDefault="3DCAC1FA" w:rsidP="6FFD2748">
      <w:pPr>
        <w:rPr>
          <w:rFonts w:eastAsia="Times New Roman"/>
          <w:noProof/>
          <w:spacing w:val="-4"/>
        </w:rPr>
      </w:pPr>
      <w:r w:rsidRPr="002D52A1">
        <w:rPr>
          <w:noProof/>
          <w:spacing w:val="-4"/>
        </w:rPr>
        <w:t>Samotná EÚ poskytla</w:t>
      </w:r>
      <w:r w:rsidR="002D52A1" w:rsidRPr="002D52A1">
        <w:rPr>
          <w:noProof/>
          <w:spacing w:val="-4"/>
        </w:rPr>
        <w:t xml:space="preserve"> v </w:t>
      </w:r>
      <w:r w:rsidRPr="002D52A1">
        <w:rPr>
          <w:noProof/>
          <w:spacing w:val="-4"/>
        </w:rPr>
        <w:t>priebehu roka 2022 Ukrajine 2,2 mld. EUR vo forme úverov makrofinančnej pomoci. Núdzová makrofinančná pomoc vo výške 1,2 mld. EUR bola vyplatená</w:t>
      </w:r>
      <w:r w:rsidR="002D52A1" w:rsidRPr="002D52A1">
        <w:rPr>
          <w:noProof/>
          <w:spacing w:val="-4"/>
        </w:rPr>
        <w:t xml:space="preserve"> v </w:t>
      </w:r>
      <w:r w:rsidRPr="002D52A1">
        <w:rPr>
          <w:noProof/>
          <w:spacing w:val="-4"/>
        </w:rPr>
        <w:t>marci</w:t>
      </w:r>
      <w:r w:rsidR="002D52A1" w:rsidRPr="002D52A1">
        <w:rPr>
          <w:noProof/>
          <w:spacing w:val="-4"/>
        </w:rPr>
        <w:t xml:space="preserve"> a </w:t>
      </w:r>
      <w:r w:rsidRPr="002D52A1">
        <w:rPr>
          <w:noProof/>
          <w:spacing w:val="-4"/>
        </w:rPr>
        <w:t>máji</w:t>
      </w:r>
      <w:r w:rsidR="002D52A1" w:rsidRPr="002D52A1">
        <w:rPr>
          <w:noProof/>
          <w:spacing w:val="-4"/>
        </w:rPr>
        <w:t xml:space="preserve"> a </w:t>
      </w:r>
      <w:r w:rsidRPr="002D52A1">
        <w:rPr>
          <w:noProof/>
          <w:spacing w:val="-4"/>
        </w:rPr>
        <w:t>ďalšia výnimočná makrofinančná pomoc vo výške 1 mld. EUR bola vyplatená 1</w:t>
      </w:r>
      <w:r w:rsidR="002D52A1" w:rsidRPr="002D52A1">
        <w:rPr>
          <w:noProof/>
          <w:spacing w:val="-4"/>
        </w:rPr>
        <w:t>. a </w:t>
      </w:r>
      <w:r w:rsidRPr="002D52A1">
        <w:rPr>
          <w:noProof/>
          <w:spacing w:val="-4"/>
        </w:rPr>
        <w:t>2</w:t>
      </w:r>
      <w:r w:rsidR="002D52A1" w:rsidRPr="002D52A1">
        <w:rPr>
          <w:noProof/>
          <w:spacing w:val="-4"/>
        </w:rPr>
        <w:t>. augusta</w:t>
      </w:r>
      <w:r w:rsidRPr="002D52A1">
        <w:rPr>
          <w:rStyle w:val="FootnoteReference"/>
          <w:rFonts w:eastAsia="Times New Roman"/>
          <w:noProof/>
          <w:spacing w:val="-4"/>
        </w:rPr>
        <w:footnoteReference w:id="6"/>
      </w:r>
      <w:r w:rsidRPr="002D52A1">
        <w:rPr>
          <w:noProof/>
          <w:spacing w:val="-4"/>
        </w:rPr>
        <w:t>. Druhá uvedená suma tvorí súčasť podpory vo forme výnimočnej makrofinančnej pomoci vo výške 9 mld. EUR, ktorú oznámila Komisia</w:t>
      </w:r>
      <w:r w:rsidR="002D52A1" w:rsidRPr="002D52A1">
        <w:rPr>
          <w:noProof/>
          <w:spacing w:val="-4"/>
        </w:rPr>
        <w:t xml:space="preserve"> v </w:t>
      </w:r>
      <w:r w:rsidRPr="002D52A1">
        <w:rPr>
          <w:noProof/>
          <w:spacing w:val="-4"/>
        </w:rPr>
        <w:t>oznámení</w:t>
      </w:r>
      <w:r w:rsidR="002D52A1" w:rsidRPr="002D52A1">
        <w:rPr>
          <w:noProof/>
          <w:spacing w:val="-4"/>
        </w:rPr>
        <w:t xml:space="preserve"> z </w:t>
      </w:r>
      <w:r w:rsidRPr="002D52A1">
        <w:rPr>
          <w:noProof/>
          <w:spacing w:val="-4"/>
        </w:rPr>
        <w:t>18</w:t>
      </w:r>
      <w:r w:rsidR="002D52A1" w:rsidRPr="002D52A1">
        <w:rPr>
          <w:noProof/>
          <w:spacing w:val="-4"/>
        </w:rPr>
        <w:t>. mája o </w:t>
      </w:r>
      <w:r w:rsidRPr="002D52A1">
        <w:rPr>
          <w:noProof/>
          <w:spacing w:val="-4"/>
        </w:rPr>
        <w:t>podpore</w:t>
      </w:r>
      <w:r w:rsidR="002D52A1" w:rsidRPr="002D52A1">
        <w:rPr>
          <w:noProof/>
          <w:spacing w:val="-4"/>
        </w:rPr>
        <w:t xml:space="preserve"> a </w:t>
      </w:r>
      <w:r w:rsidRPr="002D52A1">
        <w:rPr>
          <w:noProof/>
          <w:spacing w:val="-4"/>
        </w:rPr>
        <w:t>obnove Ukrajiny</w:t>
      </w:r>
      <w:r w:rsidR="002D52A1" w:rsidRPr="002D52A1">
        <w:rPr>
          <w:noProof/>
          <w:spacing w:val="-4"/>
        </w:rPr>
        <w:t xml:space="preserve"> a </w:t>
      </w:r>
      <w:r w:rsidRPr="002D52A1">
        <w:rPr>
          <w:noProof/>
          <w:spacing w:val="-4"/>
        </w:rPr>
        <w:t>schválila Európska rada na zasadnutí</w:t>
      </w:r>
      <w:r w:rsidR="002D52A1" w:rsidRPr="002D52A1">
        <w:rPr>
          <w:noProof/>
          <w:spacing w:val="-4"/>
        </w:rPr>
        <w:t xml:space="preserve"> z </w:t>
      </w:r>
      <w:r w:rsidRPr="002D52A1">
        <w:rPr>
          <w:noProof/>
          <w:spacing w:val="-4"/>
        </w:rPr>
        <w:t>23. – 24</w:t>
      </w:r>
      <w:r w:rsidR="002D52A1" w:rsidRPr="002D52A1">
        <w:rPr>
          <w:noProof/>
          <w:spacing w:val="-4"/>
        </w:rPr>
        <w:t>. júna</w:t>
      </w:r>
      <w:r w:rsidRPr="002D52A1">
        <w:rPr>
          <w:noProof/>
          <w:spacing w:val="-4"/>
        </w:rPr>
        <w:t xml:space="preserve"> 2022. Vzhľadom na veľkú celkovú likvidnú medzeru EÚ oznámila, že je odhodlaná prispieť veľkou sumou na financovanie zostávajúcich finančných potrieb Ukrajiny na celý rok 2022. Naliehavú potrebu uvoľniť značné finančné prostriedky do konca roka ešte podčiarkuje obmedzený prísun medzinárodnej finančnej podpory prisľúbenej na štvrtý štvrťrok</w:t>
      </w:r>
      <w:r w:rsidRPr="002D52A1">
        <w:rPr>
          <w:rStyle w:val="FootnoteReference"/>
          <w:rFonts w:eastAsia="Times New Roman"/>
          <w:noProof/>
          <w:spacing w:val="-4"/>
        </w:rPr>
        <w:footnoteReference w:id="7"/>
      </w:r>
      <w:r w:rsidRPr="002D52A1">
        <w:rPr>
          <w:noProof/>
          <w:spacing w:val="-4"/>
        </w:rPr>
        <w:t>.</w:t>
      </w:r>
    </w:p>
    <w:p w14:paraId="53C59F56" w14:textId="3BCDC69A" w:rsidR="002D52A1" w:rsidRPr="002D52A1" w:rsidRDefault="0FA07279" w:rsidP="22327288">
      <w:pPr>
        <w:rPr>
          <w:noProof/>
        </w:rPr>
      </w:pPr>
      <w:r w:rsidRPr="002D52A1">
        <w:rPr>
          <w:noProof/>
        </w:rPr>
        <w:t>Na základe výzvy zo zasadnutia Európskej rady</w:t>
      </w:r>
      <w:r w:rsidR="002D52A1">
        <w:rPr>
          <w:noProof/>
        </w:rPr>
        <w:t xml:space="preserve"> z </w:t>
      </w:r>
      <w:r w:rsidRPr="002D52A1">
        <w:rPr>
          <w:noProof/>
        </w:rPr>
        <w:t>23. – 24</w:t>
      </w:r>
      <w:r w:rsidR="002D52A1">
        <w:rPr>
          <w:noProof/>
        </w:rPr>
        <w:t>. júna</w:t>
      </w:r>
      <w:r w:rsidRPr="002D52A1">
        <w:rPr>
          <w:noProof/>
        </w:rPr>
        <w:t xml:space="preserve"> 2022</w:t>
      </w:r>
      <w:r w:rsidR="002D52A1">
        <w:rPr>
          <w:noProof/>
        </w:rPr>
        <w:t xml:space="preserve"> a </w:t>
      </w:r>
      <w:r w:rsidRPr="002D52A1">
        <w:rPr>
          <w:noProof/>
        </w:rPr>
        <w:t>vzhľadom na naliehavosť krátkodobých finančných potrieb Ukrajiny predložila Európska komisia prvý návrh výnimočnej makrofinančnej pomoci vo výške 1 mld. EUR, ktorá bola</w:t>
      </w:r>
      <w:r w:rsidR="002D52A1">
        <w:rPr>
          <w:noProof/>
        </w:rPr>
        <w:t xml:space="preserve"> v </w:t>
      </w:r>
      <w:r w:rsidRPr="002D52A1">
        <w:rPr>
          <w:noProof/>
        </w:rPr>
        <w:t>plnej výške vyplatená</w:t>
      </w:r>
      <w:r w:rsidR="002D52A1">
        <w:rPr>
          <w:noProof/>
        </w:rPr>
        <w:t xml:space="preserve"> v </w:t>
      </w:r>
      <w:r w:rsidRPr="002D52A1">
        <w:rPr>
          <w:noProof/>
        </w:rPr>
        <w:t>dvoch tranžiach 1</w:t>
      </w:r>
      <w:r w:rsidR="002D52A1">
        <w:rPr>
          <w:noProof/>
        </w:rPr>
        <w:t>. a </w:t>
      </w:r>
      <w:r w:rsidRPr="002D52A1">
        <w:rPr>
          <w:noProof/>
        </w:rPr>
        <w:t>2</w:t>
      </w:r>
      <w:r w:rsidR="002D52A1">
        <w:rPr>
          <w:noProof/>
        </w:rPr>
        <w:t>. augusta</w:t>
      </w:r>
      <w:r w:rsidRPr="002D52A1">
        <w:rPr>
          <w:noProof/>
        </w:rPr>
        <w:t xml:space="preserve"> 2022.</w:t>
      </w:r>
      <w:r w:rsidR="002D52A1">
        <w:rPr>
          <w:noProof/>
        </w:rPr>
        <w:t xml:space="preserve"> S </w:t>
      </w:r>
      <w:r w:rsidRPr="002D52A1">
        <w:rPr>
          <w:noProof/>
        </w:rPr>
        <w:t>cieľom dosiahnuť pokrok pri plnení uvedeného balíka výnimočnej podpory Európska komisia predkladá tento návrh na poskytnutie ďalšej výnimočnej makrofinančnej pomoci Ukrajine vo výške 5 mld. EUR vo forme úverov. Zostávajúce 3 mld. EUR oznámenej výnimočnej makrofinančnej pomoci vo výške 9 mld. EUR budú poskytnuté čo najskôr</w:t>
      </w:r>
      <w:r w:rsidR="002D52A1" w:rsidRPr="002D52A1">
        <w:rPr>
          <w:noProof/>
        </w:rPr>
        <w:t>.</w:t>
      </w:r>
    </w:p>
    <w:p w14:paraId="7C97CA4A" w14:textId="43D957EC" w:rsidR="61926C97" w:rsidRPr="002D52A1" w:rsidRDefault="0FA07279" w:rsidP="22327288">
      <w:pPr>
        <w:rPr>
          <w:rFonts w:eastAsia="Times New Roman"/>
          <w:noProof/>
        </w:rPr>
      </w:pPr>
      <w:r w:rsidRPr="002D52A1">
        <w:rPr>
          <w:noProof/>
        </w:rPr>
        <w:t>Okrem poskytnutia priamej podpory Európska komisia</w:t>
      </w:r>
      <w:r w:rsidR="002D52A1">
        <w:rPr>
          <w:noProof/>
        </w:rPr>
        <w:t xml:space="preserve"> v </w:t>
      </w:r>
      <w:r w:rsidRPr="002D52A1">
        <w:rPr>
          <w:noProof/>
        </w:rPr>
        <w:t>júli 2022 odsúhlasila zmenu účelu nevyplatených úverov vo výške 1,59 mld. EUR poskytnutých</w:t>
      </w:r>
      <w:r w:rsidR="002D52A1">
        <w:rPr>
          <w:noProof/>
        </w:rPr>
        <w:t xml:space="preserve"> v </w:t>
      </w:r>
      <w:r w:rsidRPr="002D52A1">
        <w:rPr>
          <w:noProof/>
        </w:rPr>
        <w:t>rámci mandátu na poskytovanie vonkajších úverov (ELM),</w:t>
      </w:r>
      <w:r w:rsidR="002D52A1">
        <w:rPr>
          <w:noProof/>
        </w:rPr>
        <w:t xml:space="preserve"> z </w:t>
      </w:r>
      <w:r w:rsidRPr="002D52A1">
        <w:rPr>
          <w:noProof/>
        </w:rPr>
        <w:t>ktorých 1,05 mld. EUR vyplatí EIB počas tretieho štvrťroka 2022 ako podporu ukrajinským orgánom</w:t>
      </w:r>
      <w:r w:rsidR="002D52A1">
        <w:rPr>
          <w:noProof/>
        </w:rPr>
        <w:t xml:space="preserve"> a </w:t>
      </w:r>
      <w:r w:rsidRPr="002D52A1">
        <w:rPr>
          <w:noProof/>
        </w:rPr>
        <w:t>úvery EIB vo výške 536 mil. EUR sa majú vyplatiť neskôr na účely obnovy vybratých projektov. Touto sumou sa dopĺňa 668 mil. EUR, ktorých zmenu účelu už Komisia</w:t>
      </w:r>
      <w:r w:rsidR="002D52A1">
        <w:rPr>
          <w:noProof/>
        </w:rPr>
        <w:t xml:space="preserve"> a </w:t>
      </w:r>
      <w:r w:rsidRPr="002D52A1">
        <w:rPr>
          <w:noProof/>
        </w:rPr>
        <w:t>EIB</w:t>
      </w:r>
      <w:r w:rsidR="002D52A1">
        <w:rPr>
          <w:noProof/>
        </w:rPr>
        <w:t xml:space="preserve"> v </w:t>
      </w:r>
      <w:r w:rsidRPr="002D52A1">
        <w:rPr>
          <w:noProof/>
        </w:rPr>
        <w:t>marci 2022 schválili,</w:t>
      </w:r>
      <w:r w:rsidR="002D52A1">
        <w:rPr>
          <w:noProof/>
        </w:rPr>
        <w:t xml:space="preserve"> a </w:t>
      </w:r>
      <w:r w:rsidRPr="002D52A1">
        <w:rPr>
          <w:noProof/>
        </w:rPr>
        <w:t>ktoré boli vyplatené do jedného mesiaca od začiatku ruskej vojenskej agresie.</w:t>
      </w:r>
    </w:p>
    <w:p w14:paraId="12410019" w14:textId="68C2BEB0" w:rsidR="002D52A1" w:rsidRPr="002D52A1" w:rsidRDefault="3DCAC1FA" w:rsidP="61926C97">
      <w:pPr>
        <w:rPr>
          <w:noProof/>
        </w:rPr>
      </w:pPr>
      <w:r w:rsidRPr="002D52A1">
        <w:rPr>
          <w:noProof/>
        </w:rPr>
        <w:t>Úvery makrofinančnej pomoci</w:t>
      </w:r>
      <w:r w:rsidR="002D52A1">
        <w:rPr>
          <w:noProof/>
        </w:rPr>
        <w:t xml:space="preserve"> a </w:t>
      </w:r>
      <w:r w:rsidRPr="002D52A1">
        <w:rPr>
          <w:noProof/>
        </w:rPr>
        <w:t>úvery so zmeneným účelom</w:t>
      </w:r>
      <w:r w:rsidR="002D52A1">
        <w:rPr>
          <w:noProof/>
        </w:rPr>
        <w:t xml:space="preserve"> v </w:t>
      </w:r>
      <w:r w:rsidRPr="002D52A1">
        <w:rPr>
          <w:noProof/>
        </w:rPr>
        <w:t>rámci ELM dopĺňajú mnohé iné druhy podpory zo strany EÚ, najmä humanitárnu pomoc, rozvojovú</w:t>
      </w:r>
      <w:r w:rsidR="002D52A1">
        <w:rPr>
          <w:noProof/>
        </w:rPr>
        <w:t xml:space="preserve"> a </w:t>
      </w:r>
      <w:r w:rsidRPr="002D52A1">
        <w:rPr>
          <w:noProof/>
        </w:rPr>
        <w:t>obrannú pomoc, pozastavenie všetkých dovozných ciel na ukrajinský vývoz na jeden rok</w:t>
      </w:r>
      <w:r w:rsidR="002D52A1">
        <w:rPr>
          <w:noProof/>
        </w:rPr>
        <w:t xml:space="preserve"> a </w:t>
      </w:r>
      <w:r w:rsidRPr="002D52A1">
        <w:rPr>
          <w:noProof/>
        </w:rPr>
        <w:t>iné iniciatívy</w:t>
      </w:r>
      <w:r w:rsidR="002D52A1">
        <w:rPr>
          <w:noProof/>
        </w:rPr>
        <w:t xml:space="preserve"> v </w:t>
      </w:r>
      <w:r w:rsidRPr="002D52A1">
        <w:rPr>
          <w:noProof/>
        </w:rPr>
        <w:t>oblasti solidarity, napr. na riešenie problémov</w:t>
      </w:r>
      <w:r w:rsidR="002D52A1">
        <w:rPr>
          <w:noProof/>
        </w:rPr>
        <w:t xml:space="preserve"> v </w:t>
      </w:r>
      <w:r w:rsidRPr="002D52A1">
        <w:rPr>
          <w:noProof/>
        </w:rPr>
        <w:t>doprave</w:t>
      </w:r>
      <w:r w:rsidR="002D52A1">
        <w:rPr>
          <w:noProof/>
        </w:rPr>
        <w:t xml:space="preserve"> s </w:t>
      </w:r>
      <w:r w:rsidRPr="002D52A1">
        <w:rPr>
          <w:noProof/>
        </w:rPr>
        <w:t>cieľom zaistiť vývoz, najmä obilnín</w:t>
      </w:r>
      <w:r w:rsidRPr="002D52A1">
        <w:rPr>
          <w:rStyle w:val="FootnoteReference"/>
          <w:rFonts w:eastAsia="Times New Roman"/>
          <w:noProof/>
        </w:rPr>
        <w:footnoteReference w:id="8"/>
      </w:r>
      <w:r w:rsidR="002D52A1" w:rsidRPr="002D52A1">
        <w:rPr>
          <w:noProof/>
        </w:rPr>
        <w:t>.</w:t>
      </w:r>
    </w:p>
    <w:p w14:paraId="1D9BA8FC" w14:textId="7B1A9079" w:rsidR="61926C97" w:rsidRPr="002D52A1" w:rsidRDefault="61926C97" w:rsidP="61926C97">
      <w:pPr>
        <w:rPr>
          <w:noProof/>
        </w:rPr>
      </w:pPr>
      <w:r w:rsidRPr="002D52A1">
        <w:rPr>
          <w:noProof/>
        </w:rPr>
        <w:t>Okrem toho je tento rozsiahly program podpory EÚ súčasťou mimoriadneho medzinárodného úsilia bilaterálnych darcov</w:t>
      </w:r>
      <w:r w:rsidR="002D52A1">
        <w:rPr>
          <w:noProof/>
        </w:rPr>
        <w:t xml:space="preserve"> a </w:t>
      </w:r>
      <w:r w:rsidRPr="002D52A1">
        <w:rPr>
          <w:noProof/>
        </w:rPr>
        <w:t>medzinárodných finančných inštitúcií</w:t>
      </w:r>
      <w:r w:rsidR="002D52A1">
        <w:rPr>
          <w:noProof/>
        </w:rPr>
        <w:t xml:space="preserve"> o </w:t>
      </w:r>
      <w:r w:rsidRPr="002D52A1">
        <w:rPr>
          <w:noProof/>
        </w:rPr>
        <w:t>podporu Ukrajiny</w:t>
      </w:r>
      <w:r w:rsidR="002D52A1">
        <w:rPr>
          <w:noProof/>
        </w:rPr>
        <w:t xml:space="preserve"> v </w:t>
      </w:r>
      <w:r w:rsidRPr="002D52A1">
        <w:rPr>
          <w:noProof/>
        </w:rPr>
        <w:t>tejto kritickej situácii</w:t>
      </w:r>
      <w:r w:rsidR="002D52A1">
        <w:rPr>
          <w:noProof/>
        </w:rPr>
        <w:t xml:space="preserve"> a </w:t>
      </w:r>
      <w:r w:rsidRPr="002D52A1">
        <w:rPr>
          <w:noProof/>
        </w:rPr>
        <w:t>na ceste</w:t>
      </w:r>
      <w:r w:rsidR="002D52A1">
        <w:rPr>
          <w:noProof/>
        </w:rPr>
        <w:t xml:space="preserve"> k </w:t>
      </w:r>
      <w:r w:rsidRPr="002D52A1">
        <w:rPr>
          <w:noProof/>
        </w:rPr>
        <w:t>dlhodobejšej rekonštrukcii.</w:t>
      </w:r>
    </w:p>
    <w:p w14:paraId="0003500D" w14:textId="4A512CC7" w:rsidR="006E20AB" w:rsidRPr="002D52A1" w:rsidRDefault="7893A842" w:rsidP="61926C97">
      <w:pPr>
        <w:rPr>
          <w:noProof/>
        </w:rPr>
      </w:pPr>
      <w:r w:rsidRPr="002D52A1">
        <w:rPr>
          <w:noProof/>
        </w:rPr>
        <w:t>A napokon sa vzhľadom na zvýšené riziko finančných expozícií voči Ukrajine</w:t>
      </w:r>
      <w:r w:rsidR="002D52A1">
        <w:rPr>
          <w:noProof/>
        </w:rPr>
        <w:t xml:space="preserve"> v </w:t>
      </w:r>
      <w:r w:rsidRPr="002D52A1">
        <w:rPr>
          <w:noProof/>
        </w:rPr>
        <w:t>tomto návrhu objasňujú rozpočtové prostriedky potrebné na podporu poskytnutia dodatočných úverov výnimočnej makrofinančnej pomoci vo výške 5 mld. EUR</w:t>
      </w:r>
      <w:r w:rsidR="002D52A1">
        <w:rPr>
          <w:noProof/>
        </w:rPr>
        <w:t xml:space="preserve"> a </w:t>
      </w:r>
      <w:r w:rsidRPr="002D52A1">
        <w:rPr>
          <w:noProof/>
        </w:rPr>
        <w:t>vyplatenie úverov so zmeneným účelom</w:t>
      </w:r>
      <w:r w:rsidR="002D52A1">
        <w:rPr>
          <w:noProof/>
        </w:rPr>
        <w:t xml:space="preserve"> v </w:t>
      </w:r>
      <w:r w:rsidRPr="002D52A1">
        <w:rPr>
          <w:noProof/>
        </w:rPr>
        <w:t>rámci ELM.</w:t>
      </w:r>
    </w:p>
    <w:p w14:paraId="1A22A079" w14:textId="77777777" w:rsidR="006E20AB" w:rsidRPr="002D52A1" w:rsidRDefault="006E20AB" w:rsidP="0087343B">
      <w:pPr>
        <w:pStyle w:val="Bullet0"/>
        <w:rPr>
          <w:noProof/>
        </w:rPr>
      </w:pPr>
      <w:r w:rsidRPr="002D52A1">
        <w:rPr>
          <w:noProof/>
        </w:rPr>
        <w:t>Hlavné prvky tohto návrhu</w:t>
      </w:r>
    </w:p>
    <w:p w14:paraId="7EE25B72" w14:textId="26465111" w:rsidR="26DEF6C3" w:rsidRPr="002D52A1" w:rsidRDefault="002D52A1" w:rsidP="002D52A1">
      <w:pPr>
        <w:pStyle w:val="Point0"/>
        <w:rPr>
          <w:b/>
          <w:noProof/>
        </w:rPr>
      </w:pPr>
      <w:r w:rsidRPr="002D52A1">
        <w:rPr>
          <w:b/>
          <w:noProof/>
        </w:rPr>
        <w:t>1.</w:t>
      </w:r>
      <w:r w:rsidRPr="002D52A1">
        <w:rPr>
          <w:b/>
          <w:noProof/>
        </w:rPr>
        <w:tab/>
      </w:r>
      <w:r w:rsidR="00A54BD1" w:rsidRPr="002D52A1">
        <w:rPr>
          <w:b/>
          <w:noProof/>
        </w:rPr>
        <w:t>Výnimočná povaha tejto operácie makrofinančnej pomoci</w:t>
      </w:r>
    </w:p>
    <w:p w14:paraId="34BFD639" w14:textId="161B8B02" w:rsidR="002D52A1" w:rsidRPr="002D52A1" w:rsidRDefault="48E0D374" w:rsidP="22327288">
      <w:pPr>
        <w:tabs>
          <w:tab w:val="left" w:pos="4320"/>
        </w:tabs>
        <w:spacing w:after="0"/>
        <w:rPr>
          <w:noProof/>
        </w:rPr>
      </w:pPr>
      <w:r w:rsidRPr="002D52A1">
        <w:rPr>
          <w:noProof/>
        </w:rPr>
        <w:t>Vzhľadom na bezprecedentné okolnosti ruskej vojenskej agresie voči Ukrajine sa táto výnimočná makrofinančná pomoc odlišuje od bežnej operácie makrofinančnej pomoci, pretože vo viacerých ohľadoch ponúka väčšiu flexibilitu. Výhodnosť pomoci je posilnená dlhšou priemernou splatnosťou úverov až 25 rokov</w:t>
      </w:r>
      <w:r w:rsidR="002D52A1">
        <w:rPr>
          <w:noProof/>
        </w:rPr>
        <w:t xml:space="preserve"> a </w:t>
      </w:r>
      <w:r w:rsidRPr="002D52A1">
        <w:rPr>
          <w:noProof/>
        </w:rPr>
        <w:t>možnosťou uhrádzať úrokové sadzby</w:t>
      </w:r>
      <w:r w:rsidR="002D52A1">
        <w:rPr>
          <w:noProof/>
        </w:rPr>
        <w:t xml:space="preserve"> a </w:t>
      </w:r>
      <w:r w:rsidRPr="002D52A1">
        <w:rPr>
          <w:noProof/>
        </w:rPr>
        <w:t>platby správnych poplatkov</w:t>
      </w:r>
      <w:r w:rsidR="002D52A1">
        <w:rPr>
          <w:noProof/>
        </w:rPr>
        <w:t xml:space="preserve"> z </w:t>
      </w:r>
      <w:r w:rsidRPr="002D52A1">
        <w:rPr>
          <w:noProof/>
        </w:rPr>
        <w:t>rozpočtu EÚ. Okrem toho</w:t>
      </w:r>
      <w:r w:rsidR="002D52A1">
        <w:rPr>
          <w:noProof/>
        </w:rPr>
        <w:t xml:space="preserve"> v </w:t>
      </w:r>
      <w:r w:rsidRPr="002D52A1">
        <w:rPr>
          <w:noProof/>
        </w:rPr>
        <w:t>súčasnej situácii</w:t>
      </w:r>
      <w:r w:rsidR="002D52A1">
        <w:rPr>
          <w:noProof/>
        </w:rPr>
        <w:t xml:space="preserve"> a </w:t>
      </w:r>
      <w:r w:rsidRPr="002D52A1">
        <w:rPr>
          <w:noProof/>
        </w:rPr>
        <w:t>na rozdiel od bežných operácií makrofinančnej pomoci nie je navrhovaná výnimočná makrofinančná pomoc vo výške 5 mld. EUR formálne naviazaná na program vyplácania prostriedkov MMF</w:t>
      </w:r>
      <w:r w:rsidR="002D52A1" w:rsidRPr="002D52A1">
        <w:rPr>
          <w:noProof/>
        </w:rPr>
        <w:t>.</w:t>
      </w:r>
    </w:p>
    <w:p w14:paraId="4CDB1FE5" w14:textId="62AD7DCC" w:rsidR="007261B3" w:rsidRPr="002D52A1" w:rsidRDefault="007261B3" w:rsidP="005C20C9">
      <w:pPr>
        <w:tabs>
          <w:tab w:val="left" w:pos="4320"/>
        </w:tabs>
        <w:spacing w:after="0"/>
        <w:rPr>
          <w:rFonts w:eastAsia="Times New Roman"/>
          <w:noProof/>
          <w:lang w:eastAsia="de-AT"/>
        </w:rPr>
      </w:pPr>
    </w:p>
    <w:p w14:paraId="3C7AE3D1" w14:textId="4E1DD211" w:rsidR="006E20AB" w:rsidRPr="002D52A1" w:rsidRDefault="0A82F83F" w:rsidP="00B30C97">
      <w:pPr>
        <w:tabs>
          <w:tab w:val="left" w:pos="4320"/>
        </w:tabs>
        <w:spacing w:after="0"/>
        <w:rPr>
          <w:rFonts w:eastAsia="Times New Roman"/>
          <w:b/>
          <w:bCs/>
          <w:noProof/>
          <w:szCs w:val="24"/>
          <w:u w:val="single"/>
        </w:rPr>
      </w:pPr>
      <w:bookmarkStart w:id="1" w:name="_Hlk113366538"/>
      <w:r w:rsidRPr="002D52A1">
        <w:rPr>
          <w:noProof/>
        </w:rPr>
        <w:t>Podrobnosti vyplatenia úverových splátok sa uvádzajú</w:t>
      </w:r>
      <w:r w:rsidR="002D52A1">
        <w:rPr>
          <w:noProof/>
        </w:rPr>
        <w:t xml:space="preserve"> v </w:t>
      </w:r>
      <w:r w:rsidRPr="002D52A1">
        <w:rPr>
          <w:noProof/>
        </w:rPr>
        <w:t>memorande</w:t>
      </w:r>
      <w:r w:rsidR="002D52A1">
        <w:rPr>
          <w:noProof/>
        </w:rPr>
        <w:t xml:space="preserve"> o </w:t>
      </w:r>
      <w:r w:rsidRPr="002D52A1">
        <w:rPr>
          <w:noProof/>
        </w:rPr>
        <w:t>porozumení (MoP), ktoré bude uzavreté</w:t>
      </w:r>
      <w:r w:rsidR="002D52A1">
        <w:rPr>
          <w:noProof/>
        </w:rPr>
        <w:t xml:space="preserve"> s </w:t>
      </w:r>
      <w:r w:rsidRPr="002D52A1">
        <w:rPr>
          <w:noProof/>
        </w:rPr>
        <w:t>ukrajinskými orgánmi. Okrem vybraných politických podmienok, na ktoré bude naviazané vyplácanie</w:t>
      </w:r>
      <w:r w:rsidR="002D52A1">
        <w:rPr>
          <w:noProof/>
        </w:rPr>
        <w:t xml:space="preserve"> v </w:t>
      </w:r>
      <w:r w:rsidRPr="002D52A1">
        <w:rPr>
          <w:noProof/>
        </w:rPr>
        <w:t>rámci tejto druhej časti výnimočnej makrofinančnej pomoci Ukrajine, sa bude</w:t>
      </w:r>
      <w:r w:rsidR="002D52A1">
        <w:rPr>
          <w:noProof/>
        </w:rPr>
        <w:t xml:space="preserve"> v </w:t>
      </w:r>
      <w:r w:rsidRPr="002D52A1">
        <w:rPr>
          <w:noProof/>
        </w:rPr>
        <w:t>tomto MoP vyžadovať aj používanie systémov podávania správ, ktoré boli stanovené</w:t>
      </w:r>
      <w:r w:rsidR="002D52A1">
        <w:rPr>
          <w:noProof/>
        </w:rPr>
        <w:t xml:space="preserve"> v </w:t>
      </w:r>
      <w:r w:rsidRPr="002D52A1">
        <w:rPr>
          <w:noProof/>
        </w:rPr>
        <w:t>súvislosti</w:t>
      </w:r>
      <w:r w:rsidR="002D52A1">
        <w:rPr>
          <w:noProof/>
        </w:rPr>
        <w:t xml:space="preserve"> s </w:t>
      </w:r>
      <w:r w:rsidRPr="002D52A1">
        <w:rPr>
          <w:noProof/>
        </w:rPr>
        <w:t>prvou časťou výnimočnej makrofinančnej pomoci. Vybrané politické podmienky, na ktoré je naviazané vyplácanie pomoci, sa budú týkať najkritickejších problémov</w:t>
      </w:r>
      <w:r w:rsidR="002D52A1">
        <w:rPr>
          <w:noProof/>
        </w:rPr>
        <w:t xml:space="preserve"> a </w:t>
      </w:r>
      <w:r w:rsidRPr="002D52A1">
        <w:rPr>
          <w:noProof/>
        </w:rPr>
        <w:t>budú primerané tomu, čo možno dosiahnuť</w:t>
      </w:r>
      <w:r w:rsidR="002D52A1">
        <w:rPr>
          <w:noProof/>
        </w:rPr>
        <w:t xml:space="preserve"> v </w:t>
      </w:r>
      <w:r w:rsidRPr="002D52A1">
        <w:rPr>
          <w:noProof/>
        </w:rPr>
        <w:t>súčasnej situácii vzhľadom na prebiehajúcu ruskú vojenskú agresiu voči Ukrajine. Prostredníctvom systému podávania správ by sa</w:t>
      </w:r>
      <w:r w:rsidR="002D52A1">
        <w:rPr>
          <w:noProof/>
        </w:rPr>
        <w:t xml:space="preserve"> v </w:t>
      </w:r>
      <w:r w:rsidRPr="002D52A1">
        <w:rPr>
          <w:noProof/>
        </w:rPr>
        <w:t>budúcom MoP kládol dôraz na zvýšenú transparentnosť</w:t>
      </w:r>
      <w:r w:rsidR="002D52A1">
        <w:rPr>
          <w:noProof/>
        </w:rPr>
        <w:t xml:space="preserve"> a </w:t>
      </w:r>
      <w:r w:rsidRPr="002D52A1">
        <w:rPr>
          <w:noProof/>
        </w:rPr>
        <w:t>zodpovednosť pri využívaní rozpočtových prostriedkov (vrátane finančných prostriedkov prijatých</w:t>
      </w:r>
      <w:r w:rsidR="002D52A1">
        <w:rPr>
          <w:noProof/>
        </w:rPr>
        <w:t xml:space="preserve"> v </w:t>
      </w:r>
      <w:r w:rsidRPr="002D52A1">
        <w:rPr>
          <w:noProof/>
        </w:rPr>
        <w:t>rámci tejto pomoci). Mohlo by obsahovať aj posúdenia potrieb, ktoré je potrebné riešiť,</w:t>
      </w:r>
      <w:r w:rsidR="002D52A1">
        <w:rPr>
          <w:noProof/>
        </w:rPr>
        <w:t xml:space="preserve"> a </w:t>
      </w:r>
      <w:r w:rsidRPr="002D52A1">
        <w:rPr>
          <w:noProof/>
        </w:rPr>
        <w:t>to najmä pokiaľ ide</w:t>
      </w:r>
      <w:r w:rsidR="002D52A1">
        <w:rPr>
          <w:noProof/>
        </w:rPr>
        <w:t xml:space="preserve"> o </w:t>
      </w:r>
      <w:r w:rsidRPr="002D52A1">
        <w:rPr>
          <w:noProof/>
        </w:rPr>
        <w:t>kritickú infraštruktúru, akou sú cesty, železnice, nemocnice, školy</w:t>
      </w:r>
      <w:r w:rsidR="002D52A1">
        <w:rPr>
          <w:noProof/>
        </w:rPr>
        <w:t xml:space="preserve"> a </w:t>
      </w:r>
      <w:r w:rsidRPr="002D52A1">
        <w:rPr>
          <w:noProof/>
        </w:rPr>
        <w:t>bývanie.</w:t>
      </w:r>
      <w:r w:rsidR="002D52A1">
        <w:rPr>
          <w:noProof/>
        </w:rPr>
        <w:t xml:space="preserve"> V </w:t>
      </w:r>
      <w:r w:rsidRPr="002D52A1">
        <w:rPr>
          <w:noProof/>
        </w:rPr>
        <w:t>prípade potreby by sa podľa potreby mohli zvážiť aj politické opatrenia na zlepšenie odolnosti</w:t>
      </w:r>
      <w:r w:rsidR="002D52A1">
        <w:rPr>
          <w:noProof/>
        </w:rPr>
        <w:t xml:space="preserve"> a </w:t>
      </w:r>
      <w:r w:rsidRPr="002D52A1">
        <w:rPr>
          <w:noProof/>
        </w:rPr>
        <w:t>stability krajiny</w:t>
      </w:r>
      <w:r w:rsidR="002D52A1">
        <w:rPr>
          <w:noProof/>
        </w:rPr>
        <w:t xml:space="preserve"> v </w:t>
      </w:r>
      <w:r w:rsidRPr="002D52A1">
        <w:rPr>
          <w:noProof/>
        </w:rPr>
        <w:t>oblasti správy vecí verejných</w:t>
      </w:r>
      <w:r w:rsidR="002D52A1">
        <w:rPr>
          <w:noProof/>
        </w:rPr>
        <w:t xml:space="preserve"> a </w:t>
      </w:r>
      <w:r w:rsidRPr="002D52A1">
        <w:rPr>
          <w:noProof/>
        </w:rPr>
        <w:t>právneho štátu, ako aj</w:t>
      </w:r>
      <w:r w:rsidR="002D52A1">
        <w:rPr>
          <w:noProof/>
        </w:rPr>
        <w:t xml:space="preserve"> v </w:t>
      </w:r>
      <w:r w:rsidRPr="002D52A1">
        <w:rPr>
          <w:noProof/>
        </w:rPr>
        <w:t>odvetví energetiky</w:t>
      </w:r>
      <w:r w:rsidR="002D52A1">
        <w:rPr>
          <w:noProof/>
        </w:rPr>
        <w:t xml:space="preserve"> z </w:t>
      </w:r>
      <w:r w:rsidRPr="002D52A1">
        <w:rPr>
          <w:noProof/>
        </w:rPr>
        <w:t>núdzovej makrofinančnej pomoci vo výške 1,2 miliardy EUR vyplatenej</w:t>
      </w:r>
      <w:r w:rsidR="002D52A1">
        <w:rPr>
          <w:noProof/>
        </w:rPr>
        <w:t xml:space="preserve"> v </w:t>
      </w:r>
      <w:r w:rsidRPr="002D52A1">
        <w:rPr>
          <w:noProof/>
        </w:rPr>
        <w:t>marci</w:t>
      </w:r>
      <w:r w:rsidR="002D52A1">
        <w:rPr>
          <w:noProof/>
        </w:rPr>
        <w:t xml:space="preserve"> a </w:t>
      </w:r>
      <w:r w:rsidRPr="002D52A1">
        <w:rPr>
          <w:noProof/>
        </w:rPr>
        <w:t>máji 2022, ktoré neboli dokončené</w:t>
      </w:r>
      <w:r w:rsidR="002D52A1">
        <w:rPr>
          <w:noProof/>
        </w:rPr>
        <w:t xml:space="preserve"> z </w:t>
      </w:r>
      <w:r w:rsidRPr="002D52A1">
        <w:rPr>
          <w:noProof/>
        </w:rPr>
        <w:t>dôvodov vyššej moci</w:t>
      </w:r>
      <w:r w:rsidRPr="002D52A1">
        <w:rPr>
          <w:rStyle w:val="FootnoteReference"/>
          <w:rFonts w:eastAsia="Times New Roman"/>
          <w:noProof/>
        </w:rPr>
        <w:footnoteReference w:id="9"/>
      </w:r>
      <w:r w:rsidRPr="002D52A1">
        <w:rPr>
          <w:noProof/>
        </w:rPr>
        <w:t>.</w:t>
      </w:r>
    </w:p>
    <w:p w14:paraId="5182A5E9" w14:textId="71A71A28" w:rsidR="26DEF6C3" w:rsidRPr="002D52A1" w:rsidRDefault="002D52A1" w:rsidP="002D52A1">
      <w:pPr>
        <w:pStyle w:val="Point0"/>
        <w:rPr>
          <w:b/>
          <w:noProof/>
        </w:rPr>
      </w:pPr>
      <w:bookmarkStart w:id="2" w:name="_Hlk113270238"/>
      <w:bookmarkEnd w:id="1"/>
      <w:r w:rsidRPr="002D52A1">
        <w:rPr>
          <w:b/>
          <w:noProof/>
        </w:rPr>
        <w:t>2.</w:t>
      </w:r>
      <w:r w:rsidRPr="002D52A1">
        <w:rPr>
          <w:b/>
          <w:noProof/>
        </w:rPr>
        <w:tab/>
      </w:r>
      <w:r w:rsidR="00E632E4" w:rsidRPr="002D52A1">
        <w:rPr>
          <w:b/>
          <w:noProof/>
        </w:rPr>
        <w:t>Rozpočtové faktory</w:t>
      </w:r>
      <w:r w:rsidRPr="002D52A1">
        <w:rPr>
          <w:b/>
          <w:noProof/>
        </w:rPr>
        <w:t xml:space="preserve"> a </w:t>
      </w:r>
      <w:r w:rsidR="00E632E4" w:rsidRPr="002D52A1">
        <w:rPr>
          <w:b/>
          <w:noProof/>
        </w:rPr>
        <w:t>faktory riadenia rizík</w:t>
      </w:r>
    </w:p>
    <w:bookmarkEnd w:id="2"/>
    <w:p w14:paraId="1C23C572" w14:textId="3D873F9D" w:rsidR="26DEF6C3" w:rsidRPr="002D52A1" w:rsidRDefault="415AF9A2" w:rsidP="26DEF6C3">
      <w:pPr>
        <w:rPr>
          <w:noProof/>
        </w:rPr>
      </w:pPr>
      <w:r w:rsidRPr="002D52A1">
        <w:rPr>
          <w:noProof/>
        </w:rPr>
        <w:t>V tomto balíku úverov výnimočnej makrofinančnej pomoci sa musí prihliadať na veľkosť</w:t>
      </w:r>
      <w:r w:rsidR="002D52A1">
        <w:rPr>
          <w:noProof/>
        </w:rPr>
        <w:t xml:space="preserve"> a </w:t>
      </w:r>
      <w:r w:rsidRPr="002D52A1">
        <w:rPr>
          <w:noProof/>
        </w:rPr>
        <w:t>zvýšený rizikový profil expozícií EÚ voči Ukrajine, ako aj na osobitné prekážky, ktorým čelí rozpočet EÚ</w:t>
      </w:r>
      <w:r w:rsidR="002D52A1">
        <w:rPr>
          <w:noProof/>
        </w:rPr>
        <w:t xml:space="preserve"> v </w:t>
      </w:r>
      <w:r w:rsidRPr="002D52A1">
        <w:rPr>
          <w:noProof/>
        </w:rPr>
        <w:t>súčasnej situácii. Predpokladá sa však, že úvery sa budú poskytovať za veľmi výhodných podmienok (s priemernou splatnosťou až 25 rokov), pričom sa ukrajinskému štátu ponúkne aj krátkodobá úľava</w:t>
      </w:r>
      <w:r w:rsidR="002D52A1">
        <w:rPr>
          <w:noProof/>
        </w:rPr>
        <w:t xml:space="preserve"> v </w:t>
      </w:r>
      <w:r w:rsidRPr="002D52A1">
        <w:rPr>
          <w:noProof/>
        </w:rPr>
        <w:t>podobe oslobodenia od platieb úrokov,</w:t>
      </w:r>
      <w:r w:rsidR="002D52A1">
        <w:rPr>
          <w:noProof/>
        </w:rPr>
        <w:t xml:space="preserve"> a </w:t>
      </w:r>
      <w:r w:rsidRPr="002D52A1">
        <w:rPr>
          <w:noProof/>
        </w:rPr>
        <w:t>to aspoň na obdobie súčasného viacročného finančného rámca (VFR). Pri zohľadnení týchto jednotlivých faktorov sa tento návrh vyznačuje týmito prvkami:</w:t>
      </w:r>
    </w:p>
    <w:p w14:paraId="235A6C2D" w14:textId="77777777" w:rsidR="26DEF6C3" w:rsidRPr="002D52A1" w:rsidRDefault="61926C97" w:rsidP="005C7190">
      <w:pPr>
        <w:pStyle w:val="LegalNumPar2"/>
        <w:numPr>
          <w:ilvl w:val="1"/>
          <w:numId w:val="24"/>
        </w:numPr>
        <w:rPr>
          <w:noProof/>
          <w:u w:val="single"/>
        </w:rPr>
      </w:pPr>
      <w:r w:rsidRPr="002D52A1">
        <w:rPr>
          <w:noProof/>
          <w:u w:val="single"/>
        </w:rPr>
        <w:t>Vyššia kapacita absorpcie strát zodpovedá vyššiemu úverovému riziku</w:t>
      </w:r>
    </w:p>
    <w:p w14:paraId="5EF4B1F1" w14:textId="1029B8AC" w:rsidR="26DEF6C3" w:rsidRPr="002D52A1" w:rsidRDefault="7CB5C296" w:rsidP="26DEF6C3">
      <w:pPr>
        <w:rPr>
          <w:noProof/>
          <w:spacing w:val="-4"/>
        </w:rPr>
      </w:pPr>
      <w:r w:rsidRPr="002D52A1">
        <w:rPr>
          <w:noProof/>
          <w:spacing w:val="-4"/>
        </w:rPr>
        <w:t>Podobne ako</w:t>
      </w:r>
      <w:r w:rsidR="002D52A1" w:rsidRPr="002D52A1">
        <w:rPr>
          <w:noProof/>
          <w:spacing w:val="-4"/>
        </w:rPr>
        <w:t xml:space="preserve"> v </w:t>
      </w:r>
      <w:r w:rsidRPr="002D52A1">
        <w:rPr>
          <w:noProof/>
          <w:spacing w:val="-4"/>
        </w:rPr>
        <w:t>nedávnom rozhodnutí Európskeho parlamentu</w:t>
      </w:r>
      <w:r w:rsidR="002D52A1" w:rsidRPr="002D52A1">
        <w:rPr>
          <w:noProof/>
          <w:spacing w:val="-4"/>
        </w:rPr>
        <w:t xml:space="preserve"> a </w:t>
      </w:r>
      <w:r w:rsidRPr="002D52A1">
        <w:rPr>
          <w:noProof/>
          <w:spacing w:val="-4"/>
        </w:rPr>
        <w:t>Rady</w:t>
      </w:r>
      <w:r w:rsidR="002D52A1" w:rsidRPr="002D52A1">
        <w:rPr>
          <w:noProof/>
          <w:spacing w:val="-4"/>
        </w:rPr>
        <w:t xml:space="preserve"> o </w:t>
      </w:r>
      <w:r w:rsidRPr="002D52A1">
        <w:rPr>
          <w:noProof/>
          <w:spacing w:val="-4"/>
        </w:rPr>
        <w:t>prijatí výnimočnej makrofinančnej pomoci vo výške 1 mld. EUR</w:t>
      </w:r>
      <w:r w:rsidR="002D52A1" w:rsidRPr="002D52A1">
        <w:rPr>
          <w:noProof/>
          <w:spacing w:val="-4"/>
        </w:rPr>
        <w:t xml:space="preserve"> v </w:t>
      </w:r>
      <w:r w:rsidRPr="002D52A1">
        <w:rPr>
          <w:noProof/>
          <w:spacing w:val="-4"/>
        </w:rPr>
        <w:t>podobe úverov</w:t>
      </w:r>
      <w:r w:rsidRPr="002D52A1">
        <w:rPr>
          <w:rStyle w:val="FootnoteReference"/>
          <w:rFonts w:eastAsia="Times New Roman"/>
          <w:noProof/>
          <w:spacing w:val="-4"/>
        </w:rPr>
        <w:footnoteReference w:id="10"/>
      </w:r>
      <w:r w:rsidRPr="002D52A1">
        <w:rPr>
          <w:noProof/>
          <w:spacing w:val="-4"/>
        </w:rPr>
        <w:t xml:space="preserve"> aj</w:t>
      </w:r>
      <w:r w:rsidR="002D52A1" w:rsidRPr="002D52A1">
        <w:rPr>
          <w:noProof/>
          <w:spacing w:val="-4"/>
        </w:rPr>
        <w:t xml:space="preserve"> v </w:t>
      </w:r>
      <w:r w:rsidRPr="002D52A1">
        <w:rPr>
          <w:noProof/>
          <w:spacing w:val="-4"/>
        </w:rPr>
        <w:t>navrhovanom balíku úverov Ukrajine sa za súčasných okolností uvádzajú zvýšené riziká potenciálneho nesplácania</w:t>
      </w:r>
      <w:r w:rsidR="002D52A1" w:rsidRPr="002D52A1">
        <w:rPr>
          <w:noProof/>
          <w:spacing w:val="-4"/>
        </w:rPr>
        <w:t xml:space="preserve"> v </w:t>
      </w:r>
      <w:r w:rsidRPr="002D52A1">
        <w:rPr>
          <w:noProof/>
          <w:spacing w:val="-4"/>
        </w:rPr>
        <w:t>porovnaní so štandardnými úvermi makrofinančnej pomoci. Miera tvorby rezerv vo výške 9</w:t>
      </w:r>
      <w:r w:rsidR="002D52A1" w:rsidRPr="002D52A1">
        <w:rPr>
          <w:noProof/>
          <w:spacing w:val="-4"/>
        </w:rPr>
        <w:t> %</w:t>
      </w:r>
      <w:r w:rsidRPr="002D52A1">
        <w:rPr>
          <w:noProof/>
          <w:spacing w:val="-4"/>
        </w:rPr>
        <w:t>, ktorá sa vo všeobecnosti uplatňuje na krajiny</w:t>
      </w:r>
      <w:r w:rsidR="002D52A1" w:rsidRPr="002D52A1">
        <w:rPr>
          <w:noProof/>
          <w:spacing w:val="-4"/>
        </w:rPr>
        <w:t xml:space="preserve"> s </w:t>
      </w:r>
      <w:r w:rsidRPr="002D52A1">
        <w:rPr>
          <w:noProof/>
          <w:spacing w:val="-4"/>
        </w:rPr>
        <w:t>krízou platobnej bilancie, nie je po ruskej vojenskej agresii primeraná. Vzhľadom na výzvy, ktorým čelí Ukrajina,</w:t>
      </w:r>
      <w:r w:rsidR="002D52A1" w:rsidRPr="002D52A1">
        <w:rPr>
          <w:noProof/>
          <w:spacing w:val="-4"/>
        </w:rPr>
        <w:t xml:space="preserve"> a </w:t>
      </w:r>
      <w:r w:rsidRPr="002D52A1">
        <w:rPr>
          <w:noProof/>
          <w:spacing w:val="-4"/>
        </w:rPr>
        <w:t>pravdepodobnosť vzniku strát sa</w:t>
      </w:r>
      <w:r w:rsidR="002D52A1" w:rsidRPr="002D52A1">
        <w:rPr>
          <w:noProof/>
          <w:spacing w:val="-4"/>
        </w:rPr>
        <w:t xml:space="preserve"> v </w:t>
      </w:r>
      <w:r w:rsidRPr="002D52A1">
        <w:rPr>
          <w:noProof/>
          <w:spacing w:val="-4"/>
        </w:rPr>
        <w:t>tomto návrhu predpokladá rozpočtové krytie na poistenie rozpočtu EÚ pred nepredvídanými udalosťami</w:t>
      </w:r>
      <w:r w:rsidR="002D52A1" w:rsidRPr="002D52A1">
        <w:rPr>
          <w:noProof/>
          <w:spacing w:val="-4"/>
        </w:rPr>
        <w:t xml:space="preserve"> v </w:t>
      </w:r>
      <w:r w:rsidRPr="002D52A1">
        <w:rPr>
          <w:noProof/>
          <w:spacing w:val="-4"/>
        </w:rPr>
        <w:t>budúcnosti na úrovni 70</w:t>
      </w:r>
      <w:r w:rsidR="002D52A1" w:rsidRPr="002D52A1">
        <w:rPr>
          <w:noProof/>
          <w:spacing w:val="-4"/>
        </w:rPr>
        <w:t> %</w:t>
      </w:r>
      <w:r w:rsidRPr="002D52A1">
        <w:rPr>
          <w:noProof/>
          <w:spacing w:val="-4"/>
        </w:rPr>
        <w:t>. Táto vysoká miera tvorby rezerv sa</w:t>
      </w:r>
      <w:r w:rsidR="002D52A1" w:rsidRPr="002D52A1">
        <w:rPr>
          <w:noProof/>
          <w:spacing w:val="-4"/>
        </w:rPr>
        <w:t xml:space="preserve"> v </w:t>
      </w:r>
      <w:r w:rsidRPr="002D52A1">
        <w:rPr>
          <w:noProof/>
          <w:spacing w:val="-4"/>
        </w:rPr>
        <w:t>súčasnosti považuje</w:t>
      </w:r>
      <w:r w:rsidR="002D52A1" w:rsidRPr="002D52A1">
        <w:rPr>
          <w:noProof/>
          <w:spacing w:val="-4"/>
        </w:rPr>
        <w:t xml:space="preserve"> v </w:t>
      </w:r>
      <w:r w:rsidRPr="002D52A1">
        <w:rPr>
          <w:noProof/>
          <w:spacing w:val="-4"/>
        </w:rPr>
        <w:t>súlade so zásadami správneho finančného riadenia za potrebnú vzhľadom na riziko, ktoré predstavuje táto dodatočná výnimočná makrofinančná pomoc Ukrajine.</w:t>
      </w:r>
    </w:p>
    <w:p w14:paraId="08D38E88" w14:textId="7672BCBD" w:rsidR="61926C97" w:rsidRPr="002D52A1" w:rsidRDefault="462E5199" w:rsidP="61926C97">
      <w:pPr>
        <w:rPr>
          <w:noProof/>
          <w:spacing w:val="-6"/>
        </w:rPr>
      </w:pPr>
      <w:r w:rsidRPr="002D52A1">
        <w:rPr>
          <w:noProof/>
          <w:spacing w:val="-6"/>
        </w:rPr>
        <w:t>Vzhľadom na to predstavuje 70</w:t>
      </w:r>
      <w:r w:rsidR="002D52A1" w:rsidRPr="002D52A1">
        <w:rPr>
          <w:noProof/>
          <w:spacing w:val="-6"/>
        </w:rPr>
        <w:t> %</w:t>
      </w:r>
      <w:r w:rsidRPr="002D52A1">
        <w:rPr>
          <w:noProof/>
          <w:spacing w:val="-6"/>
        </w:rPr>
        <w:t xml:space="preserve"> krytie obozretnú</w:t>
      </w:r>
      <w:r w:rsidR="002D52A1" w:rsidRPr="002D52A1">
        <w:rPr>
          <w:noProof/>
          <w:spacing w:val="-6"/>
        </w:rPr>
        <w:t xml:space="preserve"> a </w:t>
      </w:r>
      <w:r w:rsidRPr="002D52A1">
        <w:rPr>
          <w:noProof/>
          <w:spacing w:val="-6"/>
        </w:rPr>
        <w:t>konzervatívnu politiku zmierňovania rizík, ktorá je potrebná na uistenie investorov, že sumy investované do dlhopisov EÚ, ktorými sa financujú úvery výnimočnej makrofinančnej pomoci Ukrajine, budú splatené</w:t>
      </w:r>
      <w:r w:rsidR="002D52A1" w:rsidRPr="002D52A1">
        <w:rPr>
          <w:noProof/>
          <w:spacing w:val="-6"/>
        </w:rPr>
        <w:t xml:space="preserve"> v </w:t>
      </w:r>
      <w:r w:rsidRPr="002D52A1">
        <w:rPr>
          <w:noProof/>
          <w:spacing w:val="-6"/>
        </w:rPr>
        <w:t>plnej výške</w:t>
      </w:r>
      <w:r w:rsidR="002D52A1" w:rsidRPr="002D52A1">
        <w:rPr>
          <w:noProof/>
          <w:spacing w:val="-6"/>
        </w:rPr>
        <w:t xml:space="preserve"> a </w:t>
      </w:r>
      <w:r w:rsidRPr="002D52A1">
        <w:rPr>
          <w:noProof/>
          <w:spacing w:val="-6"/>
        </w:rPr>
        <w:t>načas.</w:t>
      </w:r>
    </w:p>
    <w:p w14:paraId="370FB3E0" w14:textId="77777777" w:rsidR="26DEF6C3" w:rsidRPr="002D52A1" w:rsidRDefault="26DEF6C3" w:rsidP="005C7190">
      <w:pPr>
        <w:pStyle w:val="LegalNumPar2"/>
        <w:numPr>
          <w:ilvl w:val="1"/>
          <w:numId w:val="24"/>
        </w:numPr>
        <w:rPr>
          <w:noProof/>
          <w:spacing w:val="-4"/>
          <w:u w:val="single"/>
        </w:rPr>
      </w:pPr>
      <w:r w:rsidRPr="002D52A1">
        <w:rPr>
          <w:noProof/>
          <w:spacing w:val="-4"/>
          <w:u w:val="single"/>
        </w:rPr>
        <w:t>Potreba zaviesť požadované rozpočtové krytie prostredníctvom záruk členských štátov</w:t>
      </w:r>
    </w:p>
    <w:p w14:paraId="53A42ECF" w14:textId="1432D68D" w:rsidR="002D52A1" w:rsidRPr="002D52A1" w:rsidRDefault="7A367D63" w:rsidP="07D623CA">
      <w:pPr>
        <w:rPr>
          <w:noProof/>
          <w:spacing w:val="-4"/>
        </w:rPr>
      </w:pPr>
      <w:r w:rsidRPr="002D52A1">
        <w:rPr>
          <w:noProof/>
          <w:spacing w:val="-4"/>
        </w:rPr>
        <w:t>Na zaručenie operácií makrofinančnej pomoci</w:t>
      </w:r>
      <w:r w:rsidR="002D52A1" w:rsidRPr="002D52A1">
        <w:rPr>
          <w:noProof/>
          <w:spacing w:val="-4"/>
        </w:rPr>
        <w:t xml:space="preserve"> v </w:t>
      </w:r>
      <w:r w:rsidRPr="002D52A1">
        <w:rPr>
          <w:noProof/>
          <w:spacing w:val="-4"/>
        </w:rPr>
        <w:t>celkovej výške približne 11 mld. EUR bola navrhnutá záruka pre vonkajšiu činnosť</w:t>
      </w:r>
      <w:r w:rsidR="002D52A1" w:rsidRPr="002D52A1">
        <w:rPr>
          <w:noProof/>
          <w:spacing w:val="-4"/>
        </w:rPr>
        <w:t xml:space="preserve"> v </w:t>
      </w:r>
      <w:r w:rsidRPr="002D52A1">
        <w:rPr>
          <w:noProof/>
          <w:spacing w:val="-4"/>
        </w:rPr>
        <w:t>rámci Nástroja susedstva</w:t>
      </w:r>
      <w:r w:rsidR="002D52A1" w:rsidRPr="002D52A1">
        <w:rPr>
          <w:noProof/>
          <w:spacing w:val="-4"/>
        </w:rPr>
        <w:t xml:space="preserve"> a </w:t>
      </w:r>
      <w:r w:rsidRPr="002D52A1">
        <w:rPr>
          <w:noProof/>
          <w:spacing w:val="-4"/>
        </w:rPr>
        <w:t>rozvojovej</w:t>
      </w:r>
      <w:r w:rsidR="002D52A1" w:rsidRPr="002D52A1">
        <w:rPr>
          <w:noProof/>
          <w:spacing w:val="-4"/>
        </w:rPr>
        <w:t xml:space="preserve"> a </w:t>
      </w:r>
      <w:r w:rsidRPr="002D52A1">
        <w:rPr>
          <w:noProof/>
          <w:spacing w:val="-4"/>
        </w:rPr>
        <w:t>medzinárodnej spolupráce – Globálna Európa</w:t>
      </w:r>
      <w:r w:rsidR="002D52A1" w:rsidRPr="002D52A1">
        <w:rPr>
          <w:noProof/>
          <w:spacing w:val="-4"/>
        </w:rPr>
        <w:t xml:space="preserve"> s </w:t>
      </w:r>
      <w:r w:rsidRPr="002D52A1">
        <w:rPr>
          <w:noProof/>
          <w:spacing w:val="-4"/>
        </w:rPr>
        <w:t>rezervou na úrovni 9</w:t>
      </w:r>
      <w:r w:rsidR="002D52A1" w:rsidRPr="002D52A1">
        <w:rPr>
          <w:noProof/>
          <w:spacing w:val="-4"/>
        </w:rPr>
        <w:t> %</w:t>
      </w:r>
      <w:r w:rsidRPr="002D52A1">
        <w:rPr>
          <w:noProof/>
          <w:spacing w:val="-4"/>
        </w:rPr>
        <w:t xml:space="preserve"> za predpokladu, že úvery makrofinančnej pomoci obsahujú riziko zlyhania štátu. Na tomto základe bola 1 mld. EUR rezerv vyčlenená vo finančnom pláne operácií makrofinančnej pomoci pre tretie krajiny</w:t>
      </w:r>
      <w:r w:rsidR="002D52A1" w:rsidRPr="002D52A1">
        <w:rPr>
          <w:noProof/>
          <w:spacing w:val="-4"/>
        </w:rPr>
        <w:t xml:space="preserve"> z </w:t>
      </w:r>
      <w:r w:rsidRPr="002D52A1">
        <w:rPr>
          <w:noProof/>
          <w:spacing w:val="-4"/>
        </w:rPr>
        <w:t>finančných prostriedkov uvedených</w:t>
      </w:r>
      <w:r w:rsidR="002D52A1" w:rsidRPr="002D52A1">
        <w:rPr>
          <w:noProof/>
          <w:spacing w:val="-4"/>
        </w:rPr>
        <w:t xml:space="preserve"> v </w:t>
      </w:r>
      <w:r w:rsidRPr="002D52A1">
        <w:rPr>
          <w:noProof/>
          <w:spacing w:val="-4"/>
        </w:rPr>
        <w:t>článku 31 ods. 5 treťom pododseku nariadenia (EÚ) 2021/947</w:t>
      </w:r>
      <w:r w:rsidR="002D52A1" w:rsidRPr="002D52A1">
        <w:rPr>
          <w:noProof/>
          <w:spacing w:val="-4"/>
        </w:rPr>
        <w:t>.</w:t>
      </w:r>
    </w:p>
    <w:p w14:paraId="3BEA3533" w14:textId="2350C534" w:rsidR="61926C97" w:rsidRPr="002D52A1" w:rsidRDefault="6C275781" w:rsidP="07D623CA">
      <w:pPr>
        <w:rPr>
          <w:noProof/>
        </w:rPr>
      </w:pPr>
      <w:r w:rsidRPr="002D52A1">
        <w:rPr>
          <w:noProof/>
        </w:rPr>
        <w:t>Časť týchto rezerv už bola vyčlenená na úvery makrofinančnej pomoci Ukrajine,</w:t>
      </w:r>
      <w:r w:rsidR="002D52A1">
        <w:rPr>
          <w:noProof/>
        </w:rPr>
        <w:t xml:space="preserve"> a </w:t>
      </w:r>
      <w:r w:rsidRPr="002D52A1">
        <w:rPr>
          <w:noProof/>
        </w:rPr>
        <w:t>to vrátane úverov núdzovej makrofinančnej pomoci vo výške 1,2 mld. EUR</w:t>
      </w:r>
      <w:r w:rsidR="002D52A1">
        <w:rPr>
          <w:noProof/>
        </w:rPr>
        <w:t xml:space="preserve"> s </w:t>
      </w:r>
      <w:r w:rsidRPr="002D52A1">
        <w:rPr>
          <w:noProof/>
        </w:rPr>
        <w:t>9</w:t>
      </w:r>
      <w:r w:rsidR="002D52A1">
        <w:rPr>
          <w:noProof/>
        </w:rPr>
        <w:t> %</w:t>
      </w:r>
      <w:r w:rsidRPr="002D52A1">
        <w:rPr>
          <w:noProof/>
        </w:rPr>
        <w:t xml:space="preserve"> úrovňou rezerv (108 mil. EUR</w:t>
      </w:r>
      <w:r w:rsidR="002D52A1">
        <w:rPr>
          <w:noProof/>
        </w:rPr>
        <w:t xml:space="preserve"> v </w:t>
      </w:r>
      <w:r w:rsidRPr="002D52A1">
        <w:rPr>
          <w:noProof/>
        </w:rPr>
        <w:t>rezervách)</w:t>
      </w:r>
      <w:r w:rsidR="002D52A1">
        <w:rPr>
          <w:noProof/>
        </w:rPr>
        <w:t xml:space="preserve"> a </w:t>
      </w:r>
      <w:r w:rsidRPr="002D52A1">
        <w:rPr>
          <w:noProof/>
        </w:rPr>
        <w:t>nedávneho úveru výnimočnej makrofinančnej pomoci vo výške 1 mld. EUR so 70</w:t>
      </w:r>
      <w:r w:rsidR="002D52A1">
        <w:rPr>
          <w:noProof/>
        </w:rPr>
        <w:t> %</w:t>
      </w:r>
      <w:r w:rsidRPr="002D52A1">
        <w:rPr>
          <w:noProof/>
        </w:rPr>
        <w:t xml:space="preserve"> úrovňou rezerv (700 mil. EUR</w:t>
      </w:r>
      <w:r w:rsidR="002D52A1">
        <w:rPr>
          <w:noProof/>
        </w:rPr>
        <w:t xml:space="preserve"> v </w:t>
      </w:r>
      <w:r w:rsidRPr="002D52A1">
        <w:rPr>
          <w:noProof/>
        </w:rPr>
        <w:t>rezervách).</w:t>
      </w:r>
      <w:r w:rsidR="002D52A1">
        <w:rPr>
          <w:noProof/>
        </w:rPr>
        <w:t xml:space="preserve"> V </w:t>
      </w:r>
      <w:r w:rsidRPr="002D52A1">
        <w:rPr>
          <w:noProof/>
        </w:rPr>
        <w:t>dôsledku toho zostávajúce rozpočtové prostriedky EÚ nepostačujú na zabezpečenie rozpočtového krytia potrebného na tvorbu rezerv pre dodatočné úvery vo výške 5 mld. EUR pri 70</w:t>
      </w:r>
      <w:r w:rsidR="002D52A1">
        <w:rPr>
          <w:noProof/>
        </w:rPr>
        <w:t> %</w:t>
      </w:r>
      <w:r w:rsidRPr="002D52A1">
        <w:rPr>
          <w:noProof/>
        </w:rPr>
        <w:t xml:space="preserve"> ich pomyselnej hodnoty.</w:t>
      </w:r>
    </w:p>
    <w:p w14:paraId="2307BA6C" w14:textId="782BD4E9" w:rsidR="61926C97" w:rsidRPr="002D52A1" w:rsidRDefault="462E5199" w:rsidP="07D623CA">
      <w:pPr>
        <w:rPr>
          <w:noProof/>
        </w:rPr>
      </w:pPr>
      <w:r w:rsidRPr="002D52A1">
        <w:rPr>
          <w:noProof/>
        </w:rPr>
        <w:t>Navrhované nové úvery makrofinančnej pomoci možno teda poskytnúť finančne vhodným spôsobom len vtedy, ak budú členské štáty ochotné poskytnúť potrebné dodatočné rozpočtové krytie. Navrhuje sa, aby malo toto krytie formu záruk na sumy prisľúbené jednotlivými členskými štátmi, ktoré boli vypočítané na pomernom základe podľa HND. Prostredníctvom týchto záruk môže EÚ uplatniť výzvy na plnenie zo súm potrebných na splnenie jej záväzkov týkajúcich sa splácania držiteľom dlhopisov</w:t>
      </w:r>
      <w:r w:rsidR="002D52A1">
        <w:rPr>
          <w:noProof/>
        </w:rPr>
        <w:t xml:space="preserve"> v </w:t>
      </w:r>
      <w:r w:rsidRPr="002D52A1">
        <w:rPr>
          <w:noProof/>
        </w:rPr>
        <w:t>prípade nedostatku prostriedkov</w:t>
      </w:r>
      <w:r w:rsidR="002D52A1">
        <w:rPr>
          <w:noProof/>
        </w:rPr>
        <w:t xml:space="preserve"> v </w:t>
      </w:r>
      <w:r w:rsidRPr="002D52A1">
        <w:rPr>
          <w:noProof/>
        </w:rPr>
        <w:t>spoločnom rezervnom fonde (SRF)</w:t>
      </w:r>
      <w:r w:rsidR="002D52A1">
        <w:rPr>
          <w:noProof/>
        </w:rPr>
        <w:t xml:space="preserve"> a v </w:t>
      </w:r>
      <w:r w:rsidRPr="002D52A1">
        <w:rPr>
          <w:noProof/>
        </w:rPr>
        <w:t>rozsahu potrebnom na pokrytie takéhoto nedostatku spôsobeného potenciálnym zlyhaním Ukrajiny. Členské štáty nebudú musieť vopred poskytnúť hotovostné finančné prostriedky na rezervy</w:t>
      </w:r>
      <w:r w:rsidR="002D52A1">
        <w:rPr>
          <w:noProof/>
        </w:rPr>
        <w:t xml:space="preserve"> a </w:t>
      </w:r>
      <w:r w:rsidRPr="002D52A1">
        <w:rPr>
          <w:noProof/>
        </w:rPr>
        <w:t>výzva na plnenie zo záruky sa vydá len</w:t>
      </w:r>
      <w:r w:rsidR="002D52A1">
        <w:rPr>
          <w:noProof/>
        </w:rPr>
        <w:t xml:space="preserve"> v </w:t>
      </w:r>
      <w:r w:rsidRPr="002D52A1">
        <w:rPr>
          <w:noProof/>
        </w:rPr>
        <w:t>prípade, že bude mať zlyhanie Ukrajiny za následok vyčerpanie vyhradených rezerv, ktoré sú dostupné</w:t>
      </w:r>
      <w:r w:rsidR="002D52A1">
        <w:rPr>
          <w:noProof/>
        </w:rPr>
        <w:t xml:space="preserve"> v </w:t>
      </w:r>
      <w:r w:rsidRPr="002D52A1">
        <w:rPr>
          <w:noProof/>
        </w:rPr>
        <w:t>SRF. Záruky sú vhodnou reakciou aj vzhľadom na podmienenú</w:t>
      </w:r>
      <w:r w:rsidR="002D52A1">
        <w:rPr>
          <w:noProof/>
        </w:rPr>
        <w:t xml:space="preserve"> a </w:t>
      </w:r>
      <w:r w:rsidRPr="002D52A1">
        <w:rPr>
          <w:noProof/>
        </w:rPr>
        <w:t>neistú povahu potenciálnych strát. Ako už bolo uvedené, úvery budú štruktúrované tak, aby sa maximalizovala šanca na dostatočnú obnovu Ukrajiny, vďaka čomu bude môcť</w:t>
      </w:r>
      <w:r w:rsidR="002D52A1">
        <w:rPr>
          <w:noProof/>
        </w:rPr>
        <w:t xml:space="preserve"> v </w:t>
      </w:r>
      <w:r w:rsidRPr="002D52A1">
        <w:rPr>
          <w:noProof/>
        </w:rPr>
        <w:t>plnej výške splatiť svoje záväzky.</w:t>
      </w:r>
    </w:p>
    <w:p w14:paraId="732169CC" w14:textId="77257045" w:rsidR="00604E2B" w:rsidRPr="002D52A1" w:rsidRDefault="0FA07279" w:rsidP="00604E2B">
      <w:pPr>
        <w:rPr>
          <w:noProof/>
          <w:spacing w:val="-4"/>
        </w:rPr>
      </w:pPr>
      <w:r w:rsidRPr="002D52A1">
        <w:rPr>
          <w:noProof/>
          <w:spacing w:val="-4"/>
        </w:rPr>
        <w:t>Poskytnutie záruk členských štátov je postup, ktorý sa využil</w:t>
      </w:r>
      <w:r w:rsidR="002D52A1" w:rsidRPr="002D52A1">
        <w:rPr>
          <w:noProof/>
          <w:spacing w:val="-4"/>
        </w:rPr>
        <w:t xml:space="preserve"> v </w:t>
      </w:r>
      <w:r w:rsidRPr="002D52A1">
        <w:rPr>
          <w:noProof/>
          <w:spacing w:val="-4"/>
        </w:rPr>
        <w:t>súvislosti</w:t>
      </w:r>
      <w:r w:rsidR="002D52A1" w:rsidRPr="002D52A1">
        <w:rPr>
          <w:noProof/>
          <w:spacing w:val="-4"/>
        </w:rPr>
        <w:t xml:space="preserve"> s </w:t>
      </w:r>
      <w:r w:rsidRPr="002D52A1">
        <w:rPr>
          <w:noProof/>
          <w:spacing w:val="-4"/>
        </w:rPr>
        <w:t>nariadením</w:t>
      </w:r>
      <w:r w:rsidR="002D52A1" w:rsidRPr="002D52A1">
        <w:rPr>
          <w:noProof/>
          <w:spacing w:val="-4"/>
        </w:rPr>
        <w:t xml:space="preserve"> o </w:t>
      </w:r>
      <w:r w:rsidRPr="002D52A1">
        <w:rPr>
          <w:noProof/>
          <w:spacing w:val="-4"/>
        </w:rPr>
        <w:t>nástroji dočasnej podpory na zmiernenie rizík nezamestnanosti</w:t>
      </w:r>
      <w:r w:rsidR="002D52A1" w:rsidRPr="002D52A1">
        <w:rPr>
          <w:noProof/>
          <w:spacing w:val="-4"/>
        </w:rPr>
        <w:t xml:space="preserve"> v </w:t>
      </w:r>
      <w:r w:rsidRPr="002D52A1">
        <w:rPr>
          <w:noProof/>
          <w:spacing w:val="-4"/>
        </w:rPr>
        <w:t>núdzovej situácii (SURE)</w:t>
      </w:r>
      <w:r w:rsidRPr="002D52A1">
        <w:rPr>
          <w:rStyle w:val="FootnoteReference"/>
          <w:rFonts w:eastAsia="Times New Roman"/>
          <w:noProof/>
          <w:spacing w:val="-4"/>
        </w:rPr>
        <w:footnoteReference w:id="11"/>
      </w:r>
      <w:r w:rsidRPr="002D52A1">
        <w:rPr>
          <w:noProof/>
          <w:spacing w:val="-4"/>
        </w:rPr>
        <w:t xml:space="preserve"> ako základ na zabezpečenie dostatočnej rozpočtovej kapacity EÚ na absorbovanie očakávaných strát</w:t>
      </w:r>
      <w:r w:rsidR="002D52A1" w:rsidRPr="002D52A1">
        <w:rPr>
          <w:noProof/>
          <w:spacing w:val="-4"/>
        </w:rPr>
        <w:t xml:space="preserve"> z </w:t>
      </w:r>
      <w:r w:rsidRPr="002D52A1">
        <w:rPr>
          <w:noProof/>
          <w:spacing w:val="-4"/>
        </w:rPr>
        <w:t>úverov členským štátom. Na rozdiel od nástroja SURE, ktorý bol podmienený nadobudnutím platnosti všetkých záruk, sa však úvery výnimočnej makrofinančnej pomoci Ukrajine môžu vzhľadom na naliehavé finančné potreby Ukrajiny sprístupniť ešte pred nadobudnutím platnosti jednotlivých vnútroštátnych dohôd</w:t>
      </w:r>
      <w:r w:rsidR="002D52A1" w:rsidRPr="002D52A1">
        <w:rPr>
          <w:noProof/>
          <w:spacing w:val="-4"/>
        </w:rPr>
        <w:t xml:space="preserve"> o </w:t>
      </w:r>
      <w:r w:rsidRPr="002D52A1">
        <w:rPr>
          <w:noProof/>
          <w:spacing w:val="-4"/>
        </w:rPr>
        <w:t>záruke medzi Komisiou</w:t>
      </w:r>
      <w:r w:rsidR="002D52A1" w:rsidRPr="002D52A1">
        <w:rPr>
          <w:noProof/>
          <w:spacing w:val="-4"/>
        </w:rPr>
        <w:t xml:space="preserve"> a </w:t>
      </w:r>
      <w:r w:rsidRPr="002D52A1">
        <w:rPr>
          <w:noProof/>
          <w:spacing w:val="-4"/>
        </w:rPr>
        <w:t>členskými štátmi, ak členské štáty vyjadria pevný záväzok uzavrieť tieto dohody čo najskôr.</w:t>
      </w:r>
    </w:p>
    <w:p w14:paraId="5C9598F3" w14:textId="28855FEB" w:rsidR="00604E2B" w:rsidRPr="002D52A1" w:rsidRDefault="00604E2B" w:rsidP="005C7190">
      <w:pPr>
        <w:pStyle w:val="LegalNumPar2"/>
        <w:numPr>
          <w:ilvl w:val="1"/>
          <w:numId w:val="24"/>
        </w:numPr>
        <w:rPr>
          <w:noProof/>
          <w:spacing w:val="-4"/>
          <w:u w:val="single"/>
        </w:rPr>
      </w:pPr>
      <w:r w:rsidRPr="002D52A1">
        <w:rPr>
          <w:noProof/>
          <w:spacing w:val="-4"/>
          <w:u w:val="single"/>
        </w:rPr>
        <w:t>Maximalizovanie synergií medzi rezervami EÚ</w:t>
      </w:r>
      <w:r w:rsidR="002D52A1" w:rsidRPr="002D52A1">
        <w:rPr>
          <w:noProof/>
          <w:spacing w:val="-4"/>
          <w:u w:val="single"/>
        </w:rPr>
        <w:t xml:space="preserve"> a </w:t>
      </w:r>
      <w:r w:rsidRPr="002D52A1">
        <w:rPr>
          <w:noProof/>
          <w:spacing w:val="-4"/>
          <w:u w:val="single"/>
        </w:rPr>
        <w:t>zárukami členských štátov</w:t>
      </w:r>
    </w:p>
    <w:p w14:paraId="5BA2BB21" w14:textId="751E8119" w:rsidR="26DEF6C3" w:rsidRPr="002D52A1" w:rsidRDefault="67D4B680" w:rsidP="26DEF6C3">
      <w:pPr>
        <w:rPr>
          <w:noProof/>
          <w:spacing w:val="-6"/>
        </w:rPr>
      </w:pPr>
      <w:r w:rsidRPr="002D52A1">
        <w:rPr>
          <w:noProof/>
          <w:spacing w:val="-6"/>
        </w:rPr>
        <w:t>V záujme optimálneho riadenia situácií, keď sa pristúpi</w:t>
      </w:r>
      <w:r w:rsidR="002D52A1" w:rsidRPr="002D52A1">
        <w:rPr>
          <w:noProof/>
          <w:spacing w:val="-6"/>
        </w:rPr>
        <w:t xml:space="preserve"> k </w:t>
      </w:r>
      <w:r w:rsidRPr="002D52A1">
        <w:rPr>
          <w:noProof/>
          <w:spacing w:val="-6"/>
        </w:rPr>
        <w:t>plneniu</w:t>
      </w:r>
      <w:r w:rsidR="002D52A1" w:rsidRPr="002D52A1">
        <w:rPr>
          <w:noProof/>
          <w:spacing w:val="-6"/>
        </w:rPr>
        <w:t xml:space="preserve"> z </w:t>
      </w:r>
      <w:r w:rsidRPr="002D52A1">
        <w:rPr>
          <w:noProof/>
          <w:spacing w:val="-6"/>
        </w:rPr>
        <w:t>rozpočtových rezerv EÚ</w:t>
      </w:r>
      <w:r w:rsidR="002D52A1" w:rsidRPr="002D52A1">
        <w:rPr>
          <w:noProof/>
          <w:spacing w:val="-6"/>
        </w:rPr>
        <w:t xml:space="preserve"> a </w:t>
      </w:r>
      <w:r w:rsidRPr="002D52A1">
        <w:rPr>
          <w:noProof/>
          <w:spacing w:val="-6"/>
        </w:rPr>
        <w:t>uplatneniu výziev na plnenie zo záruky členských štátov</w:t>
      </w:r>
      <w:r w:rsidR="002D52A1" w:rsidRPr="002D52A1">
        <w:rPr>
          <w:noProof/>
          <w:spacing w:val="-6"/>
        </w:rPr>
        <w:t xml:space="preserve"> s </w:t>
      </w:r>
      <w:r w:rsidRPr="002D52A1">
        <w:rPr>
          <w:noProof/>
          <w:spacing w:val="-6"/>
        </w:rPr>
        <w:t>cieľom zabezpečiť vyplatenie držiteľov dlhopisov EÚ, sa navrhuje riadiť nedávny úver výnimočnej makrofinančnej pomoci vo výške 1 mld. EUR, vyplatený 1</w:t>
      </w:r>
      <w:r w:rsidR="002D52A1" w:rsidRPr="002D52A1">
        <w:rPr>
          <w:noProof/>
          <w:spacing w:val="-6"/>
        </w:rPr>
        <w:t>. a </w:t>
      </w:r>
      <w:r w:rsidRPr="002D52A1">
        <w:rPr>
          <w:noProof/>
          <w:spacing w:val="-6"/>
        </w:rPr>
        <w:t>2</w:t>
      </w:r>
      <w:r w:rsidR="002D52A1" w:rsidRPr="002D52A1">
        <w:rPr>
          <w:noProof/>
          <w:spacing w:val="-6"/>
        </w:rPr>
        <w:t>. augusta</w:t>
      </w:r>
      <w:r w:rsidRPr="002D52A1">
        <w:rPr>
          <w:noProof/>
          <w:spacing w:val="-6"/>
        </w:rPr>
        <w:t xml:space="preserve"> 2022, ako aj dodatočné úvery vo výške 5 mld. EUR</w:t>
      </w:r>
      <w:r w:rsidR="002D52A1" w:rsidRPr="002D52A1">
        <w:rPr>
          <w:noProof/>
          <w:spacing w:val="-6"/>
        </w:rPr>
        <w:t xml:space="preserve"> v </w:t>
      </w:r>
      <w:r w:rsidRPr="002D52A1">
        <w:rPr>
          <w:noProof/>
          <w:spacing w:val="-6"/>
        </w:rPr>
        <w:t>rámci tejto iniciatívy ako integrovaný súbor expozícií vo výške 6 mld. EUR. Pri tomto prístupe bude rozpočet EÚ poskytovať zabezpečenie pri prvej strate na úrovni 9</w:t>
      </w:r>
      <w:r w:rsidR="002D52A1" w:rsidRPr="002D52A1">
        <w:rPr>
          <w:noProof/>
          <w:spacing w:val="-6"/>
        </w:rPr>
        <w:t> %</w:t>
      </w:r>
      <w:r w:rsidRPr="002D52A1">
        <w:rPr>
          <w:noProof/>
          <w:spacing w:val="-6"/>
        </w:rPr>
        <w:t xml:space="preserve"> celého balíka úverov vo výške 6 mld. EUR. To bude posilnené zárukami členských štátov na ďalších 61</w:t>
      </w:r>
      <w:r w:rsidR="002D52A1" w:rsidRPr="002D52A1">
        <w:rPr>
          <w:noProof/>
          <w:spacing w:val="-6"/>
        </w:rPr>
        <w:t> %</w:t>
      </w:r>
      <w:r w:rsidRPr="002D52A1">
        <w:rPr>
          <w:noProof/>
          <w:spacing w:val="-6"/>
        </w:rPr>
        <w:t xml:space="preserve"> hodnoty úverov.</w:t>
      </w:r>
    </w:p>
    <w:p w14:paraId="0CF1B5F6" w14:textId="16B0D9E0" w:rsidR="26DEF6C3" w:rsidRPr="002D52A1" w:rsidRDefault="009A127F" w:rsidP="26DEF6C3">
      <w:pPr>
        <w:rPr>
          <w:noProof/>
        </w:rPr>
      </w:pPr>
      <w:r w:rsidRPr="002D52A1">
        <w:rPr>
          <w:noProof/>
        </w:rPr>
        <w:t>Takýto spôsob spoločného riadenia dvoch súborov úverov výnimočnej makrofinančnej pomoci má tieto dôsledky:</w:t>
      </w:r>
    </w:p>
    <w:p w14:paraId="2FDE5118" w14:textId="65320281" w:rsidR="26DEF6C3" w:rsidRPr="002D52A1" w:rsidRDefault="57972785" w:rsidP="0087343B">
      <w:pPr>
        <w:pStyle w:val="Bullet0"/>
        <w:rPr>
          <w:noProof/>
        </w:rPr>
      </w:pPr>
      <w:r w:rsidRPr="002D52A1">
        <w:rPr>
          <w:noProof/>
        </w:rPr>
        <w:t>Plánované rezervy</w:t>
      </w:r>
      <w:r w:rsidR="002D52A1">
        <w:rPr>
          <w:noProof/>
        </w:rPr>
        <w:t xml:space="preserve"> z </w:t>
      </w:r>
      <w:r w:rsidRPr="002D52A1">
        <w:rPr>
          <w:noProof/>
        </w:rPr>
        <w:t>rozpočtu EÚ, ktoré sa majú použiť výlučne na potenciálne nároky vo výške 6 mld. EUR vyplývajúce</w:t>
      </w:r>
      <w:r w:rsidR="002D52A1">
        <w:rPr>
          <w:noProof/>
        </w:rPr>
        <w:t xml:space="preserve"> z </w:t>
      </w:r>
      <w:r w:rsidRPr="002D52A1">
        <w:rPr>
          <w:noProof/>
        </w:rPr>
        <w:t>nových expozícií týkajúcich sa Ukrajiny, dosiahnu výšku 540 mil. EUR. Táto veľká suma (ktorá sa ešte zvýši</w:t>
      </w:r>
      <w:r w:rsidR="002D52A1">
        <w:rPr>
          <w:noProof/>
        </w:rPr>
        <w:t xml:space="preserve"> o </w:t>
      </w:r>
      <w:r w:rsidRPr="002D52A1">
        <w:rPr>
          <w:noProof/>
        </w:rPr>
        <w:t>rezervy na úvery</w:t>
      </w:r>
      <w:r w:rsidR="002D52A1">
        <w:rPr>
          <w:noProof/>
        </w:rPr>
        <w:t xml:space="preserve"> v </w:t>
      </w:r>
      <w:r w:rsidRPr="002D52A1">
        <w:rPr>
          <w:noProof/>
        </w:rPr>
        <w:t>rámci ELM so zmeneným účelom – pozri ďalej) bude zabezpečovať významnú rezervu na riadenie potrieb splácania</w:t>
      </w:r>
      <w:r w:rsidR="002D52A1">
        <w:rPr>
          <w:noProof/>
        </w:rPr>
        <w:t xml:space="preserve"> v </w:t>
      </w:r>
      <w:r w:rsidRPr="002D52A1">
        <w:rPr>
          <w:noProof/>
        </w:rPr>
        <w:t>prípade, že Ukrajina nebude dočasne alebo inak schopná plniť svoje platobné povinnosti voči EÚ. Rezerva tejto veľkosti môže poslúžiť ako účinná prvá vrstva ochrany</w:t>
      </w:r>
      <w:r w:rsidR="002D52A1">
        <w:rPr>
          <w:noProof/>
        </w:rPr>
        <w:t xml:space="preserve"> v </w:t>
      </w:r>
      <w:r w:rsidRPr="002D52A1">
        <w:rPr>
          <w:noProof/>
        </w:rPr>
        <w:t>prípade, že sa Ukrajina omešká</w:t>
      </w:r>
      <w:r w:rsidR="002D52A1">
        <w:rPr>
          <w:noProof/>
        </w:rPr>
        <w:t xml:space="preserve"> s </w:t>
      </w:r>
      <w:r w:rsidRPr="002D52A1">
        <w:rPr>
          <w:noProof/>
        </w:rPr>
        <w:t>platbami EÚ,</w:t>
      </w:r>
      <w:r w:rsidR="002D52A1">
        <w:rPr>
          <w:noProof/>
        </w:rPr>
        <w:t xml:space="preserve"> a </w:t>
      </w:r>
      <w:r w:rsidRPr="002D52A1">
        <w:rPr>
          <w:noProof/>
        </w:rPr>
        <w:t>môže oddialiť potrebu vydania výzvy na plnenie zo záruky členských štátov. Tieto rezervy vo výške 540 mil. EUR možno držať vo vyhradenej zložke SRF. Umožní sa tým uvoľnenie 160 mil. EUR</w:t>
      </w:r>
      <w:r w:rsidR="002D52A1">
        <w:rPr>
          <w:noProof/>
        </w:rPr>
        <w:t xml:space="preserve"> v </w:t>
      </w:r>
      <w:r w:rsidRPr="002D52A1">
        <w:rPr>
          <w:noProof/>
        </w:rPr>
        <w:t>rezervách zo sumy 700 mil. EUR, ktorá už bola vyčlenená na úver vo výške 1 mld. EUR</w:t>
      </w:r>
      <w:r w:rsidR="002D52A1">
        <w:rPr>
          <w:noProof/>
        </w:rPr>
        <w:t xml:space="preserve"> v </w:t>
      </w:r>
      <w:r w:rsidRPr="002D52A1">
        <w:rPr>
          <w:noProof/>
        </w:rPr>
        <w:t>rámci prvej časti balíka výnimočnej makrofinančnej pomoci.</w:t>
      </w:r>
    </w:p>
    <w:p w14:paraId="302D3B5C" w14:textId="67FEBAD7" w:rsidR="002D52A1" w:rsidRPr="002D52A1" w:rsidRDefault="67D4B680" w:rsidP="0087343B">
      <w:pPr>
        <w:pStyle w:val="Bullet0"/>
        <w:rPr>
          <w:noProof/>
        </w:rPr>
      </w:pPr>
      <w:r w:rsidRPr="002D52A1">
        <w:rPr>
          <w:noProof/>
        </w:rPr>
        <w:t>S cieľom dosiahnuť požadovanú 70</w:t>
      </w:r>
      <w:r w:rsidR="002D52A1">
        <w:rPr>
          <w:noProof/>
        </w:rPr>
        <w:t> %</w:t>
      </w:r>
      <w:r w:rsidRPr="002D52A1">
        <w:rPr>
          <w:noProof/>
        </w:rPr>
        <w:t xml:space="preserve"> úroveň rozpočtového krytia by mali členské štáty poskytnúť rozpočtové záruky na zostávajúcich 61</w:t>
      </w:r>
      <w:r w:rsidR="002D52A1">
        <w:rPr>
          <w:noProof/>
        </w:rPr>
        <w:t> % z </w:t>
      </w:r>
      <w:r w:rsidRPr="002D52A1">
        <w:rPr>
          <w:noProof/>
        </w:rPr>
        <w:t>celkového balíka 6 mld. EUR úverov výnimočnej makrofinančnej pomoci. Objemy zaručené členskými štátmi by spoločne dosiahli úroveň 3,66 mld. EUR. Výzva na plnenie</w:t>
      </w:r>
      <w:r w:rsidR="002D52A1">
        <w:rPr>
          <w:noProof/>
        </w:rPr>
        <w:t xml:space="preserve"> z </w:t>
      </w:r>
      <w:r w:rsidRPr="002D52A1">
        <w:rPr>
          <w:noProof/>
        </w:rPr>
        <w:t>týchto záruk by sa uplatnila len vtedy, ak by malo dôjsť</w:t>
      </w:r>
      <w:r w:rsidR="002D52A1">
        <w:rPr>
          <w:noProof/>
        </w:rPr>
        <w:t xml:space="preserve"> k </w:t>
      </w:r>
      <w:r w:rsidRPr="002D52A1">
        <w:rPr>
          <w:noProof/>
        </w:rPr>
        <w:t>vyčerpaniu súm držaných ako rezervy</w:t>
      </w:r>
      <w:r w:rsidR="002D52A1">
        <w:rPr>
          <w:noProof/>
        </w:rPr>
        <w:t xml:space="preserve"> v </w:t>
      </w:r>
      <w:r w:rsidRPr="002D52A1">
        <w:rPr>
          <w:noProof/>
        </w:rPr>
        <w:t>osobitnej zložke SRF vyhradenej na makrofinančnú pomoc Ukrajine. Členské štáty sa zaväzujú bezpodmienečne</w:t>
      </w:r>
      <w:r w:rsidR="002D52A1">
        <w:rPr>
          <w:noProof/>
        </w:rPr>
        <w:t xml:space="preserve"> a </w:t>
      </w:r>
      <w:r w:rsidRPr="002D52A1">
        <w:rPr>
          <w:noProof/>
        </w:rPr>
        <w:t>okamžite poskytnúť prostriedky na žiadosť Komisie vyplývajúcej</w:t>
      </w:r>
      <w:r w:rsidR="002D52A1">
        <w:rPr>
          <w:noProof/>
        </w:rPr>
        <w:t xml:space="preserve"> z </w:t>
      </w:r>
      <w:r w:rsidRPr="002D52A1">
        <w:rPr>
          <w:noProof/>
        </w:rPr>
        <w:t>potenciálnej neschopnosti Ukrajiny plniť si platobné povinnosti. Keďže členské štáty neposkytnú hotovosť vopred, rozpočtové záruky schválené členskými štátmi predstavujú podmienené záväzky. Záruky tvoria druhú vrstvu zabezpečenia investorov do dlhopisov EÚ,</w:t>
      </w:r>
      <w:r w:rsidR="002D52A1">
        <w:rPr>
          <w:noProof/>
        </w:rPr>
        <w:t xml:space="preserve"> z </w:t>
      </w:r>
      <w:r w:rsidRPr="002D52A1">
        <w:rPr>
          <w:noProof/>
        </w:rPr>
        <w:t>ktorých sa financujú úvery výnimočnej makrofinančnej pomoci</w:t>
      </w:r>
      <w:r w:rsidR="002D52A1" w:rsidRPr="002D52A1">
        <w:rPr>
          <w:noProof/>
        </w:rPr>
        <w:t>.</w:t>
      </w:r>
    </w:p>
    <w:p w14:paraId="07372491" w14:textId="41CD454E" w:rsidR="26DEF6C3" w:rsidRPr="002D52A1" w:rsidRDefault="20BCED50" w:rsidP="22327288">
      <w:pPr>
        <w:rPr>
          <w:rFonts w:eastAsia="Times New Roman"/>
          <w:noProof/>
        </w:rPr>
      </w:pPr>
      <w:r w:rsidRPr="002D52A1">
        <w:rPr>
          <w:noProof/>
        </w:rPr>
        <w:t>Tento prístup si vyžaduje niekoľko menších zmien znenia rozhodnutia (EÚ) 2022/1201</w:t>
      </w:r>
      <w:r w:rsidRPr="002D52A1">
        <w:rPr>
          <w:rStyle w:val="FootnoteReference"/>
          <w:rFonts w:eastAsia="Times New Roman"/>
          <w:noProof/>
        </w:rPr>
        <w:footnoteReference w:id="12"/>
      </w:r>
      <w:r w:rsidR="002D52A1">
        <w:rPr>
          <w:noProof/>
        </w:rPr>
        <w:t xml:space="preserve"> o </w:t>
      </w:r>
      <w:r w:rsidRPr="002D52A1">
        <w:rPr>
          <w:noProof/>
        </w:rPr>
        <w:t>úveroch výnimočnej makrofinančnej pomoci vo výške 1 mld. EUR.</w:t>
      </w:r>
      <w:r w:rsidR="002D52A1">
        <w:rPr>
          <w:noProof/>
        </w:rPr>
        <w:t xml:space="preserve"> V </w:t>
      </w:r>
      <w:r w:rsidRPr="002D52A1">
        <w:rPr>
          <w:noProof/>
        </w:rPr>
        <w:t>tomto návrhu sa tieto zmeny uvádzajú.</w:t>
      </w:r>
    </w:p>
    <w:p w14:paraId="5D8202C3" w14:textId="41672FAE" w:rsidR="002D52A1" w:rsidRPr="002D52A1" w:rsidRDefault="00604E2B" w:rsidP="005C7190">
      <w:pPr>
        <w:pStyle w:val="LegalNumPar2"/>
        <w:numPr>
          <w:ilvl w:val="1"/>
          <w:numId w:val="24"/>
        </w:numPr>
        <w:rPr>
          <w:noProof/>
          <w:spacing w:val="-4"/>
          <w:u w:val="single"/>
        </w:rPr>
      </w:pPr>
      <w:r w:rsidRPr="002D52A1">
        <w:rPr>
          <w:noProof/>
          <w:spacing w:val="-4"/>
          <w:u w:val="single"/>
        </w:rPr>
        <w:t>Krytie nákladov na úrokovú sadzbu</w:t>
      </w:r>
      <w:r w:rsidR="002D52A1" w:rsidRPr="002D52A1">
        <w:rPr>
          <w:noProof/>
          <w:spacing w:val="-4"/>
          <w:u w:val="single"/>
        </w:rPr>
        <w:t xml:space="preserve"> z </w:t>
      </w:r>
      <w:r w:rsidRPr="002D52A1">
        <w:rPr>
          <w:noProof/>
          <w:spacing w:val="-4"/>
          <w:u w:val="single"/>
        </w:rPr>
        <w:t>rozpočtu EÚ</w:t>
      </w:r>
    </w:p>
    <w:p w14:paraId="2234069B" w14:textId="4BF2AECA" w:rsidR="002D52A1" w:rsidRPr="002D52A1" w:rsidRDefault="6BB10541" w:rsidP="3AD20BBB">
      <w:pPr>
        <w:rPr>
          <w:noProof/>
        </w:rPr>
      </w:pPr>
      <w:r w:rsidRPr="002D52A1">
        <w:rPr>
          <w:noProof/>
        </w:rPr>
        <w:t>Rozpočet EÚ môže znášať náklady na úrokovú sadzbu, ktoré vyplývajú</w:t>
      </w:r>
      <w:r w:rsidR="002D52A1">
        <w:rPr>
          <w:noProof/>
        </w:rPr>
        <w:t xml:space="preserve"> z </w:t>
      </w:r>
      <w:r w:rsidRPr="002D52A1">
        <w:rPr>
          <w:noProof/>
        </w:rPr>
        <w:t>júlového úveru vo výške 1 mld. EUR</w:t>
      </w:r>
      <w:r w:rsidR="002D52A1">
        <w:rPr>
          <w:noProof/>
        </w:rPr>
        <w:t xml:space="preserve"> v </w:t>
      </w:r>
      <w:r w:rsidRPr="002D52A1">
        <w:rPr>
          <w:noProof/>
        </w:rPr>
        <w:t>rámci súčasného VFR, ak</w:t>
      </w:r>
      <w:r w:rsidR="002D52A1">
        <w:rPr>
          <w:noProof/>
        </w:rPr>
        <w:t xml:space="preserve"> o </w:t>
      </w:r>
      <w:r w:rsidRPr="002D52A1">
        <w:rPr>
          <w:noProof/>
        </w:rPr>
        <w:t>to Ukrajina požiada</w:t>
      </w:r>
      <w:r w:rsidR="002D52A1">
        <w:rPr>
          <w:noProof/>
        </w:rPr>
        <w:t xml:space="preserve"> a </w:t>
      </w:r>
      <w:r w:rsidRPr="002D52A1">
        <w:rPr>
          <w:noProof/>
        </w:rPr>
        <w:t>budú</w:t>
      </w:r>
      <w:r w:rsidR="002D52A1">
        <w:rPr>
          <w:noProof/>
        </w:rPr>
        <w:t xml:space="preserve"> k </w:t>
      </w:r>
      <w:r w:rsidRPr="002D52A1">
        <w:rPr>
          <w:noProof/>
        </w:rPr>
        <w:t>dispozícii rozpočtové prostriedky. Prevzatím nákladov na úrokovú sadzbu poskytne EÚ Ukrajine dodatočnú finančnú úľavu</w:t>
      </w:r>
      <w:r w:rsidR="002D52A1">
        <w:rPr>
          <w:noProof/>
        </w:rPr>
        <w:t xml:space="preserve"> a </w:t>
      </w:r>
      <w:r w:rsidRPr="002D52A1">
        <w:rPr>
          <w:noProof/>
        </w:rPr>
        <w:t>zároveň obmedzí</w:t>
      </w:r>
      <w:r w:rsidR="002D52A1">
        <w:rPr>
          <w:noProof/>
        </w:rPr>
        <w:t xml:space="preserve"> a </w:t>
      </w:r>
      <w:r w:rsidRPr="002D52A1">
        <w:rPr>
          <w:noProof/>
        </w:rPr>
        <w:t>oddiali riziko potenciálneho nesplácania istiny do momentu uplynutia platnosti úveru alebo potenciálneho zlyhania. Komisia by mohla zabezpečiť úver</w:t>
      </w:r>
      <w:r w:rsidR="002D52A1">
        <w:rPr>
          <w:noProof/>
        </w:rPr>
        <w:t xml:space="preserve"> s </w:t>
      </w:r>
      <w:r w:rsidRPr="002D52A1">
        <w:rPr>
          <w:noProof/>
        </w:rPr>
        <w:t>dlhou splatnosťou (priemerná splatnosť by bola 25 rokov), aby Ukrajine poskytla čo najdlhšie obdobie na návrat</w:t>
      </w:r>
      <w:r w:rsidR="002D52A1">
        <w:rPr>
          <w:noProof/>
        </w:rPr>
        <w:t xml:space="preserve"> k </w:t>
      </w:r>
      <w:r w:rsidRPr="002D52A1">
        <w:rPr>
          <w:noProof/>
        </w:rPr>
        <w:t>rastu, rekonštrukciu hospodárstva</w:t>
      </w:r>
      <w:r w:rsidR="002D52A1">
        <w:rPr>
          <w:noProof/>
        </w:rPr>
        <w:t xml:space="preserve"> v </w:t>
      </w:r>
      <w:r w:rsidRPr="002D52A1">
        <w:rPr>
          <w:noProof/>
        </w:rPr>
        <w:t>súlade</w:t>
      </w:r>
      <w:r w:rsidR="002D52A1">
        <w:rPr>
          <w:noProof/>
        </w:rPr>
        <w:t xml:space="preserve"> s </w:t>
      </w:r>
      <w:r w:rsidRPr="002D52A1">
        <w:rPr>
          <w:noProof/>
        </w:rPr>
        <w:t>jej európskou cestou</w:t>
      </w:r>
      <w:r w:rsidR="002D52A1">
        <w:rPr>
          <w:noProof/>
        </w:rPr>
        <w:t xml:space="preserve"> a </w:t>
      </w:r>
      <w:r w:rsidRPr="002D52A1">
        <w:rPr>
          <w:noProof/>
        </w:rPr>
        <w:t>maximalizáciu šancí na úplné splatenie. Takýmto štruktúrovaním záväzkov sa môže Európska komisia pokúsiť aj</w:t>
      </w:r>
      <w:r w:rsidR="002D52A1">
        <w:rPr>
          <w:noProof/>
        </w:rPr>
        <w:t xml:space="preserve"> o </w:t>
      </w:r>
      <w:r w:rsidRPr="002D52A1">
        <w:rPr>
          <w:noProof/>
        </w:rPr>
        <w:t>zmiernenie rizika uplatnenia výziev na plnenie</w:t>
      </w:r>
      <w:r w:rsidR="002D52A1">
        <w:rPr>
          <w:noProof/>
        </w:rPr>
        <w:t xml:space="preserve"> z </w:t>
      </w:r>
      <w:r w:rsidRPr="002D52A1">
        <w:rPr>
          <w:noProof/>
        </w:rPr>
        <w:t>časti alebo celého objemu záruk členských štátov.</w:t>
      </w:r>
      <w:r w:rsidR="002D52A1">
        <w:rPr>
          <w:noProof/>
        </w:rPr>
        <w:t xml:space="preserve"> V </w:t>
      </w:r>
      <w:r w:rsidRPr="002D52A1">
        <w:rPr>
          <w:noProof/>
        </w:rPr>
        <w:t>záujme rovnakého zaobchádzania</w:t>
      </w:r>
      <w:r w:rsidR="002D52A1">
        <w:rPr>
          <w:noProof/>
        </w:rPr>
        <w:t xml:space="preserve"> s </w:t>
      </w:r>
      <w:r w:rsidRPr="002D52A1">
        <w:rPr>
          <w:noProof/>
        </w:rPr>
        <w:t>nákladmi na úrokovú sadzbu, ktoré vzniknú</w:t>
      </w:r>
      <w:r w:rsidR="002D52A1">
        <w:rPr>
          <w:noProof/>
        </w:rPr>
        <w:t xml:space="preserve"> v </w:t>
      </w:r>
      <w:r w:rsidRPr="002D52A1">
        <w:rPr>
          <w:noProof/>
        </w:rPr>
        <w:t>súvislosti</w:t>
      </w:r>
      <w:r w:rsidR="002D52A1">
        <w:rPr>
          <w:noProof/>
        </w:rPr>
        <w:t xml:space="preserve"> s </w:t>
      </w:r>
      <w:r w:rsidRPr="002D52A1">
        <w:rPr>
          <w:noProof/>
        </w:rPr>
        <w:t>dodatočnými úvermi výnimočnej makrofinančnej pomoci vo výške 5 mld. EUR, je potrebné mobilizovať dodatočné prostriedky</w:t>
      </w:r>
      <w:r w:rsidR="002D52A1" w:rsidRPr="002D52A1">
        <w:rPr>
          <w:noProof/>
        </w:rPr>
        <w:t>.</w:t>
      </w:r>
    </w:p>
    <w:p w14:paraId="2C63F463" w14:textId="7FD2CC6F" w:rsidR="73B7382E" w:rsidRPr="002D52A1" w:rsidRDefault="73B7382E" w:rsidP="005C7190">
      <w:pPr>
        <w:pStyle w:val="LegalNumPar2"/>
        <w:numPr>
          <w:ilvl w:val="1"/>
          <w:numId w:val="24"/>
        </w:numPr>
        <w:rPr>
          <w:noProof/>
          <w:spacing w:val="-4"/>
          <w:u w:val="single"/>
        </w:rPr>
      </w:pPr>
      <w:r w:rsidRPr="002D52A1">
        <w:rPr>
          <w:noProof/>
          <w:spacing w:val="-4"/>
          <w:u w:val="single"/>
        </w:rPr>
        <w:t>Uplatnenie vyššej miery tvorby rezerv na úvery</w:t>
      </w:r>
      <w:r w:rsidR="002D52A1" w:rsidRPr="002D52A1">
        <w:rPr>
          <w:noProof/>
          <w:spacing w:val="-4"/>
          <w:u w:val="single"/>
        </w:rPr>
        <w:t xml:space="preserve"> v </w:t>
      </w:r>
      <w:r w:rsidRPr="002D52A1">
        <w:rPr>
          <w:noProof/>
          <w:spacing w:val="-4"/>
          <w:u w:val="single"/>
        </w:rPr>
        <w:t>rámci ELM so zmeneným účelom vyplatené</w:t>
      </w:r>
      <w:r w:rsidR="002D52A1" w:rsidRPr="002D52A1">
        <w:rPr>
          <w:noProof/>
          <w:spacing w:val="-4"/>
          <w:u w:val="single"/>
        </w:rPr>
        <w:t xml:space="preserve"> v </w:t>
      </w:r>
      <w:r w:rsidRPr="002D52A1">
        <w:rPr>
          <w:noProof/>
          <w:spacing w:val="-4"/>
          <w:u w:val="single"/>
        </w:rPr>
        <w:t>treťom štvrťroku 2022</w:t>
      </w:r>
      <w:r w:rsidR="002D52A1" w:rsidRPr="002D52A1">
        <w:rPr>
          <w:noProof/>
          <w:spacing w:val="-4"/>
          <w:u w:val="single"/>
        </w:rPr>
        <w:t xml:space="preserve"> a </w:t>
      </w:r>
      <w:r w:rsidRPr="002D52A1">
        <w:rPr>
          <w:noProof/>
          <w:spacing w:val="-4"/>
          <w:u w:val="single"/>
        </w:rPr>
        <w:t>úvery</w:t>
      </w:r>
      <w:r w:rsidR="002D52A1" w:rsidRPr="002D52A1">
        <w:rPr>
          <w:noProof/>
          <w:spacing w:val="-4"/>
          <w:u w:val="single"/>
        </w:rPr>
        <w:t xml:space="preserve"> v </w:t>
      </w:r>
      <w:r w:rsidRPr="002D52A1">
        <w:rPr>
          <w:noProof/>
          <w:spacing w:val="-4"/>
          <w:u w:val="single"/>
        </w:rPr>
        <w:t>rámci ELM, ktoré sa majú vyplatiť neskôr</w:t>
      </w:r>
    </w:p>
    <w:p w14:paraId="0A02FBD1" w14:textId="2B258186" w:rsidR="002D52A1" w:rsidRPr="002D52A1" w:rsidRDefault="3DCAC1FA" w:rsidP="22327288">
      <w:pPr>
        <w:rPr>
          <w:noProof/>
        </w:rPr>
      </w:pPr>
      <w:r w:rsidRPr="002D52A1">
        <w:rPr>
          <w:noProof/>
        </w:rPr>
        <w:t>Keďže Ukrajina naliehavo potrebuje finančné prostriedky, Európska komisia</w:t>
      </w:r>
      <w:r w:rsidR="002D52A1">
        <w:rPr>
          <w:noProof/>
        </w:rPr>
        <w:t xml:space="preserve"> v </w:t>
      </w:r>
      <w:r w:rsidRPr="002D52A1">
        <w:rPr>
          <w:noProof/>
        </w:rPr>
        <w:t>júli 2022 odsúhlasila zmenu účelu úverov EIB vo výške 1,59 mld. EUR</w:t>
      </w:r>
      <w:r w:rsidR="002D52A1">
        <w:rPr>
          <w:noProof/>
        </w:rPr>
        <w:t xml:space="preserve"> v </w:t>
      </w:r>
      <w:r w:rsidRPr="002D52A1">
        <w:rPr>
          <w:noProof/>
        </w:rPr>
        <w:t>rámci ELM na úvery Ukrajine. Sumu 1,05 mld. EUR vyplatí EIB</w:t>
      </w:r>
      <w:r w:rsidR="002D52A1">
        <w:rPr>
          <w:noProof/>
        </w:rPr>
        <w:t xml:space="preserve"> v </w:t>
      </w:r>
      <w:r w:rsidRPr="002D52A1">
        <w:rPr>
          <w:noProof/>
        </w:rPr>
        <w:t>treťom štvrťroku 2022. Ďalších 536 mil. EUR plánuje EIB vyplatiť</w:t>
      </w:r>
      <w:r w:rsidR="002D52A1">
        <w:rPr>
          <w:noProof/>
        </w:rPr>
        <w:t xml:space="preserve"> v </w:t>
      </w:r>
      <w:r w:rsidRPr="002D52A1">
        <w:rPr>
          <w:noProof/>
        </w:rPr>
        <w:t>úveroch</w:t>
      </w:r>
      <w:r w:rsidR="002D52A1">
        <w:rPr>
          <w:noProof/>
        </w:rPr>
        <w:t xml:space="preserve"> v </w:t>
      </w:r>
      <w:r w:rsidRPr="002D52A1">
        <w:rPr>
          <w:noProof/>
        </w:rPr>
        <w:t>období 2022 – 2023 na pomoc</w:t>
      </w:r>
      <w:r w:rsidR="002D52A1">
        <w:rPr>
          <w:noProof/>
        </w:rPr>
        <w:t xml:space="preserve"> s </w:t>
      </w:r>
      <w:r w:rsidRPr="002D52A1">
        <w:rPr>
          <w:noProof/>
        </w:rPr>
        <w:t>financovaním pokračovania vybratých investičných projektov. Keďže ide</w:t>
      </w:r>
      <w:r w:rsidR="002D52A1">
        <w:rPr>
          <w:noProof/>
        </w:rPr>
        <w:t xml:space="preserve"> o </w:t>
      </w:r>
      <w:r w:rsidRPr="002D52A1">
        <w:rPr>
          <w:noProof/>
        </w:rPr>
        <w:t>úvery poskytované ukrajinskému štátu (alebo ním zaručené), predstavujú rovnakú úroveň rizika ako úvery výnimočnej makrofinančnej pomoci. Podľa dohôd</w:t>
      </w:r>
      <w:r w:rsidR="002D52A1">
        <w:rPr>
          <w:noProof/>
        </w:rPr>
        <w:t xml:space="preserve"> o </w:t>
      </w:r>
      <w:r w:rsidRPr="002D52A1">
        <w:rPr>
          <w:noProof/>
        </w:rPr>
        <w:t>záruke</w:t>
      </w:r>
      <w:r w:rsidR="002D52A1">
        <w:rPr>
          <w:noProof/>
        </w:rPr>
        <w:t xml:space="preserve"> v </w:t>
      </w:r>
      <w:r w:rsidRPr="002D52A1">
        <w:rPr>
          <w:noProof/>
        </w:rPr>
        <w:t>rámci ELM má EIB právo na plnenie</w:t>
      </w:r>
      <w:r w:rsidR="002D52A1">
        <w:rPr>
          <w:noProof/>
        </w:rPr>
        <w:t xml:space="preserve"> z </w:t>
      </w:r>
      <w:r w:rsidRPr="002D52A1">
        <w:rPr>
          <w:noProof/>
        </w:rPr>
        <w:t>rozpočtu EÚ do plnej výšky strát, ktoré jej vzniknú</w:t>
      </w:r>
      <w:r w:rsidR="002D52A1">
        <w:rPr>
          <w:noProof/>
        </w:rPr>
        <w:t xml:space="preserve"> v </w:t>
      </w:r>
      <w:r w:rsidRPr="002D52A1">
        <w:rPr>
          <w:noProof/>
        </w:rPr>
        <w:t>súvislosti</w:t>
      </w:r>
      <w:r w:rsidR="002D52A1">
        <w:rPr>
          <w:noProof/>
        </w:rPr>
        <w:t xml:space="preserve"> s </w:t>
      </w:r>
      <w:r w:rsidRPr="002D52A1">
        <w:rPr>
          <w:noProof/>
        </w:rPr>
        <w:t>týmito úvermi podliehajúcimi záruke</w:t>
      </w:r>
      <w:r w:rsidR="002D52A1">
        <w:rPr>
          <w:noProof/>
        </w:rPr>
        <w:t xml:space="preserve"> v </w:t>
      </w:r>
      <w:r w:rsidRPr="002D52A1">
        <w:rPr>
          <w:noProof/>
        </w:rPr>
        <w:t>rámci ELM. Preto by sa malo objasniť, že na tieto expozície by sa mal vzťahovať rovnaký prístup predbežnej opatrnosti</w:t>
      </w:r>
      <w:r w:rsidR="002D52A1">
        <w:rPr>
          <w:noProof/>
        </w:rPr>
        <w:t xml:space="preserve"> a </w:t>
      </w:r>
      <w:r w:rsidRPr="002D52A1">
        <w:rPr>
          <w:noProof/>
        </w:rPr>
        <w:t>že by sa mali vložiť relevantné dodatočné rezervy do spoločnej zložky SRF vyhradenej pre Ukrajinu.</w:t>
      </w:r>
      <w:r w:rsidR="002D52A1">
        <w:rPr>
          <w:noProof/>
        </w:rPr>
        <w:t xml:space="preserve"> V </w:t>
      </w:r>
      <w:r w:rsidRPr="002D52A1">
        <w:rPr>
          <w:noProof/>
        </w:rPr>
        <w:t>tomto návrhu sa preto predpokladá rozšírenie 70</w:t>
      </w:r>
      <w:r w:rsidR="002D52A1">
        <w:rPr>
          <w:noProof/>
        </w:rPr>
        <w:t> %</w:t>
      </w:r>
      <w:r w:rsidRPr="002D52A1">
        <w:rPr>
          <w:noProof/>
        </w:rPr>
        <w:t xml:space="preserve"> miery tvorby rezerv aj na túto sumu 1,59 mld. EUR dodatočnej expozície vyplývajúcej</w:t>
      </w:r>
      <w:r w:rsidR="002D52A1">
        <w:rPr>
          <w:noProof/>
        </w:rPr>
        <w:t xml:space="preserve"> z </w:t>
      </w:r>
      <w:r w:rsidRPr="002D52A1">
        <w:rPr>
          <w:noProof/>
        </w:rPr>
        <w:t>úverov so zmeneným účelom. Na každé ďalšie potenciálne vyplatenie úverov</w:t>
      </w:r>
      <w:r w:rsidR="002D52A1">
        <w:rPr>
          <w:noProof/>
        </w:rPr>
        <w:t xml:space="preserve"> v </w:t>
      </w:r>
      <w:r w:rsidRPr="002D52A1">
        <w:rPr>
          <w:noProof/>
        </w:rPr>
        <w:t>rámci ELM so zmeneným účelom Ukrajine by sa vzťahovala tá istá miera tvorby rezerv (pravidelne skúmaná)</w:t>
      </w:r>
      <w:r w:rsidR="002D52A1">
        <w:rPr>
          <w:noProof/>
        </w:rPr>
        <w:t xml:space="preserve"> a </w:t>
      </w:r>
      <w:r w:rsidRPr="002D52A1">
        <w:rPr>
          <w:noProof/>
        </w:rPr>
        <w:t>podmienka nájdenia rozpočtových prostriedkov na tvorbu takýchto rezerv</w:t>
      </w:r>
      <w:r w:rsidR="002D52A1" w:rsidRPr="002D52A1">
        <w:rPr>
          <w:noProof/>
        </w:rPr>
        <w:t>.</w:t>
      </w:r>
    </w:p>
    <w:p w14:paraId="5625349C" w14:textId="2499D2DA" w:rsidR="002D52A1" w:rsidRPr="002D52A1" w:rsidRDefault="00C60CE2" w:rsidP="22327288">
      <w:pPr>
        <w:rPr>
          <w:noProof/>
        </w:rPr>
      </w:pPr>
      <w:r w:rsidRPr="002D52A1">
        <w:rPr>
          <w:noProof/>
        </w:rPr>
        <w:t>Tvorba rezerv na úrovni 70</w:t>
      </w:r>
      <w:r w:rsidR="002D52A1">
        <w:rPr>
          <w:noProof/>
        </w:rPr>
        <w:t> %</w:t>
      </w:r>
      <w:r w:rsidRPr="002D52A1">
        <w:rPr>
          <w:noProof/>
        </w:rPr>
        <w:t xml:space="preserve"> na úvery vo výške 1,59 mld. EUR</w:t>
      </w:r>
      <w:r w:rsidR="002D52A1">
        <w:rPr>
          <w:noProof/>
        </w:rPr>
        <w:t xml:space="preserve"> v </w:t>
      </w:r>
      <w:r w:rsidRPr="002D52A1">
        <w:rPr>
          <w:noProof/>
        </w:rPr>
        <w:t>rámci ELM sa zabezpečí</w:t>
      </w:r>
      <w:r w:rsidR="002D52A1">
        <w:rPr>
          <w:noProof/>
        </w:rPr>
        <w:t xml:space="preserve"> z </w:t>
      </w:r>
      <w:r w:rsidRPr="002D52A1">
        <w:rPr>
          <w:noProof/>
        </w:rPr>
        <w:t>rozpočtu EÚ, bude sa riadiť pravidlami tvorby rezerv podľa nariadenia</w:t>
      </w:r>
      <w:r w:rsidR="002D52A1">
        <w:rPr>
          <w:noProof/>
        </w:rPr>
        <w:t xml:space="preserve"> o </w:t>
      </w:r>
      <w:r w:rsidRPr="002D52A1">
        <w:rPr>
          <w:noProof/>
        </w:rPr>
        <w:t>rozpočtových pravidlách,</w:t>
      </w:r>
      <w:r w:rsidR="002D52A1">
        <w:rPr>
          <w:noProof/>
        </w:rPr>
        <w:t xml:space="preserve"> a </w:t>
      </w:r>
      <w:r w:rsidRPr="002D52A1">
        <w:rPr>
          <w:noProof/>
        </w:rPr>
        <w:t>nie pravidlami Garančného fondu pre vonkajšie opatrenia,</w:t>
      </w:r>
      <w:r w:rsidR="002D52A1">
        <w:rPr>
          <w:noProof/>
        </w:rPr>
        <w:t xml:space="preserve"> a </w:t>
      </w:r>
      <w:r w:rsidRPr="002D52A1">
        <w:rPr>
          <w:noProof/>
        </w:rPr>
        <w:t>rezervy sa budú držať</w:t>
      </w:r>
      <w:r w:rsidR="002D52A1">
        <w:rPr>
          <w:noProof/>
        </w:rPr>
        <w:t xml:space="preserve"> v </w:t>
      </w:r>
      <w:r w:rsidRPr="002D52A1">
        <w:rPr>
          <w:noProof/>
        </w:rPr>
        <w:t>samostatnej zložke SRF</w:t>
      </w:r>
      <w:r w:rsidR="002D52A1" w:rsidRPr="002D52A1">
        <w:rPr>
          <w:noProof/>
        </w:rPr>
        <w:t>.</w:t>
      </w:r>
    </w:p>
    <w:p w14:paraId="49D6D708" w14:textId="31C47BE4" w:rsidR="001475A3" w:rsidRPr="002D52A1" w:rsidRDefault="4B2E46E8" w:rsidP="22327288">
      <w:pPr>
        <w:rPr>
          <w:rFonts w:eastAsia="Times New Roman"/>
          <w:noProof/>
        </w:rPr>
      </w:pPr>
      <w:bookmarkStart w:id="3" w:name="_Hlk113262305"/>
      <w:r w:rsidRPr="002D52A1">
        <w:rPr>
          <w:noProof/>
        </w:rPr>
        <w:t>Navrhuje sa, aby bolo akékoľvek ďalšie vyplácanie úverov</w:t>
      </w:r>
      <w:r w:rsidR="002D52A1">
        <w:rPr>
          <w:noProof/>
        </w:rPr>
        <w:t xml:space="preserve"> v </w:t>
      </w:r>
      <w:r w:rsidRPr="002D52A1">
        <w:rPr>
          <w:noProof/>
        </w:rPr>
        <w:t>rámci ELM Ukrajine, za predpokladu nezmeneného posúdenia súvisiacich rizík, podmienené nájdením rozpočtového zdroja na tvorbu rezerv na expozície vo výške 70</w:t>
      </w:r>
      <w:r w:rsidR="002D52A1">
        <w:rPr>
          <w:noProof/>
        </w:rPr>
        <w:t> %</w:t>
      </w:r>
      <w:r w:rsidRPr="002D52A1">
        <w:rPr>
          <w:noProof/>
        </w:rPr>
        <w:t xml:space="preserve"> ich pomyselnej hodnoty, pričom sa zohľadnia priority nástroja NDICI – Globálna Európa.</w:t>
      </w:r>
    </w:p>
    <w:bookmarkEnd w:id="3"/>
    <w:p w14:paraId="52043BFA" w14:textId="13522C27" w:rsidR="26DEF6C3" w:rsidRPr="002D52A1" w:rsidRDefault="30770F93" w:rsidP="005C7190">
      <w:pPr>
        <w:pStyle w:val="LegalNumPar2"/>
        <w:numPr>
          <w:ilvl w:val="1"/>
          <w:numId w:val="24"/>
        </w:numPr>
        <w:rPr>
          <w:noProof/>
          <w:spacing w:val="-4"/>
          <w:u w:val="single"/>
        </w:rPr>
      </w:pPr>
      <w:r w:rsidRPr="002D52A1">
        <w:rPr>
          <w:noProof/>
          <w:spacing w:val="-4"/>
          <w:u w:val="single"/>
        </w:rPr>
        <w:t>Preskúmanie potrieb týkajúcich sa tvorby rezerv na makrofinančnú pomoc</w:t>
      </w:r>
      <w:r w:rsidR="002D52A1" w:rsidRPr="002D52A1">
        <w:rPr>
          <w:noProof/>
          <w:spacing w:val="-4"/>
          <w:u w:val="single"/>
        </w:rPr>
        <w:t xml:space="preserve"> a </w:t>
      </w:r>
      <w:r w:rsidRPr="002D52A1">
        <w:rPr>
          <w:noProof/>
          <w:spacing w:val="-4"/>
          <w:u w:val="single"/>
        </w:rPr>
        <w:t>úvery</w:t>
      </w:r>
      <w:r w:rsidR="002D52A1" w:rsidRPr="002D52A1">
        <w:rPr>
          <w:noProof/>
          <w:spacing w:val="-4"/>
          <w:u w:val="single"/>
        </w:rPr>
        <w:t xml:space="preserve"> v </w:t>
      </w:r>
      <w:r w:rsidRPr="002D52A1">
        <w:rPr>
          <w:noProof/>
          <w:spacing w:val="-4"/>
          <w:u w:val="single"/>
        </w:rPr>
        <w:t>rámci ELM</w:t>
      </w:r>
    </w:p>
    <w:p w14:paraId="077DB925" w14:textId="5914B978" w:rsidR="26DEF6C3" w:rsidRPr="002D52A1" w:rsidRDefault="62966C14" w:rsidP="22327288">
      <w:pPr>
        <w:rPr>
          <w:noProof/>
          <w:spacing w:val="-4"/>
        </w:rPr>
      </w:pPr>
      <w:r w:rsidRPr="002D52A1">
        <w:rPr>
          <w:noProof/>
          <w:spacing w:val="-4"/>
        </w:rPr>
        <w:t>Vysoká úroveň tvorby rezerv</w:t>
      </w:r>
      <w:r w:rsidR="002D52A1" w:rsidRPr="002D52A1">
        <w:rPr>
          <w:noProof/>
          <w:spacing w:val="-4"/>
        </w:rPr>
        <w:t xml:space="preserve"> v </w:t>
      </w:r>
      <w:r w:rsidRPr="002D52A1">
        <w:rPr>
          <w:noProof/>
          <w:spacing w:val="-4"/>
        </w:rPr>
        <w:t>tomto návrhu je opodstatnená skutočnosťou, že Ukrajina</w:t>
      </w:r>
      <w:r w:rsidR="002D52A1" w:rsidRPr="002D52A1">
        <w:rPr>
          <w:noProof/>
          <w:spacing w:val="-4"/>
        </w:rPr>
        <w:t xml:space="preserve"> v </w:t>
      </w:r>
      <w:r w:rsidRPr="002D52A1">
        <w:rPr>
          <w:noProof/>
          <w:spacing w:val="-4"/>
        </w:rPr>
        <w:t>súčasnosti čelí vojenským, hospodárskym</w:t>
      </w:r>
      <w:r w:rsidR="002D52A1" w:rsidRPr="002D52A1">
        <w:rPr>
          <w:noProof/>
          <w:spacing w:val="-4"/>
        </w:rPr>
        <w:t xml:space="preserve"> a </w:t>
      </w:r>
      <w:r w:rsidRPr="002D52A1">
        <w:rPr>
          <w:noProof/>
          <w:spacing w:val="-4"/>
        </w:rPr>
        <w:t>sociálnym dôsledkom veľkého ozbrojeného konfliktu. Ak sa vojenská</w:t>
      </w:r>
      <w:r w:rsidR="002D52A1" w:rsidRPr="002D52A1">
        <w:rPr>
          <w:noProof/>
          <w:spacing w:val="-4"/>
        </w:rPr>
        <w:t xml:space="preserve"> a </w:t>
      </w:r>
      <w:r w:rsidRPr="002D52A1">
        <w:rPr>
          <w:noProof/>
          <w:spacing w:val="-4"/>
        </w:rPr>
        <w:t>hospodárska situácia na Ukrajine stabilizuje alebo zlepší, takáto úroveň tvorby rezerv už nemusí byť potrebná.</w:t>
      </w:r>
      <w:r w:rsidR="002D52A1" w:rsidRPr="002D52A1">
        <w:rPr>
          <w:noProof/>
          <w:spacing w:val="-4"/>
        </w:rPr>
        <w:t xml:space="preserve"> V </w:t>
      </w:r>
      <w:r w:rsidRPr="002D52A1">
        <w:rPr>
          <w:noProof/>
          <w:spacing w:val="-4"/>
        </w:rPr>
        <w:t>tomto návrhu sa preto predpokladá pravidelné (šesťmesačné) preskúmanie tejto miery tvorby rezerv, ktoré sa začne</w:t>
      </w:r>
      <w:r w:rsidR="002D52A1" w:rsidRPr="002D52A1">
        <w:rPr>
          <w:noProof/>
          <w:spacing w:val="-4"/>
        </w:rPr>
        <w:t xml:space="preserve"> v </w:t>
      </w:r>
      <w:r w:rsidRPr="002D52A1">
        <w:rPr>
          <w:noProof/>
          <w:spacing w:val="-4"/>
        </w:rPr>
        <w:t>polovici roka 2023, prípadne skôr. Toto preskúmanie sa bude týkať aj tvorby rezerv na úver vo výške 1 mld. EUR, ktorý bol poskytnutý na základe rozhodnutia (EÚ) 2022/1201</w:t>
      </w:r>
      <w:r w:rsidRPr="002D52A1">
        <w:rPr>
          <w:rStyle w:val="FootnoteReference"/>
          <w:noProof/>
          <w:spacing w:val="-4"/>
        </w:rPr>
        <w:footnoteReference w:id="13"/>
      </w:r>
      <w:r w:rsidRPr="002D52A1">
        <w:rPr>
          <w:noProof/>
          <w:spacing w:val="-4"/>
        </w:rPr>
        <w:t>,</w:t>
      </w:r>
      <w:r w:rsidR="002D52A1" w:rsidRPr="002D52A1">
        <w:rPr>
          <w:noProof/>
          <w:spacing w:val="-4"/>
        </w:rPr>
        <w:t xml:space="preserve"> a </w:t>
      </w:r>
      <w:r w:rsidRPr="002D52A1">
        <w:rPr>
          <w:noProof/>
          <w:spacing w:val="-4"/>
        </w:rPr>
        <w:t>mimoriadnej tvorby rezervy na úrovni 70</w:t>
      </w:r>
      <w:r w:rsidR="002D52A1" w:rsidRPr="002D52A1">
        <w:rPr>
          <w:noProof/>
          <w:spacing w:val="-4"/>
        </w:rPr>
        <w:t> %</w:t>
      </w:r>
      <w:r w:rsidRPr="002D52A1">
        <w:rPr>
          <w:noProof/>
          <w:spacing w:val="-4"/>
        </w:rPr>
        <w:t xml:space="preserve"> určenej na úvery</w:t>
      </w:r>
      <w:r w:rsidR="002D52A1" w:rsidRPr="002D52A1">
        <w:rPr>
          <w:noProof/>
          <w:spacing w:val="-4"/>
        </w:rPr>
        <w:t xml:space="preserve"> v </w:t>
      </w:r>
      <w:r w:rsidRPr="002D52A1">
        <w:rPr>
          <w:noProof/>
          <w:spacing w:val="-4"/>
        </w:rPr>
        <w:t xml:space="preserve">rámci ELM so zmeneným účelom vo výške 1,59 mld. EUR (pozri ďalej). Okrem tohto pravidelného preskúmania môže Komisia znovu posúdiť mieru tvorby rezerv </w:t>
      </w:r>
      <w:r w:rsidRPr="002D52A1">
        <w:rPr>
          <w:i/>
          <w:noProof/>
          <w:spacing w:val="-4"/>
        </w:rPr>
        <w:t>ad hoc</w:t>
      </w:r>
      <w:r w:rsidRPr="002D52A1">
        <w:rPr>
          <w:noProof/>
          <w:spacing w:val="-4"/>
        </w:rPr>
        <w:t>,</w:t>
      </w:r>
      <w:r w:rsidR="002D52A1" w:rsidRPr="002D52A1">
        <w:rPr>
          <w:noProof/>
          <w:spacing w:val="-4"/>
        </w:rPr>
        <w:t xml:space="preserve"> a </w:t>
      </w:r>
      <w:r w:rsidRPr="002D52A1">
        <w:rPr>
          <w:noProof/>
          <w:spacing w:val="-4"/>
        </w:rPr>
        <w:t>to najmä vtedy, ak je to opodstatnené mimoriadne závažnou udalosťou.</w:t>
      </w:r>
    </w:p>
    <w:p w14:paraId="6038D113" w14:textId="0B408904" w:rsidR="006E20AB" w:rsidRPr="002D52A1" w:rsidRDefault="002D52A1" w:rsidP="002D52A1">
      <w:pPr>
        <w:pStyle w:val="Point0"/>
        <w:rPr>
          <w:b/>
          <w:noProof/>
        </w:rPr>
      </w:pPr>
      <w:r w:rsidRPr="002D52A1">
        <w:rPr>
          <w:b/>
          <w:noProof/>
        </w:rPr>
        <w:t>3.</w:t>
      </w:r>
      <w:r w:rsidRPr="002D52A1">
        <w:rPr>
          <w:b/>
          <w:noProof/>
        </w:rPr>
        <w:tab/>
      </w:r>
      <w:r w:rsidR="43566008" w:rsidRPr="002D52A1">
        <w:rPr>
          <w:b/>
          <w:noProof/>
        </w:rPr>
        <w:t>Vykonávanie úverov makrofinančnej pomoci</w:t>
      </w:r>
    </w:p>
    <w:p w14:paraId="6A595562" w14:textId="7BEF867B" w:rsidR="002D52A1" w:rsidRPr="002D52A1" w:rsidRDefault="383F910F" w:rsidP="22327288">
      <w:pPr>
        <w:rPr>
          <w:noProof/>
        </w:rPr>
      </w:pPr>
      <w:r w:rsidRPr="002D52A1">
        <w:rPr>
          <w:noProof/>
        </w:rPr>
        <w:t>Po prijatí tohto návrhu</w:t>
      </w:r>
      <w:r w:rsidR="002D52A1">
        <w:rPr>
          <w:noProof/>
        </w:rPr>
        <w:t xml:space="preserve"> a </w:t>
      </w:r>
      <w:r w:rsidRPr="002D52A1">
        <w:rPr>
          <w:noProof/>
        </w:rPr>
        <w:t>dokončení všetkých formalít Komisia čo najskôr zabezpečí vyplatenie splátok úverov výnimočnej makrofinančnej pomoci. Konkrétne je potrebný i) jednoznačný</w:t>
      </w:r>
      <w:r w:rsidR="002D52A1">
        <w:rPr>
          <w:noProof/>
        </w:rPr>
        <w:t xml:space="preserve"> a </w:t>
      </w:r>
      <w:r w:rsidRPr="002D52A1">
        <w:rPr>
          <w:noProof/>
        </w:rPr>
        <w:t>jednomyseľný záväzok všetkých členských štátov uzavrieť dohody</w:t>
      </w:r>
      <w:r w:rsidR="002D52A1">
        <w:rPr>
          <w:noProof/>
        </w:rPr>
        <w:t xml:space="preserve"> o </w:t>
      </w:r>
      <w:r w:rsidRPr="002D52A1">
        <w:rPr>
          <w:noProof/>
        </w:rPr>
        <w:t>záruke najrýchlejšie, ako to ich vnútroštátne postupy dovoľujú,</w:t>
      </w:r>
      <w:r w:rsidR="002D52A1">
        <w:rPr>
          <w:noProof/>
        </w:rPr>
        <w:t xml:space="preserve"> a </w:t>
      </w:r>
      <w:r w:rsidRPr="002D52A1">
        <w:rPr>
          <w:noProof/>
        </w:rPr>
        <w:t>ii) podpis MoP</w:t>
      </w:r>
      <w:r w:rsidR="002D52A1">
        <w:rPr>
          <w:noProof/>
        </w:rPr>
        <w:t xml:space="preserve"> a </w:t>
      </w:r>
      <w:r w:rsidRPr="002D52A1">
        <w:rPr>
          <w:noProof/>
        </w:rPr>
        <w:t>nadobudnutie platnosti dohody</w:t>
      </w:r>
      <w:r w:rsidR="002D52A1">
        <w:rPr>
          <w:noProof/>
        </w:rPr>
        <w:t xml:space="preserve"> o </w:t>
      </w:r>
      <w:r w:rsidRPr="002D52A1">
        <w:rPr>
          <w:noProof/>
        </w:rPr>
        <w:t>úvere</w:t>
      </w:r>
      <w:r w:rsidR="002D52A1" w:rsidRPr="002D52A1">
        <w:rPr>
          <w:noProof/>
        </w:rPr>
        <w:t>.</w:t>
      </w:r>
    </w:p>
    <w:p w14:paraId="3717554F" w14:textId="60B2CB4C" w:rsidR="00C94923" w:rsidRPr="002D52A1" w:rsidRDefault="4D671AF0" w:rsidP="00C94923">
      <w:pPr>
        <w:rPr>
          <w:rFonts w:eastAsia="Times New Roman"/>
          <w:noProof/>
          <w:spacing w:val="-4"/>
        </w:rPr>
      </w:pPr>
      <w:r w:rsidRPr="002D52A1">
        <w:rPr>
          <w:noProof/>
          <w:spacing w:val="-4"/>
        </w:rPr>
        <w:t>V tomto návrhu sa predpokladá, že Európska komisia pristúpi</w:t>
      </w:r>
      <w:r w:rsidR="002D52A1" w:rsidRPr="002D52A1">
        <w:rPr>
          <w:noProof/>
          <w:spacing w:val="-4"/>
        </w:rPr>
        <w:t xml:space="preserve"> k </w:t>
      </w:r>
      <w:r w:rsidRPr="002D52A1">
        <w:rPr>
          <w:noProof/>
          <w:spacing w:val="-4"/>
        </w:rPr>
        <w:t>zabezpečeniu úverov ihneď po nadobudnutí účinnosti tohto rozhodnutia na základe jasného</w:t>
      </w:r>
      <w:r w:rsidR="002D52A1" w:rsidRPr="002D52A1">
        <w:rPr>
          <w:noProof/>
          <w:spacing w:val="-4"/>
        </w:rPr>
        <w:t xml:space="preserve"> a </w:t>
      </w:r>
      <w:r w:rsidRPr="002D52A1">
        <w:rPr>
          <w:noProof/>
          <w:spacing w:val="-4"/>
        </w:rPr>
        <w:t>jednoznačného záväzku všetkých členských štátov, že príslušné záruky budú poskytnuté najrýchlejšie, ako to ich vnútroštátne postupy dovoľujú.</w:t>
      </w:r>
      <w:r w:rsidR="002D52A1" w:rsidRPr="002D52A1">
        <w:rPr>
          <w:noProof/>
          <w:spacing w:val="-4"/>
        </w:rPr>
        <w:t xml:space="preserve"> Z </w:t>
      </w:r>
      <w:r w:rsidRPr="002D52A1">
        <w:rPr>
          <w:noProof/>
          <w:spacing w:val="-4"/>
        </w:rPr>
        <w:t>minulých skúseností vyplýva, že hoci mnohé členské štáty dokážu poskytnúť záruky</w:t>
      </w:r>
      <w:r w:rsidR="002D52A1" w:rsidRPr="002D52A1">
        <w:rPr>
          <w:noProof/>
          <w:spacing w:val="-4"/>
        </w:rPr>
        <w:t xml:space="preserve"> v </w:t>
      </w:r>
      <w:r w:rsidRPr="002D52A1">
        <w:rPr>
          <w:noProof/>
          <w:spacing w:val="-4"/>
        </w:rPr>
        <w:t>priebehu dvoch až troch mesiacov, získať celý súbor záruk môže trvať štyri až päť mesiacov. To by bolo</w:t>
      </w:r>
      <w:r w:rsidR="002D52A1" w:rsidRPr="002D52A1">
        <w:rPr>
          <w:noProof/>
          <w:spacing w:val="-4"/>
        </w:rPr>
        <w:t xml:space="preserve"> v </w:t>
      </w:r>
      <w:r w:rsidRPr="002D52A1">
        <w:rPr>
          <w:noProof/>
          <w:spacing w:val="-4"/>
        </w:rPr>
        <w:t>rozpore</w:t>
      </w:r>
      <w:r w:rsidR="002D52A1" w:rsidRPr="002D52A1">
        <w:rPr>
          <w:noProof/>
          <w:spacing w:val="-4"/>
        </w:rPr>
        <w:t xml:space="preserve"> s </w:t>
      </w:r>
      <w:r w:rsidRPr="002D52A1">
        <w:rPr>
          <w:noProof/>
          <w:spacing w:val="-4"/>
        </w:rPr>
        <w:t xml:space="preserve">cieľom poskytnúť Ukrajine naliehavú podporu. </w:t>
      </w:r>
      <w:r w:rsidRPr="002D52A1">
        <w:rPr>
          <w:noProof/>
          <w:color w:val="000000"/>
          <w:spacing w:val="-4"/>
        </w:rPr>
        <w:t>Komisia preto</w:t>
      </w:r>
      <w:r w:rsidRPr="002D52A1">
        <w:rPr>
          <w:noProof/>
          <w:spacing w:val="-4"/>
        </w:rPr>
        <w:t> – výnimočne vzhľadom na mimoriadnu povahu situácie – plánuje zabezpečovanie úverov súbežne so získavaním záruk.</w:t>
      </w:r>
      <w:r w:rsidR="002D52A1" w:rsidRPr="002D52A1">
        <w:rPr>
          <w:noProof/>
          <w:spacing w:val="-4"/>
        </w:rPr>
        <w:t xml:space="preserve"> V </w:t>
      </w:r>
      <w:r w:rsidRPr="002D52A1">
        <w:rPr>
          <w:noProof/>
          <w:spacing w:val="-4"/>
        </w:rPr>
        <w:t>tomto konkrétnom prípade zmierňuje riziko pre rozpočet EÚ to, že počas dlhšieho obdobia nie je splatná žiadna platba (úroková platba).</w:t>
      </w:r>
      <w:r w:rsidR="002D52A1" w:rsidRPr="002D52A1">
        <w:rPr>
          <w:noProof/>
          <w:spacing w:val="-4"/>
        </w:rPr>
        <w:t xml:space="preserve"> V </w:t>
      </w:r>
      <w:r w:rsidRPr="002D52A1">
        <w:rPr>
          <w:noProof/>
          <w:spacing w:val="-4"/>
        </w:rPr>
        <w:t>prechodom období (štyroch až piatich mesiacov) do získania všetkých záruk totiž nie sú splatné žiadne platby. Ak by</w:t>
      </w:r>
      <w:r w:rsidR="002D52A1" w:rsidRPr="002D52A1">
        <w:rPr>
          <w:noProof/>
          <w:spacing w:val="-4"/>
        </w:rPr>
        <w:t xml:space="preserve"> v </w:t>
      </w:r>
      <w:r w:rsidRPr="002D52A1">
        <w:rPr>
          <w:noProof/>
          <w:spacing w:val="-4"/>
        </w:rPr>
        <w:t>tomto prechodnom období teoreticky došlo</w:t>
      </w:r>
      <w:r w:rsidR="002D52A1" w:rsidRPr="002D52A1">
        <w:rPr>
          <w:noProof/>
          <w:spacing w:val="-4"/>
        </w:rPr>
        <w:t xml:space="preserve"> k </w:t>
      </w:r>
      <w:r w:rsidRPr="002D52A1">
        <w:rPr>
          <w:noProof/>
          <w:spacing w:val="-4"/>
        </w:rPr>
        <w:t>prípadom nesplácania, na riešenie akýchkoľvek dočasných nedostatkov možno mobilizovať rezervy vyčlenené</w:t>
      </w:r>
      <w:r w:rsidR="002D52A1" w:rsidRPr="002D52A1">
        <w:rPr>
          <w:noProof/>
          <w:spacing w:val="-4"/>
        </w:rPr>
        <w:t xml:space="preserve"> v </w:t>
      </w:r>
      <w:r w:rsidRPr="002D52A1">
        <w:rPr>
          <w:noProof/>
          <w:spacing w:val="-4"/>
        </w:rPr>
        <w:t>SRF (a</w:t>
      </w:r>
      <w:r w:rsidR="002D52A1" w:rsidRPr="002D52A1">
        <w:rPr>
          <w:noProof/>
          <w:spacing w:val="-4"/>
        </w:rPr>
        <w:t xml:space="preserve"> v </w:t>
      </w:r>
      <w:r w:rsidRPr="002D52A1">
        <w:rPr>
          <w:noProof/>
          <w:spacing w:val="-4"/>
        </w:rPr>
        <w:t>prípade potreby pristúpiť</w:t>
      </w:r>
      <w:r w:rsidR="002D52A1" w:rsidRPr="002D52A1">
        <w:rPr>
          <w:noProof/>
          <w:spacing w:val="-4"/>
        </w:rPr>
        <w:t xml:space="preserve"> k </w:t>
      </w:r>
      <w:r w:rsidRPr="002D52A1">
        <w:rPr>
          <w:noProof/>
          <w:spacing w:val="-4"/>
        </w:rPr>
        <w:t>dočasnému čerpaniu</w:t>
      </w:r>
      <w:r w:rsidR="002D52A1" w:rsidRPr="002D52A1">
        <w:rPr>
          <w:noProof/>
          <w:spacing w:val="-4"/>
        </w:rPr>
        <w:t xml:space="preserve"> z </w:t>
      </w:r>
      <w:r w:rsidRPr="002D52A1">
        <w:rPr>
          <w:noProof/>
          <w:spacing w:val="-4"/>
        </w:rPr>
        <w:t>iných zložiek SRF). Dostupnosť rezerv SRF znamená, že sú</w:t>
      </w:r>
      <w:r w:rsidR="002D52A1" w:rsidRPr="002D52A1">
        <w:rPr>
          <w:noProof/>
          <w:spacing w:val="-4"/>
        </w:rPr>
        <w:t xml:space="preserve"> k </w:t>
      </w:r>
      <w:r w:rsidRPr="002D52A1">
        <w:rPr>
          <w:noProof/>
          <w:spacing w:val="-4"/>
        </w:rPr>
        <w:t>dispozícii hotovostné zdroje na zabezpečenie všetkých platieb dlžných investorom do dlhopisov EÚ,</w:t>
      </w:r>
      <w:r w:rsidR="002D52A1" w:rsidRPr="002D52A1">
        <w:rPr>
          <w:noProof/>
          <w:spacing w:val="-4"/>
        </w:rPr>
        <w:t xml:space="preserve"> a </w:t>
      </w:r>
      <w:r w:rsidRPr="002D52A1">
        <w:rPr>
          <w:noProof/>
          <w:spacing w:val="-4"/>
        </w:rPr>
        <w:t>to aj</w:t>
      </w:r>
      <w:r w:rsidR="002D52A1" w:rsidRPr="002D52A1">
        <w:rPr>
          <w:noProof/>
          <w:spacing w:val="-4"/>
        </w:rPr>
        <w:t xml:space="preserve"> v </w:t>
      </w:r>
      <w:r w:rsidRPr="002D52A1">
        <w:rPr>
          <w:noProof/>
          <w:spacing w:val="-4"/>
        </w:rPr>
        <w:t>prípade, že ešte nie sú</w:t>
      </w:r>
      <w:r w:rsidR="002D52A1" w:rsidRPr="002D52A1">
        <w:rPr>
          <w:noProof/>
          <w:spacing w:val="-4"/>
        </w:rPr>
        <w:t xml:space="preserve"> v </w:t>
      </w:r>
      <w:r w:rsidRPr="002D52A1">
        <w:rPr>
          <w:noProof/>
          <w:spacing w:val="-4"/>
        </w:rPr>
        <w:t>plnej miere prijaté záruky.</w:t>
      </w:r>
    </w:p>
    <w:p w14:paraId="04322276" w14:textId="79D04F07" w:rsidR="61926C97" w:rsidRPr="002D52A1" w:rsidRDefault="1035FEE8" w:rsidP="61926C97">
      <w:pPr>
        <w:rPr>
          <w:noProof/>
        </w:rPr>
      </w:pPr>
      <w:r w:rsidRPr="002D52A1">
        <w:rPr>
          <w:noProof/>
        </w:rPr>
        <w:t>Európska komisia preto navrhuje, aby sa nové úvery makrofinančnej pomoci poskytli</w:t>
      </w:r>
      <w:r w:rsidR="002D52A1">
        <w:rPr>
          <w:noProof/>
        </w:rPr>
        <w:t xml:space="preserve"> v </w:t>
      </w:r>
      <w:r w:rsidRPr="002D52A1">
        <w:rPr>
          <w:noProof/>
        </w:rPr>
        <w:t>malom počte splátok čo najrýchlejšie po nadobudnutí účinnosti tohto rozhodnutia</w:t>
      </w:r>
      <w:r w:rsidR="002D52A1">
        <w:rPr>
          <w:noProof/>
        </w:rPr>
        <w:t xml:space="preserve"> a </w:t>
      </w:r>
      <w:r w:rsidRPr="002D52A1">
        <w:rPr>
          <w:noProof/>
        </w:rPr>
        <w:t>vyhotovení súvisiacej dohody</w:t>
      </w:r>
      <w:r w:rsidR="002D52A1">
        <w:rPr>
          <w:noProof/>
        </w:rPr>
        <w:t xml:space="preserve"> o </w:t>
      </w:r>
      <w:r w:rsidRPr="002D52A1">
        <w:rPr>
          <w:noProof/>
        </w:rPr>
        <w:t>úvere. Je mimoriadne dôležité, aby všetky členské štáty čo najrýchlejšie poskytli potrebné rozpočtové záruky</w:t>
      </w:r>
      <w:r w:rsidR="002D52A1">
        <w:rPr>
          <w:noProof/>
        </w:rPr>
        <w:t xml:space="preserve"> a </w:t>
      </w:r>
      <w:r w:rsidRPr="002D52A1">
        <w:rPr>
          <w:noProof/>
        </w:rPr>
        <w:t>aby sa spoločne zaviazali</w:t>
      </w:r>
      <w:r w:rsidR="002D52A1">
        <w:rPr>
          <w:noProof/>
        </w:rPr>
        <w:t xml:space="preserve"> k </w:t>
      </w:r>
      <w:r w:rsidRPr="002D52A1">
        <w:rPr>
          <w:noProof/>
        </w:rPr>
        <w:t>rýchlemu dokončeniu tohto procesu.</w:t>
      </w:r>
    </w:p>
    <w:p w14:paraId="266AF385" w14:textId="164E48FB" w:rsidR="26DEF6C3" w:rsidRPr="002D52A1" w:rsidRDefault="4123EAD6" w:rsidP="26DEF6C3">
      <w:pPr>
        <w:spacing w:before="0" w:after="240"/>
        <w:rPr>
          <w:noProof/>
        </w:rPr>
      </w:pPr>
      <w:r w:rsidRPr="002D52A1">
        <w:rPr>
          <w:noProof/>
        </w:rPr>
        <w:t>V záujme poskytnutia výnimočnej makrofinančnej pomoci</w:t>
      </w:r>
      <w:r w:rsidR="002D52A1">
        <w:rPr>
          <w:noProof/>
        </w:rPr>
        <w:t xml:space="preserve"> v </w:t>
      </w:r>
      <w:r w:rsidRPr="002D52A1">
        <w:rPr>
          <w:noProof/>
        </w:rPr>
        <w:t>plnej výške 9 mld. EUR, ako bolo oznámené</w:t>
      </w:r>
      <w:r w:rsidR="002D52A1">
        <w:rPr>
          <w:noProof/>
        </w:rPr>
        <w:t xml:space="preserve"> v </w:t>
      </w:r>
      <w:r w:rsidRPr="002D52A1">
        <w:rPr>
          <w:noProof/>
        </w:rPr>
        <w:t>oznámení</w:t>
      </w:r>
      <w:r w:rsidR="002D52A1">
        <w:rPr>
          <w:noProof/>
        </w:rPr>
        <w:t xml:space="preserve"> z </w:t>
      </w:r>
      <w:r w:rsidRPr="002D52A1">
        <w:rPr>
          <w:noProof/>
        </w:rPr>
        <w:t>18</w:t>
      </w:r>
      <w:r w:rsidR="002D52A1">
        <w:rPr>
          <w:noProof/>
        </w:rPr>
        <w:t>. mája</w:t>
      </w:r>
      <w:r w:rsidRPr="002D52A1">
        <w:rPr>
          <w:noProof/>
        </w:rPr>
        <w:t xml:space="preserve"> 2022</w:t>
      </w:r>
      <w:r w:rsidR="002D52A1">
        <w:rPr>
          <w:noProof/>
        </w:rPr>
        <w:t xml:space="preserve"> o </w:t>
      </w:r>
      <w:r w:rsidRPr="002D52A1">
        <w:rPr>
          <w:noProof/>
        </w:rPr>
        <w:t>podpore</w:t>
      </w:r>
      <w:r w:rsidR="002D52A1">
        <w:rPr>
          <w:noProof/>
        </w:rPr>
        <w:t xml:space="preserve"> a </w:t>
      </w:r>
      <w:r w:rsidRPr="002D52A1">
        <w:rPr>
          <w:noProof/>
        </w:rPr>
        <w:t>obnove Ukrajiny, Európska komisia spolupracuje</w:t>
      </w:r>
      <w:r w:rsidR="002D52A1">
        <w:rPr>
          <w:noProof/>
        </w:rPr>
        <w:t xml:space="preserve"> s </w:t>
      </w:r>
      <w:r w:rsidRPr="002D52A1">
        <w:rPr>
          <w:noProof/>
        </w:rPr>
        <w:t>členskými štátmi EÚ na príprave primeraného</w:t>
      </w:r>
      <w:r w:rsidR="002D52A1">
        <w:rPr>
          <w:noProof/>
        </w:rPr>
        <w:t xml:space="preserve"> a </w:t>
      </w:r>
      <w:r w:rsidRPr="002D52A1">
        <w:rPr>
          <w:noProof/>
        </w:rPr>
        <w:t>spravodlivého mechanizmu vyplatenia zostávajúcej sumy 3 mld. EUR. Po dokončení jeho koncepcie Komisia rýchlo prikročí</w:t>
      </w:r>
      <w:r w:rsidR="002D52A1">
        <w:rPr>
          <w:noProof/>
        </w:rPr>
        <w:t xml:space="preserve"> k </w:t>
      </w:r>
      <w:r w:rsidRPr="002D52A1">
        <w:rPr>
          <w:noProof/>
        </w:rPr>
        <w:t>návrhu týkajúcemu sa zostávajúcej sumy podpory.</w:t>
      </w:r>
    </w:p>
    <w:p w14:paraId="700CF3E1" w14:textId="77777777" w:rsidR="00F152DC" w:rsidRPr="002D52A1" w:rsidRDefault="00F152DC" w:rsidP="00D045D9">
      <w:pPr>
        <w:pStyle w:val="ManualHeading1"/>
        <w:rPr>
          <w:noProof/>
        </w:rPr>
      </w:pPr>
      <w:r w:rsidRPr="002D52A1">
        <w:rPr>
          <w:noProof/>
        </w:rPr>
        <w:t>2.</w:t>
      </w:r>
      <w:r w:rsidRPr="002D52A1">
        <w:rPr>
          <w:noProof/>
        </w:rPr>
        <w:tab/>
        <w:t>PRÁVNY ZÁKLAD, SUBSIDIARITA A PROPORCIONALITA</w:t>
      </w:r>
    </w:p>
    <w:p w14:paraId="3BF4F247" w14:textId="77777777"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Právny základ</w:t>
      </w:r>
    </w:p>
    <w:p w14:paraId="6AC9322B" w14:textId="37855AD8" w:rsidR="002D52A1" w:rsidRPr="002D52A1" w:rsidRDefault="6E8ED94A" w:rsidP="00FA50C2">
      <w:pPr>
        <w:rPr>
          <w:noProof/>
        </w:rPr>
      </w:pPr>
      <w:r w:rsidRPr="002D52A1">
        <w:rPr>
          <w:noProof/>
        </w:rPr>
        <w:t>Článok 212 Zmluvy</w:t>
      </w:r>
      <w:r w:rsidR="002D52A1">
        <w:rPr>
          <w:noProof/>
        </w:rPr>
        <w:t xml:space="preserve"> o </w:t>
      </w:r>
      <w:r w:rsidRPr="002D52A1">
        <w:rPr>
          <w:noProof/>
        </w:rPr>
        <w:t>fungovaní Európskej únie je vhodným právnym základom na poskytovanie finančnej pomoci Únie tretím krajinám.</w:t>
      </w:r>
      <w:r w:rsidR="002D52A1" w:rsidRPr="002D52A1">
        <w:rPr>
          <w:noProof/>
        </w:rPr>
        <w:t xml:space="preserve"> </w:t>
      </w:r>
      <w:r w:rsidRPr="002D52A1">
        <w:rPr>
          <w:noProof/>
        </w:rPr>
        <w:t>Nevyprovokovaná</w:t>
      </w:r>
      <w:r w:rsidR="002D52A1">
        <w:rPr>
          <w:noProof/>
        </w:rPr>
        <w:t xml:space="preserve"> a </w:t>
      </w:r>
      <w:r w:rsidRPr="002D52A1">
        <w:rPr>
          <w:noProof/>
        </w:rPr>
        <w:t>neodôvodnená vojenská agresia Ruska si vyžaduje poskytnutie dodatočnej finančnej pomoci Ukrajine.</w:t>
      </w:r>
      <w:r w:rsidR="002D52A1">
        <w:rPr>
          <w:noProof/>
        </w:rPr>
        <w:t xml:space="preserve"> S </w:t>
      </w:r>
      <w:r w:rsidRPr="002D52A1">
        <w:rPr>
          <w:noProof/>
        </w:rPr>
        <w:t>cieľom posilniť rozpočtovú udržateľnosť týchto opatrení je takisto potrebné stanoviť mechanizmus záruk členských štátov, ktorý bude základom finančnej pomoci. Za súčasných okolností uvedené záruky predstavujú nevyhnutný sprievodný prvok finančnej pomoci</w:t>
      </w:r>
      <w:r w:rsidR="002D52A1" w:rsidRPr="002D52A1">
        <w:rPr>
          <w:noProof/>
        </w:rPr>
        <w:t>.</w:t>
      </w:r>
    </w:p>
    <w:p w14:paraId="1E976AA4" w14:textId="77777777" w:rsidR="002D52A1" w:rsidRPr="002D52A1" w:rsidRDefault="00F152DC" w:rsidP="00D045D9">
      <w:pPr>
        <w:pStyle w:val="ManualHeading2"/>
        <w:rPr>
          <w:noProof/>
          <w:u w:color="000000"/>
          <w:bdr w:val="nil"/>
        </w:rPr>
      </w:pPr>
      <w:r w:rsidRPr="002D52A1">
        <w:rPr>
          <w:noProof/>
          <w:u w:color="000000"/>
          <w:bdr w:val="nil"/>
        </w:rPr>
        <w:t>•</w:t>
      </w:r>
      <w:r w:rsidRPr="002D52A1">
        <w:rPr>
          <w:noProof/>
        </w:rPr>
        <w:tab/>
      </w:r>
      <w:r w:rsidRPr="002D52A1">
        <w:rPr>
          <w:noProof/>
          <w:u w:color="000000"/>
          <w:bdr w:val="nil"/>
        </w:rPr>
        <w:t>Subsidiarita (v prípade inej ako výlučnej právomoci)</w:t>
      </w:r>
    </w:p>
    <w:p w14:paraId="04F15FD3" w14:textId="5294A9C7" w:rsidR="004D643E" w:rsidRPr="002D52A1" w:rsidRDefault="004D643E" w:rsidP="003C45F0">
      <w:pPr>
        <w:rPr>
          <w:noProof/>
        </w:rPr>
      </w:pPr>
      <w:r w:rsidRPr="002D52A1">
        <w:rPr>
          <w:noProof/>
        </w:rPr>
        <w:t>Zásada subsidiarity je dodržaná, keďže ciele obnovy makrofinančnej stability</w:t>
      </w:r>
      <w:r w:rsidR="002D52A1">
        <w:rPr>
          <w:noProof/>
        </w:rPr>
        <w:t xml:space="preserve"> v </w:t>
      </w:r>
      <w:r w:rsidRPr="002D52A1">
        <w:rPr>
          <w:noProof/>
        </w:rPr>
        <w:t>krátkodobom horizonte na Ukrajine nemožno uspokojivo dosiahnuť na úrovni samotných členských štátov, ale možno ich lepšie dosiahnuť na úrovni EÚ. Hlavnými dôvodmi sú rozpočtové obmedzenia existujúce na vnútroštátnej úrovni</w:t>
      </w:r>
      <w:r w:rsidR="002D52A1">
        <w:rPr>
          <w:noProof/>
        </w:rPr>
        <w:t xml:space="preserve"> a </w:t>
      </w:r>
      <w:r w:rsidRPr="002D52A1">
        <w:rPr>
          <w:noProof/>
        </w:rPr>
        <w:t>potreba silnej koordinácie darcov</w:t>
      </w:r>
      <w:r w:rsidR="002D52A1">
        <w:rPr>
          <w:noProof/>
        </w:rPr>
        <w:t xml:space="preserve"> s </w:t>
      </w:r>
      <w:r w:rsidRPr="002D52A1">
        <w:rPr>
          <w:noProof/>
        </w:rPr>
        <w:t>cieľom maximalizovať rozsah</w:t>
      </w:r>
      <w:r w:rsidR="002D52A1">
        <w:rPr>
          <w:noProof/>
        </w:rPr>
        <w:t xml:space="preserve"> a </w:t>
      </w:r>
      <w:r w:rsidRPr="002D52A1">
        <w:rPr>
          <w:noProof/>
        </w:rPr>
        <w:t>účinnosť pomoci</w:t>
      </w:r>
      <w:r w:rsidR="002D52A1">
        <w:rPr>
          <w:noProof/>
        </w:rPr>
        <w:t xml:space="preserve"> a </w:t>
      </w:r>
      <w:r w:rsidRPr="002D52A1">
        <w:rPr>
          <w:noProof/>
        </w:rPr>
        <w:t>zároveň obmedziť záťaž pre administratívne kapacity ukrajinských orgánov, ktoré sú za súčasných okolností veľmi vyťažené.</w:t>
      </w:r>
    </w:p>
    <w:p w14:paraId="3AF5DB7F" w14:textId="77777777"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Proporcionalita</w:t>
      </w:r>
    </w:p>
    <w:p w14:paraId="04F279AC" w14:textId="007DB5A9" w:rsidR="004D643E" w:rsidRPr="002D52A1" w:rsidRDefault="004D643E" w:rsidP="004D643E">
      <w:pPr>
        <w:pBdr>
          <w:top w:val="nil"/>
          <w:left w:val="nil"/>
          <w:bottom w:val="nil"/>
          <w:right w:val="nil"/>
          <w:between w:val="nil"/>
          <w:bar w:val="nil"/>
        </w:pBdr>
        <w:spacing w:before="0" w:after="240"/>
        <w:rPr>
          <w:noProof/>
        </w:rPr>
      </w:pPr>
      <w:r w:rsidRPr="002D52A1">
        <w:rPr>
          <w:noProof/>
        </w:rPr>
        <w:t>Tento návrh je</w:t>
      </w:r>
      <w:r w:rsidR="002D52A1">
        <w:rPr>
          <w:noProof/>
        </w:rPr>
        <w:t xml:space="preserve"> v </w:t>
      </w:r>
      <w:r w:rsidRPr="002D52A1">
        <w:rPr>
          <w:noProof/>
        </w:rPr>
        <w:t>súlade so zásadou proporcionality, pretože je obmedzený na minimum požadované</w:t>
      </w:r>
      <w:r w:rsidR="002D52A1">
        <w:rPr>
          <w:noProof/>
        </w:rPr>
        <w:t xml:space="preserve"> v </w:t>
      </w:r>
      <w:r w:rsidRPr="002D52A1">
        <w:rPr>
          <w:noProof/>
        </w:rPr>
        <w:t>záujme dosiahnutia cieľov udržania makrofinančnej stability</w:t>
      </w:r>
      <w:r w:rsidR="002D52A1">
        <w:rPr>
          <w:noProof/>
        </w:rPr>
        <w:t xml:space="preserve"> v </w:t>
      </w:r>
      <w:r w:rsidRPr="002D52A1">
        <w:rPr>
          <w:noProof/>
        </w:rPr>
        <w:t>krátkodobom horizonte</w:t>
      </w:r>
      <w:r w:rsidR="002D52A1">
        <w:rPr>
          <w:noProof/>
        </w:rPr>
        <w:t xml:space="preserve"> a </w:t>
      </w:r>
      <w:r w:rsidRPr="002D52A1">
        <w:rPr>
          <w:noProof/>
        </w:rPr>
        <w:t>neprekračuje rámec toho, čo je nevyhnutné na tento účel.</w:t>
      </w:r>
    </w:p>
    <w:p w14:paraId="6532697D" w14:textId="4DF713ED" w:rsidR="004D643E" w:rsidRPr="002D52A1" w:rsidRDefault="28666615" w:rsidP="22327288">
      <w:pPr>
        <w:pBdr>
          <w:top w:val="nil"/>
          <w:left w:val="nil"/>
          <w:bottom w:val="nil"/>
          <w:right w:val="nil"/>
          <w:between w:val="nil"/>
          <w:bar w:val="nil"/>
        </w:pBdr>
        <w:spacing w:before="0" w:after="240"/>
        <w:rPr>
          <w:noProof/>
        </w:rPr>
      </w:pPr>
      <w:r w:rsidRPr="002D52A1">
        <w:rPr>
          <w:noProof/>
        </w:rPr>
        <w:t>Ako Komisia určila na základe odhadov orgánov</w:t>
      </w:r>
      <w:r w:rsidR="002D52A1">
        <w:rPr>
          <w:noProof/>
        </w:rPr>
        <w:t xml:space="preserve"> a </w:t>
      </w:r>
      <w:r w:rsidRPr="002D52A1">
        <w:rPr>
          <w:noProof/>
        </w:rPr>
        <w:t>ako potvrdil MMF</w:t>
      </w:r>
      <w:r w:rsidRPr="002D52A1">
        <w:rPr>
          <w:rStyle w:val="FootnoteReference"/>
          <w:rFonts w:eastAsia="Arial Unicode MS"/>
          <w:noProof/>
        </w:rPr>
        <w:footnoteReference w:id="14"/>
      </w:r>
      <w:r w:rsidRPr="002D52A1">
        <w:rPr>
          <w:noProof/>
        </w:rPr>
        <w:t>, výška navrhovanej výnimočnej makrofinančnej pomoci spolu</w:t>
      </w:r>
      <w:r w:rsidR="002D52A1">
        <w:rPr>
          <w:noProof/>
        </w:rPr>
        <w:t xml:space="preserve"> s </w:t>
      </w:r>
      <w:r w:rsidRPr="002D52A1">
        <w:rPr>
          <w:noProof/>
        </w:rPr>
        <w:t>už vyplatenou núdzovou makrofinančnou pomocou zodpovedá najviac polovici odhadovanej zostatkovej medzery vo financovaní na rok 2022. Tento podiel je</w:t>
      </w:r>
      <w:r w:rsidR="002D52A1">
        <w:rPr>
          <w:noProof/>
        </w:rPr>
        <w:t xml:space="preserve"> v </w:t>
      </w:r>
      <w:r w:rsidRPr="002D52A1">
        <w:rPr>
          <w:noProof/>
        </w:rPr>
        <w:t>súlade so štandardnými postupmi pre rozdelenie zaťaženia pri operáciách makrofinančnej pomoci (v prípade krajiny,</w:t>
      </w:r>
      <w:r w:rsidR="002D52A1">
        <w:rPr>
          <w:noProof/>
        </w:rPr>
        <w:t xml:space="preserve"> s </w:t>
      </w:r>
      <w:r w:rsidRPr="002D52A1">
        <w:rPr>
          <w:noProof/>
        </w:rPr>
        <w:t>ktorou bola podpísaná dohoda</w:t>
      </w:r>
      <w:r w:rsidR="002D52A1">
        <w:rPr>
          <w:noProof/>
        </w:rPr>
        <w:t xml:space="preserve"> o </w:t>
      </w:r>
      <w:r w:rsidRPr="002D52A1">
        <w:rPr>
          <w:noProof/>
        </w:rPr>
        <w:t>pridružení, by horná hranica bola 60</w:t>
      </w:r>
      <w:r w:rsidR="002D52A1">
        <w:rPr>
          <w:noProof/>
        </w:rPr>
        <w:t> %</w:t>
      </w:r>
      <w:r w:rsidRPr="002D52A1">
        <w:rPr>
          <w:noProof/>
        </w:rPr>
        <w:t xml:space="preserve"> podľa záverov Rady pre hospodárske</w:t>
      </w:r>
      <w:r w:rsidR="002D52A1">
        <w:rPr>
          <w:noProof/>
        </w:rPr>
        <w:t xml:space="preserve"> a </w:t>
      </w:r>
      <w:r w:rsidRPr="002D52A1">
        <w:rPr>
          <w:noProof/>
        </w:rPr>
        <w:t>finančné záležitosti</w:t>
      </w:r>
      <w:r w:rsidR="002D52A1">
        <w:rPr>
          <w:noProof/>
        </w:rPr>
        <w:t xml:space="preserve"> z </w:t>
      </w:r>
      <w:r w:rsidRPr="002D52A1">
        <w:rPr>
          <w:noProof/>
        </w:rPr>
        <w:t>8</w:t>
      </w:r>
      <w:r w:rsidR="002D52A1">
        <w:rPr>
          <w:noProof/>
        </w:rPr>
        <w:t>. októbra</w:t>
      </w:r>
      <w:r w:rsidRPr="002D52A1">
        <w:rPr>
          <w:noProof/>
        </w:rPr>
        <w:t xml:space="preserve"> 2002), pričom je zohľadnená pomoc prisľúbená Ukrajine od iných bilaterálnych</w:t>
      </w:r>
      <w:r w:rsidR="002D52A1">
        <w:rPr>
          <w:noProof/>
        </w:rPr>
        <w:t xml:space="preserve"> a </w:t>
      </w:r>
      <w:r w:rsidRPr="002D52A1">
        <w:rPr>
          <w:noProof/>
        </w:rPr>
        <w:t>multilaterálnych darcov.</w:t>
      </w:r>
    </w:p>
    <w:p w14:paraId="5A05CE7B" w14:textId="3910DFA0" w:rsidR="004D643E" w:rsidRPr="002D52A1" w:rsidRDefault="2D6D47E0" w:rsidP="004D643E">
      <w:pPr>
        <w:pBdr>
          <w:top w:val="nil"/>
          <w:left w:val="nil"/>
          <w:bottom w:val="nil"/>
          <w:right w:val="nil"/>
          <w:between w:val="nil"/>
          <w:bar w:val="nil"/>
        </w:pBdr>
        <w:spacing w:before="0" w:after="240"/>
        <w:rPr>
          <w:noProof/>
        </w:rPr>
      </w:pPr>
      <w:r w:rsidRPr="002D52A1">
        <w:rPr>
          <w:noProof/>
        </w:rPr>
        <w:t>Záruky členských štátov, na ktorých plnenie sa uplatní výzva len za výnimočných okolností, sa zdajú najúčinnejším riešením</w:t>
      </w:r>
      <w:r w:rsidR="002D52A1">
        <w:rPr>
          <w:noProof/>
        </w:rPr>
        <w:t xml:space="preserve"> z </w:t>
      </w:r>
      <w:r w:rsidRPr="002D52A1">
        <w:rPr>
          <w:noProof/>
        </w:rPr>
        <w:t>finančného hľadiska. Toto riešenie eliminuje potrebu nájsť dodatočné zdroje</w:t>
      </w:r>
      <w:r w:rsidR="002D52A1">
        <w:rPr>
          <w:noProof/>
        </w:rPr>
        <w:t xml:space="preserve"> v </w:t>
      </w:r>
      <w:r w:rsidRPr="002D52A1">
        <w:rPr>
          <w:noProof/>
        </w:rPr>
        <w:t>rámci súčasných stropov VFR,</w:t>
      </w:r>
      <w:r w:rsidR="002D52A1">
        <w:rPr>
          <w:noProof/>
        </w:rPr>
        <w:t xml:space="preserve"> v </w:t>
      </w:r>
      <w:r w:rsidRPr="002D52A1">
        <w:rPr>
          <w:noProof/>
        </w:rPr>
        <w:t>ktorom sú všetky sumy</w:t>
      </w:r>
      <w:r w:rsidR="002D52A1">
        <w:rPr>
          <w:noProof/>
        </w:rPr>
        <w:t xml:space="preserve"> v </w:t>
      </w:r>
      <w:r w:rsidRPr="002D52A1">
        <w:rPr>
          <w:noProof/>
        </w:rPr>
        <w:t xml:space="preserve">súčasnosti plne využité. Zároveň členské štáty vďaka tomu nebudú musieť poskytnúť dodatočné finančné prostriedky </w:t>
      </w:r>
      <w:r w:rsidRPr="002D52A1">
        <w:rPr>
          <w:i/>
          <w:noProof/>
        </w:rPr>
        <w:t>ex ante</w:t>
      </w:r>
      <w:r w:rsidRPr="002D52A1">
        <w:rPr>
          <w:noProof/>
        </w:rPr>
        <w:t xml:space="preserve">, ale namiesto toho sa výzvy na plnenie zo súm uplatnia </w:t>
      </w:r>
      <w:r w:rsidRPr="002D52A1">
        <w:rPr>
          <w:i/>
          <w:noProof/>
        </w:rPr>
        <w:t>ex post</w:t>
      </w:r>
      <w:r w:rsidRPr="002D52A1">
        <w:rPr>
          <w:noProof/>
        </w:rPr>
        <w:t xml:space="preserve"> až</w:t>
      </w:r>
      <w:r w:rsidR="002D52A1">
        <w:rPr>
          <w:noProof/>
        </w:rPr>
        <w:t xml:space="preserve"> v </w:t>
      </w:r>
      <w:r w:rsidRPr="002D52A1">
        <w:rPr>
          <w:noProof/>
        </w:rPr>
        <w:t>prípade, že by došlo</w:t>
      </w:r>
      <w:r w:rsidR="002D52A1">
        <w:rPr>
          <w:noProof/>
        </w:rPr>
        <w:t xml:space="preserve"> k </w:t>
      </w:r>
      <w:r w:rsidRPr="002D52A1">
        <w:rPr>
          <w:noProof/>
        </w:rPr>
        <w:t>potenciálnym stratám.</w:t>
      </w:r>
    </w:p>
    <w:p w14:paraId="2BCF1801" w14:textId="5D8B3486" w:rsidR="004D643E" w:rsidRPr="002D52A1" w:rsidRDefault="004D643E" w:rsidP="22327288">
      <w:pPr>
        <w:pBdr>
          <w:top w:val="nil"/>
          <w:left w:val="nil"/>
          <w:bottom w:val="nil"/>
          <w:right w:val="nil"/>
          <w:between w:val="nil"/>
          <w:bar w:val="nil"/>
        </w:pBdr>
        <w:spacing w:before="0" w:after="240"/>
        <w:rPr>
          <w:noProof/>
          <w:spacing w:val="-4"/>
        </w:rPr>
      </w:pPr>
      <w:r w:rsidRPr="002D52A1">
        <w:rPr>
          <w:noProof/>
          <w:spacing w:val="-4"/>
        </w:rPr>
        <w:t>Od členských štátov sa bude vyžadovať, aby sprístupnili zdroje</w:t>
      </w:r>
      <w:r w:rsidR="002D52A1" w:rsidRPr="002D52A1">
        <w:rPr>
          <w:noProof/>
          <w:spacing w:val="-4"/>
        </w:rPr>
        <w:t xml:space="preserve"> v </w:t>
      </w:r>
      <w:r w:rsidRPr="002D52A1">
        <w:rPr>
          <w:noProof/>
          <w:spacing w:val="-4"/>
        </w:rPr>
        <w:t>rámci tohto nástroja len za obmedzeného súboru okolností stanovených</w:t>
      </w:r>
      <w:r w:rsidR="002D52A1" w:rsidRPr="002D52A1">
        <w:rPr>
          <w:noProof/>
          <w:spacing w:val="-4"/>
        </w:rPr>
        <w:t xml:space="preserve"> v </w:t>
      </w:r>
      <w:r w:rsidRPr="002D52A1">
        <w:rPr>
          <w:noProof/>
          <w:spacing w:val="-4"/>
        </w:rPr>
        <w:t>rozhodnutí. Konkrétne nebudú musieť uskutočňovať hotovostné prevody EÚ ihneď, ale až po splnení podmienok na uplatnenie výziev na plnenie. Keďže vyplácanie možno</w:t>
      </w:r>
      <w:r w:rsidR="002D52A1" w:rsidRPr="002D52A1">
        <w:rPr>
          <w:noProof/>
          <w:spacing w:val="-4"/>
        </w:rPr>
        <w:t xml:space="preserve"> v </w:t>
      </w:r>
      <w:r w:rsidRPr="002D52A1">
        <w:rPr>
          <w:noProof/>
          <w:spacing w:val="-4"/>
        </w:rPr>
        <w:t>prvom rade uspokojiť</w:t>
      </w:r>
      <w:r w:rsidR="002D52A1" w:rsidRPr="002D52A1">
        <w:rPr>
          <w:noProof/>
          <w:spacing w:val="-4"/>
        </w:rPr>
        <w:t xml:space="preserve"> z </w:t>
      </w:r>
      <w:r w:rsidRPr="002D52A1">
        <w:rPr>
          <w:noProof/>
          <w:spacing w:val="-4"/>
        </w:rPr>
        <w:t>rezerv SRF, je pravdepodobné, že výzvy na plnenie zo záruk, ak sa vôbec uplatnia, budú dosť zriedkavé</w:t>
      </w:r>
      <w:r w:rsidR="002D52A1" w:rsidRPr="002D52A1">
        <w:rPr>
          <w:noProof/>
          <w:spacing w:val="-4"/>
        </w:rPr>
        <w:t xml:space="preserve"> a </w:t>
      </w:r>
      <w:r w:rsidRPr="002D52A1">
        <w:rPr>
          <w:noProof/>
          <w:spacing w:val="-4"/>
        </w:rPr>
        <w:t>predvídateľné.</w:t>
      </w:r>
    </w:p>
    <w:p w14:paraId="42D8B79A" w14:textId="77777777"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Výber nástroja</w:t>
      </w:r>
    </w:p>
    <w:p w14:paraId="7F83C038" w14:textId="50649DAF" w:rsidR="002D52A1" w:rsidRPr="002D52A1" w:rsidRDefault="00D95034" w:rsidP="00D95034">
      <w:pPr>
        <w:rPr>
          <w:noProof/>
        </w:rPr>
      </w:pPr>
      <w:r w:rsidRPr="002D52A1">
        <w:rPr>
          <w:noProof/>
        </w:rPr>
        <w:t>Projektové financovanie ani technická pomoc by neboli vhodné ani dostatočné na riešenie širších makrofinančných cieľov tejto výnimočnej makrofinančnej pomoci. Hlavnou pridanou hodnotou výnimočnej makrofinančnej pomoci</w:t>
      </w:r>
      <w:r w:rsidR="002D52A1">
        <w:rPr>
          <w:noProof/>
        </w:rPr>
        <w:t xml:space="preserve"> v </w:t>
      </w:r>
      <w:r w:rsidRPr="002D52A1">
        <w:rPr>
          <w:noProof/>
        </w:rPr>
        <w:t>porovnaní</w:t>
      </w:r>
      <w:r w:rsidR="002D52A1">
        <w:rPr>
          <w:noProof/>
        </w:rPr>
        <w:t xml:space="preserve"> s </w:t>
      </w:r>
      <w:r w:rsidRPr="002D52A1">
        <w:rPr>
          <w:noProof/>
        </w:rPr>
        <w:t>inými nástrojmi EÚ je rýchle zmiernenie vonkajšieho finančného obmedzenia</w:t>
      </w:r>
      <w:r w:rsidR="002D52A1">
        <w:rPr>
          <w:noProof/>
        </w:rPr>
        <w:t xml:space="preserve"> v </w:t>
      </w:r>
      <w:r w:rsidRPr="002D52A1">
        <w:rPr>
          <w:noProof/>
        </w:rPr>
        <w:t>potrebnom rozsahu. Prispieva sa tým</w:t>
      </w:r>
      <w:r w:rsidR="002D52A1">
        <w:rPr>
          <w:noProof/>
        </w:rPr>
        <w:t xml:space="preserve"> k </w:t>
      </w:r>
      <w:r w:rsidRPr="002D52A1">
        <w:rPr>
          <w:noProof/>
        </w:rPr>
        <w:t>zabezpečeniu stabilného makrofinančného rámca,</w:t>
      </w:r>
      <w:r w:rsidR="002D52A1">
        <w:rPr>
          <w:noProof/>
        </w:rPr>
        <w:t xml:space="preserve"> a </w:t>
      </w:r>
      <w:r w:rsidRPr="002D52A1">
        <w:rPr>
          <w:noProof/>
        </w:rPr>
        <w:t>to aj prostredníctvom podpory trvalej</w:t>
      </w:r>
      <w:r w:rsidR="002D52A1">
        <w:rPr>
          <w:noProof/>
        </w:rPr>
        <w:t xml:space="preserve"> a </w:t>
      </w:r>
      <w:r w:rsidRPr="002D52A1">
        <w:rPr>
          <w:noProof/>
        </w:rPr>
        <w:t>udržateľnejšej platobnej bilancie</w:t>
      </w:r>
      <w:r w:rsidR="002D52A1">
        <w:rPr>
          <w:noProof/>
        </w:rPr>
        <w:t xml:space="preserve"> a </w:t>
      </w:r>
      <w:r w:rsidRPr="002D52A1">
        <w:rPr>
          <w:noProof/>
        </w:rPr>
        <w:t>rozpočtovej situácie,</w:t>
      </w:r>
      <w:r w:rsidR="002D52A1">
        <w:rPr>
          <w:noProof/>
        </w:rPr>
        <w:t xml:space="preserve"> s </w:t>
      </w:r>
      <w:r w:rsidRPr="002D52A1">
        <w:rPr>
          <w:noProof/>
        </w:rPr>
        <w:t>uplatnením vhodného rámca pre požiadavky na podávanie správ</w:t>
      </w:r>
      <w:r w:rsidR="002D52A1">
        <w:rPr>
          <w:noProof/>
        </w:rPr>
        <w:t xml:space="preserve"> a </w:t>
      </w:r>
      <w:r w:rsidRPr="002D52A1">
        <w:rPr>
          <w:noProof/>
        </w:rPr>
        <w:t>politické podmienky. Vďaka tomu, že makrofinančná pomoc pomôže zaistiť vhodný celkový politický rámec, môže zvýšiť aj účinnosť opatrení financovaných na Ukrajine</w:t>
      </w:r>
      <w:r w:rsidR="002D52A1">
        <w:rPr>
          <w:noProof/>
        </w:rPr>
        <w:t xml:space="preserve"> v </w:t>
      </w:r>
      <w:r w:rsidRPr="002D52A1">
        <w:rPr>
          <w:noProof/>
        </w:rPr>
        <w:t>rámci iných, užšie zameraných finančných nástrojov EÚ. Vplyv na udržateľnosť dlhovej služby krajiny je zmiernený zriadením operácie za veľmi výhodných podmienok</w:t>
      </w:r>
      <w:r w:rsidR="002D52A1">
        <w:rPr>
          <w:noProof/>
        </w:rPr>
        <w:t xml:space="preserve"> a s </w:t>
      </w:r>
      <w:r w:rsidRPr="002D52A1">
        <w:rPr>
          <w:noProof/>
        </w:rPr>
        <w:t>dlhšou splatnosťou</w:t>
      </w:r>
      <w:r w:rsidR="002D52A1">
        <w:rPr>
          <w:noProof/>
        </w:rPr>
        <w:t xml:space="preserve"> a </w:t>
      </w:r>
      <w:r w:rsidRPr="002D52A1">
        <w:rPr>
          <w:noProof/>
        </w:rPr>
        <w:t>dotáciou na pokrytie úrokových nákladov. Rýchle poskytnutie veľmi potrebnej</w:t>
      </w:r>
      <w:r w:rsidR="002D52A1">
        <w:rPr>
          <w:noProof/>
        </w:rPr>
        <w:t xml:space="preserve"> a </w:t>
      </w:r>
      <w:r w:rsidRPr="002D52A1">
        <w:rPr>
          <w:noProof/>
        </w:rPr>
        <w:t>veľmi významnej sumy finančnej podpory prostredníctvom veľmi výhodnej štruktúry makrofinančnej pomoci vo forme úverov sa zdá opodstatnené, najmä vzhľadom na obmedzenia, ktorým čelí medzinárodné spoločenstvo vrátane EÚ, pokiaľ ide</w:t>
      </w:r>
      <w:r w:rsidR="002D52A1">
        <w:rPr>
          <w:noProof/>
        </w:rPr>
        <w:t xml:space="preserve"> o </w:t>
      </w:r>
      <w:r w:rsidRPr="002D52A1">
        <w:rPr>
          <w:noProof/>
        </w:rPr>
        <w:t>poskytovanie značného grantového financovania</w:t>
      </w:r>
      <w:r w:rsidR="002D52A1" w:rsidRPr="002D52A1">
        <w:rPr>
          <w:noProof/>
        </w:rPr>
        <w:t>.</w:t>
      </w:r>
    </w:p>
    <w:p w14:paraId="1CCAF2FF" w14:textId="43967E9A" w:rsidR="00F152DC" w:rsidRPr="002D52A1" w:rsidRDefault="00F152DC" w:rsidP="00BA468B">
      <w:pPr>
        <w:pStyle w:val="ManualHeading1"/>
        <w:spacing w:before="0" w:after="240"/>
        <w:rPr>
          <w:rFonts w:eastAsia="Arial Unicode MS"/>
          <w:noProof/>
        </w:rPr>
      </w:pPr>
      <w:r w:rsidRPr="002D52A1">
        <w:rPr>
          <w:noProof/>
        </w:rPr>
        <w:t>3.</w:t>
      </w:r>
      <w:r w:rsidRPr="002D52A1">
        <w:rPr>
          <w:noProof/>
        </w:rPr>
        <w:tab/>
        <w:t xml:space="preserve">VÝSLEDKY HODNOTENÍ </w:t>
      </w:r>
      <w:r w:rsidRPr="002D52A1">
        <w:rPr>
          <w:i/>
          <w:noProof/>
        </w:rPr>
        <w:t>EX POST</w:t>
      </w:r>
      <w:r w:rsidRPr="002D52A1">
        <w:rPr>
          <w:noProof/>
        </w:rPr>
        <w:t>, KONZULTÁCIÍ SO ZAINTERESOVANÝMI STRANAMI A POSÚDENÍ VPLYVU</w:t>
      </w:r>
    </w:p>
    <w:p w14:paraId="30D8E233" w14:textId="77777777" w:rsidR="00F152DC" w:rsidRPr="002D52A1" w:rsidRDefault="00F152DC" w:rsidP="00D045D9">
      <w:pPr>
        <w:pStyle w:val="ManualHeading2"/>
        <w:rPr>
          <w:rFonts w:eastAsia="Arial Unicode MS"/>
          <w:noProof/>
          <w:u w:color="000000"/>
          <w:bdr w:val="nil"/>
        </w:rPr>
      </w:pPr>
      <w:r w:rsidRPr="002D52A1">
        <w:rPr>
          <w:noProof/>
          <w:bdr w:val="nil"/>
        </w:rPr>
        <w:t>•</w:t>
      </w:r>
      <w:r w:rsidRPr="002D52A1">
        <w:rPr>
          <w:noProof/>
        </w:rPr>
        <w:tab/>
      </w:r>
      <w:r w:rsidRPr="002D52A1">
        <w:rPr>
          <w:noProof/>
          <w:bdr w:val="nil"/>
        </w:rPr>
        <w:t xml:space="preserve">Hodnotenia </w:t>
      </w:r>
      <w:r w:rsidRPr="002D52A1">
        <w:rPr>
          <w:i/>
          <w:noProof/>
          <w:bdr w:val="nil"/>
        </w:rPr>
        <w:t>ex post</w:t>
      </w:r>
      <w:r w:rsidRPr="002D52A1">
        <w:rPr>
          <w:noProof/>
          <w:bdr w:val="nil"/>
        </w:rPr>
        <w:t>/kontroly vhodnosti existujúcich právnych predpisov</w:t>
      </w:r>
    </w:p>
    <w:p w14:paraId="4197C48A" w14:textId="4E25CA65" w:rsidR="002D52A1" w:rsidRPr="002D52A1" w:rsidRDefault="45FEAB70" w:rsidP="45FEAB70">
      <w:pPr>
        <w:spacing w:before="0" w:after="240"/>
        <w:rPr>
          <w:noProof/>
        </w:rPr>
      </w:pPr>
      <w:r w:rsidRPr="002D52A1">
        <w:rPr>
          <w:noProof/>
        </w:rPr>
        <w:t xml:space="preserve">Z minulých hodnotení </w:t>
      </w:r>
      <w:r w:rsidRPr="002D52A1">
        <w:rPr>
          <w:i/>
          <w:noProof/>
        </w:rPr>
        <w:t>ex post</w:t>
      </w:r>
      <w:r w:rsidRPr="002D52A1">
        <w:rPr>
          <w:noProof/>
        </w:rPr>
        <w:t xml:space="preserve"> týkajúcich sa predchádzajúcich operácií makrofinančnej pomoci Ukrajine vyplýva, že vo všeobecnosti boli</w:t>
      </w:r>
      <w:r w:rsidR="002D52A1">
        <w:rPr>
          <w:noProof/>
        </w:rPr>
        <w:t xml:space="preserve"> z </w:t>
      </w:r>
      <w:r w:rsidRPr="002D52A1">
        <w:rPr>
          <w:noProof/>
        </w:rPr>
        <w:t>hľadiska svojich cieľov, finančného krytia</w:t>
      </w:r>
      <w:r w:rsidR="002D52A1">
        <w:rPr>
          <w:noProof/>
        </w:rPr>
        <w:t xml:space="preserve"> a </w:t>
      </w:r>
      <w:r w:rsidRPr="002D52A1">
        <w:rPr>
          <w:noProof/>
        </w:rPr>
        <w:t>politických podmienok veľmi relevantné</w:t>
      </w:r>
      <w:r w:rsidR="002D52A1" w:rsidRPr="002D52A1">
        <w:rPr>
          <w:noProof/>
        </w:rPr>
        <w:t>.</w:t>
      </w:r>
    </w:p>
    <w:p w14:paraId="13054417" w14:textId="67DF051A" w:rsidR="45FEAB70" w:rsidRPr="002D52A1" w:rsidRDefault="45FEAB70" w:rsidP="4E7789BD">
      <w:pPr>
        <w:spacing w:before="0" w:after="240"/>
        <w:rPr>
          <w:noProof/>
          <w:spacing w:val="-4"/>
        </w:rPr>
      </w:pPr>
      <w:r w:rsidRPr="002D52A1">
        <w:rPr>
          <w:noProof/>
          <w:spacing w:val="-4"/>
        </w:rPr>
        <w:t>Zásadne podporili Ukrajinu pri riešení jej problémov</w:t>
      </w:r>
      <w:r w:rsidR="002D52A1" w:rsidRPr="002D52A1">
        <w:rPr>
          <w:noProof/>
          <w:spacing w:val="-4"/>
        </w:rPr>
        <w:t xml:space="preserve"> s </w:t>
      </w:r>
      <w:r w:rsidRPr="002D52A1">
        <w:rPr>
          <w:noProof/>
          <w:spacing w:val="-4"/>
        </w:rPr>
        <w:t>platobnou bilanciou</w:t>
      </w:r>
      <w:r w:rsidR="002D52A1" w:rsidRPr="002D52A1">
        <w:rPr>
          <w:noProof/>
          <w:spacing w:val="-4"/>
        </w:rPr>
        <w:t xml:space="preserve"> a </w:t>
      </w:r>
      <w:r w:rsidRPr="002D52A1">
        <w:rPr>
          <w:noProof/>
          <w:spacing w:val="-4"/>
        </w:rPr>
        <w:t>vykonávaní kľúčových štrukturálnych reforiem</w:t>
      </w:r>
      <w:r w:rsidR="002D52A1" w:rsidRPr="002D52A1">
        <w:rPr>
          <w:noProof/>
          <w:spacing w:val="-4"/>
        </w:rPr>
        <w:t xml:space="preserve"> s </w:t>
      </w:r>
      <w:r w:rsidRPr="002D52A1">
        <w:rPr>
          <w:noProof/>
          <w:spacing w:val="-4"/>
        </w:rPr>
        <w:t>cieľom stabilizovať hospodárstvo</w:t>
      </w:r>
      <w:r w:rsidR="002D52A1" w:rsidRPr="002D52A1">
        <w:rPr>
          <w:noProof/>
          <w:spacing w:val="-4"/>
        </w:rPr>
        <w:t xml:space="preserve"> a </w:t>
      </w:r>
      <w:r w:rsidRPr="002D52A1">
        <w:rPr>
          <w:noProof/>
          <w:spacing w:val="-4"/>
        </w:rPr>
        <w:t>posilniť udržateľnosť jej zahraničnej pozície. Umožnili fiškálne úspory</w:t>
      </w:r>
      <w:r w:rsidR="002D52A1" w:rsidRPr="002D52A1">
        <w:rPr>
          <w:noProof/>
          <w:spacing w:val="-4"/>
        </w:rPr>
        <w:t xml:space="preserve"> a </w:t>
      </w:r>
      <w:r w:rsidRPr="002D52A1">
        <w:rPr>
          <w:noProof/>
          <w:spacing w:val="-4"/>
        </w:rPr>
        <w:t>finančné výhody</w:t>
      </w:r>
      <w:r w:rsidR="002D52A1" w:rsidRPr="002D52A1">
        <w:rPr>
          <w:noProof/>
          <w:spacing w:val="-4"/>
        </w:rPr>
        <w:t xml:space="preserve"> a </w:t>
      </w:r>
      <w:r w:rsidRPr="002D52A1">
        <w:rPr>
          <w:noProof/>
          <w:spacing w:val="-4"/>
        </w:rPr>
        <w:t>pôsobili ako katalyzátor ďalšej finančnej podpory</w:t>
      </w:r>
      <w:r w:rsidR="002D52A1" w:rsidRPr="002D52A1">
        <w:rPr>
          <w:noProof/>
          <w:spacing w:val="-4"/>
        </w:rPr>
        <w:t xml:space="preserve"> a </w:t>
      </w:r>
      <w:r w:rsidRPr="002D52A1">
        <w:rPr>
          <w:noProof/>
          <w:spacing w:val="-4"/>
        </w:rPr>
        <w:t>dôvery investorov. Balík podmienok spojených</w:t>
      </w:r>
      <w:r w:rsidR="002D52A1" w:rsidRPr="002D52A1">
        <w:rPr>
          <w:noProof/>
          <w:spacing w:val="-4"/>
        </w:rPr>
        <w:t xml:space="preserve"> s </w:t>
      </w:r>
      <w:r w:rsidRPr="002D52A1">
        <w:rPr>
          <w:noProof/>
          <w:spacing w:val="-4"/>
        </w:rPr>
        <w:t>makrofinančnou pomocou dopĺňal súvisiaci program MMF</w:t>
      </w:r>
      <w:r w:rsidR="002D52A1" w:rsidRPr="002D52A1">
        <w:rPr>
          <w:noProof/>
          <w:spacing w:val="-4"/>
        </w:rPr>
        <w:t xml:space="preserve"> a </w:t>
      </w:r>
      <w:r w:rsidRPr="002D52A1">
        <w:rPr>
          <w:noProof/>
          <w:spacing w:val="-4"/>
        </w:rPr>
        <w:t>na politickej úrovni sa ním vytvoril posilňujúci účinok, ktorý prispel</w:t>
      </w:r>
      <w:r w:rsidR="002D52A1" w:rsidRPr="002D52A1">
        <w:rPr>
          <w:noProof/>
          <w:spacing w:val="-4"/>
        </w:rPr>
        <w:t xml:space="preserve"> k </w:t>
      </w:r>
      <w:r w:rsidRPr="002D52A1">
        <w:rPr>
          <w:noProof/>
          <w:spacing w:val="-4"/>
        </w:rPr>
        <w:t>mobilizácii ukrajinských orgánov</w:t>
      </w:r>
      <w:r w:rsidR="002D52A1" w:rsidRPr="002D52A1">
        <w:rPr>
          <w:noProof/>
          <w:spacing w:val="-4"/>
        </w:rPr>
        <w:t xml:space="preserve"> v </w:t>
      </w:r>
      <w:r w:rsidRPr="002D52A1">
        <w:rPr>
          <w:noProof/>
          <w:spacing w:val="-4"/>
        </w:rPr>
        <w:t>súvislosti so zásadnými reformami, najmä</w:t>
      </w:r>
      <w:r w:rsidR="002D52A1" w:rsidRPr="002D52A1">
        <w:rPr>
          <w:noProof/>
          <w:spacing w:val="-4"/>
        </w:rPr>
        <w:t xml:space="preserve"> v </w:t>
      </w:r>
      <w:r w:rsidRPr="002D52A1">
        <w:rPr>
          <w:noProof/>
          <w:spacing w:val="-4"/>
        </w:rPr>
        <w:t>oblastiach, na ktoré sa nevzťahovali iné medzinárodné darcovské programy.</w:t>
      </w:r>
    </w:p>
    <w:p w14:paraId="4C11EE49" w14:textId="78222B02" w:rsidR="004D643E" w:rsidRPr="002D52A1" w:rsidRDefault="28666615" w:rsidP="22327288">
      <w:pPr>
        <w:pBdr>
          <w:top w:val="nil"/>
          <w:left w:val="nil"/>
          <w:bottom w:val="nil"/>
          <w:right w:val="nil"/>
          <w:between w:val="nil"/>
          <w:bar w:val="nil"/>
        </w:pBdr>
        <w:spacing w:before="0" w:after="240"/>
        <w:rPr>
          <w:rFonts w:eastAsia="Arial Unicode MS"/>
          <w:noProof/>
        </w:rPr>
      </w:pPr>
      <w:r w:rsidRPr="002D52A1">
        <w:rPr>
          <w:noProof/>
        </w:rPr>
        <w:t>V poslednom čase sa neuskutočnili žiadne preskúmania mier tvorby rezerv uplatňovaných na portfóliá makrofinančnej pomoci</w:t>
      </w:r>
      <w:r w:rsidR="002D52A1">
        <w:rPr>
          <w:noProof/>
        </w:rPr>
        <w:t xml:space="preserve"> a </w:t>
      </w:r>
      <w:r w:rsidRPr="002D52A1">
        <w:rPr>
          <w:noProof/>
        </w:rPr>
        <w:t>úverového nástroja Euratomu ani tvorby rezerv na rozpočtovú záruku</w:t>
      </w:r>
      <w:r w:rsidR="002D52A1">
        <w:rPr>
          <w:noProof/>
        </w:rPr>
        <w:t xml:space="preserve"> v </w:t>
      </w:r>
      <w:r w:rsidRPr="002D52A1">
        <w:rPr>
          <w:noProof/>
        </w:rPr>
        <w:t>rámci mandátu na poskytovanie vonkajších úverov. Miera tvorby rezerv na makrofinančnú pomoc</w:t>
      </w:r>
      <w:r w:rsidR="002D52A1">
        <w:rPr>
          <w:noProof/>
        </w:rPr>
        <w:t xml:space="preserve"> v </w:t>
      </w:r>
      <w:r w:rsidRPr="002D52A1">
        <w:rPr>
          <w:noProof/>
        </w:rPr>
        <w:t>rámci záruky pre vonkajšiu činnosť sa pri prijímaní nariadenia 2021/947 (nariadenie</w:t>
      </w:r>
      <w:r w:rsidR="002D52A1">
        <w:rPr>
          <w:noProof/>
        </w:rPr>
        <w:t xml:space="preserve"> o </w:t>
      </w:r>
      <w:r w:rsidRPr="002D52A1">
        <w:rPr>
          <w:noProof/>
        </w:rPr>
        <w:t>NDICI – Globálna Európa) opätovne potvrdila na úrovni 9</w:t>
      </w:r>
      <w:r w:rsidR="002D52A1">
        <w:rPr>
          <w:noProof/>
        </w:rPr>
        <w:t> %</w:t>
      </w:r>
      <w:r w:rsidRPr="002D52A1">
        <w:rPr>
          <w:noProof/>
        </w:rPr>
        <w:t>.</w:t>
      </w:r>
      <w:r w:rsidR="002D52A1">
        <w:rPr>
          <w:noProof/>
        </w:rPr>
        <w:t xml:space="preserve"> V </w:t>
      </w:r>
      <w:r w:rsidRPr="002D52A1">
        <w:rPr>
          <w:noProof/>
        </w:rPr>
        <w:t>nariadení</w:t>
      </w:r>
      <w:r w:rsidR="002D52A1">
        <w:rPr>
          <w:noProof/>
        </w:rPr>
        <w:t xml:space="preserve"> o </w:t>
      </w:r>
      <w:r w:rsidRPr="002D52A1">
        <w:rPr>
          <w:noProof/>
        </w:rPr>
        <w:t>NDICI – Globálna Európa sa takisto stanovuje maximálna výška tvorby rezerv na celú záruku pre vonkajšiu činnosť</w:t>
      </w:r>
      <w:r w:rsidRPr="002D52A1">
        <w:rPr>
          <w:rStyle w:val="FootnoteReference"/>
          <w:rFonts w:eastAsia="Arial Unicode MS"/>
          <w:noProof/>
        </w:rPr>
        <w:footnoteReference w:id="15"/>
      </w:r>
      <w:r w:rsidRPr="002D52A1">
        <w:rPr>
          <w:noProof/>
        </w:rPr>
        <w:t>. Preskúmanie tvorby rezerv na makrofinančnú pomoc je naplánované na rok 2024. Hoci je makrofinančná pomoc svojou podstatou krízový nástroj, riziká pôžičiek krajine,</w:t>
      </w:r>
      <w:r w:rsidR="002D52A1">
        <w:rPr>
          <w:noProof/>
        </w:rPr>
        <w:t xml:space="preserve"> v </w:t>
      </w:r>
      <w:r w:rsidRPr="002D52A1">
        <w:rPr>
          <w:noProof/>
        </w:rPr>
        <w:t>ktorej prebieha vojna, ďaleko presahujú scenáre predpokladané</w:t>
      </w:r>
      <w:r w:rsidR="002D52A1">
        <w:rPr>
          <w:noProof/>
        </w:rPr>
        <w:t xml:space="preserve"> v </w:t>
      </w:r>
      <w:r w:rsidRPr="002D52A1">
        <w:rPr>
          <w:noProof/>
        </w:rPr>
        <w:t>čase prijímania nariadenia</w:t>
      </w:r>
      <w:r w:rsidR="002D52A1">
        <w:rPr>
          <w:noProof/>
        </w:rPr>
        <w:t xml:space="preserve"> o </w:t>
      </w:r>
      <w:r w:rsidRPr="002D52A1">
        <w:rPr>
          <w:noProof/>
        </w:rPr>
        <w:t>NDICI – Globálna Európa. Preto je potrebné prijať na základe dostupnej analýzy prispôsobené riešenia na zvládnutie súčasnej naliehavej situácie.</w:t>
      </w:r>
    </w:p>
    <w:p w14:paraId="66EF4EBE" w14:textId="77777777"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Konzultácie so zainteresovanými stranami</w:t>
      </w:r>
    </w:p>
    <w:p w14:paraId="05ACC244" w14:textId="496A6020" w:rsidR="00D95034" w:rsidRPr="002D52A1" w:rsidRDefault="00D95034" w:rsidP="00D95034">
      <w:pPr>
        <w:rPr>
          <w:noProof/>
          <w:spacing w:val="-4"/>
        </w:rPr>
      </w:pPr>
      <w:r w:rsidRPr="002D52A1">
        <w:rPr>
          <w:noProof/>
          <w:spacing w:val="-4"/>
        </w:rPr>
        <w:t>Táto výnimočná makrofinančná pomoc sa poskytuje ako neoddeliteľná súčasť medzinárodnej podpory Ukrajine. Pri príprave tohto návrhu útvary Komisie konzultovali</w:t>
      </w:r>
      <w:r w:rsidR="002D52A1" w:rsidRPr="002D52A1">
        <w:rPr>
          <w:noProof/>
          <w:spacing w:val="-4"/>
        </w:rPr>
        <w:t xml:space="preserve"> s </w:t>
      </w:r>
      <w:r w:rsidRPr="002D52A1">
        <w:rPr>
          <w:noProof/>
          <w:spacing w:val="-4"/>
        </w:rPr>
        <w:t>MMF, so Svetovou bankou</w:t>
      </w:r>
      <w:r w:rsidR="002D52A1" w:rsidRPr="002D52A1">
        <w:rPr>
          <w:noProof/>
          <w:spacing w:val="-4"/>
        </w:rPr>
        <w:t xml:space="preserve"> a s </w:t>
      </w:r>
      <w:r w:rsidRPr="002D52A1">
        <w:rPr>
          <w:noProof/>
          <w:spacing w:val="-4"/>
        </w:rPr>
        <w:t>inými bilaterálnymi (vrátane členských štátov)</w:t>
      </w:r>
      <w:r w:rsidR="002D52A1" w:rsidRPr="002D52A1">
        <w:rPr>
          <w:noProof/>
          <w:spacing w:val="-4"/>
        </w:rPr>
        <w:t xml:space="preserve"> a </w:t>
      </w:r>
      <w:r w:rsidRPr="002D52A1">
        <w:rPr>
          <w:noProof/>
          <w:spacing w:val="-4"/>
        </w:rPr>
        <w:t>multilaterálnymi darcami</w:t>
      </w:r>
      <w:r w:rsidR="002D52A1" w:rsidRPr="002D52A1">
        <w:rPr>
          <w:noProof/>
          <w:spacing w:val="-4"/>
        </w:rPr>
        <w:t xml:space="preserve"> s </w:t>
      </w:r>
      <w:r w:rsidRPr="002D52A1">
        <w:rPr>
          <w:noProof/>
          <w:spacing w:val="-4"/>
        </w:rPr>
        <w:t>významnými makrofinančnými odbornými znalosťami,</w:t>
      </w:r>
      <w:r w:rsidR="002D52A1" w:rsidRPr="002D52A1">
        <w:rPr>
          <w:noProof/>
          <w:spacing w:val="-4"/>
        </w:rPr>
        <w:t xml:space="preserve"> a </w:t>
      </w:r>
      <w:r w:rsidRPr="002D52A1">
        <w:rPr>
          <w:noProof/>
          <w:spacing w:val="-4"/>
        </w:rPr>
        <w:t>to aj pokiaľ ide</w:t>
      </w:r>
      <w:r w:rsidR="002D52A1" w:rsidRPr="002D52A1">
        <w:rPr>
          <w:noProof/>
          <w:spacing w:val="-4"/>
        </w:rPr>
        <w:t xml:space="preserve"> o </w:t>
      </w:r>
      <w:r w:rsidRPr="002D52A1">
        <w:rPr>
          <w:noProof/>
          <w:spacing w:val="-4"/>
        </w:rPr>
        <w:t>ukrajinské hospodárstvo. Komisia bola takisto</w:t>
      </w:r>
      <w:r w:rsidR="002D52A1" w:rsidRPr="002D52A1">
        <w:rPr>
          <w:noProof/>
          <w:spacing w:val="-4"/>
        </w:rPr>
        <w:t xml:space="preserve"> v </w:t>
      </w:r>
      <w:r w:rsidRPr="002D52A1">
        <w:rPr>
          <w:noProof/>
          <w:spacing w:val="-4"/>
        </w:rPr>
        <w:t>pravidelnom kontakte</w:t>
      </w:r>
      <w:r w:rsidR="002D52A1" w:rsidRPr="002D52A1">
        <w:rPr>
          <w:noProof/>
          <w:spacing w:val="-4"/>
        </w:rPr>
        <w:t xml:space="preserve"> s </w:t>
      </w:r>
      <w:r w:rsidRPr="002D52A1">
        <w:rPr>
          <w:noProof/>
          <w:spacing w:val="-4"/>
        </w:rPr>
        <w:t>ukrajinskými orgánmi.</w:t>
      </w:r>
    </w:p>
    <w:p w14:paraId="4FA56C1D" w14:textId="5B5CC40F" w:rsidR="00F152DC" w:rsidRPr="002D52A1" w:rsidRDefault="00F152DC" w:rsidP="00D045D9">
      <w:pPr>
        <w:pStyle w:val="ManualHeading2"/>
        <w:rPr>
          <w:rFonts w:eastAsia="Arial Unicode MS"/>
          <w:noProof/>
          <w:bdr w:val="nil"/>
        </w:rPr>
      </w:pPr>
      <w:r w:rsidRPr="002D52A1">
        <w:rPr>
          <w:noProof/>
          <w:bdr w:val="nil"/>
        </w:rPr>
        <w:t>•</w:t>
      </w:r>
      <w:r w:rsidRPr="002D52A1">
        <w:rPr>
          <w:noProof/>
        </w:rPr>
        <w:tab/>
      </w:r>
      <w:r w:rsidRPr="002D52A1">
        <w:rPr>
          <w:noProof/>
          <w:bdr w:val="nil"/>
        </w:rPr>
        <w:t>Získavanie</w:t>
      </w:r>
      <w:r w:rsidR="002D52A1">
        <w:rPr>
          <w:noProof/>
          <w:bdr w:val="nil"/>
        </w:rPr>
        <w:t xml:space="preserve"> a </w:t>
      </w:r>
      <w:r w:rsidRPr="002D52A1">
        <w:rPr>
          <w:noProof/>
          <w:bdr w:val="nil"/>
        </w:rPr>
        <w:t>využívanie expertízy</w:t>
      </w:r>
    </w:p>
    <w:p w14:paraId="18318455" w14:textId="73EE56F7" w:rsidR="004D643E" w:rsidRPr="002D52A1" w:rsidRDefault="06749905" w:rsidP="003C45F0">
      <w:pPr>
        <w:rPr>
          <w:noProof/>
        </w:rPr>
      </w:pPr>
      <w:r w:rsidRPr="002D52A1">
        <w:rPr>
          <w:noProof/>
        </w:rPr>
        <w:t>Útvary Komisie založili tento návrh na dôkladnej analýze finančných potrieb</w:t>
      </w:r>
      <w:r w:rsidR="002D52A1">
        <w:rPr>
          <w:noProof/>
        </w:rPr>
        <w:t xml:space="preserve"> a </w:t>
      </w:r>
      <w:r w:rsidRPr="002D52A1">
        <w:rPr>
          <w:noProof/>
        </w:rPr>
        <w:t>širšej makrofinančnej situácie Ukrajiny, ktorá sa uskutočnila</w:t>
      </w:r>
      <w:r w:rsidR="002D52A1">
        <w:rPr>
          <w:noProof/>
        </w:rPr>
        <w:t xml:space="preserve"> v </w:t>
      </w:r>
      <w:r w:rsidRPr="002D52A1">
        <w:rPr>
          <w:noProof/>
        </w:rPr>
        <w:t>spolupráci</w:t>
      </w:r>
      <w:r w:rsidR="002D52A1">
        <w:rPr>
          <w:noProof/>
        </w:rPr>
        <w:t xml:space="preserve"> s </w:t>
      </w:r>
      <w:r w:rsidRPr="002D52A1">
        <w:rPr>
          <w:noProof/>
        </w:rPr>
        <w:t>MMF</w:t>
      </w:r>
      <w:r w:rsidR="002D52A1">
        <w:rPr>
          <w:noProof/>
        </w:rPr>
        <w:t xml:space="preserve"> a </w:t>
      </w:r>
      <w:r w:rsidRPr="002D52A1">
        <w:rPr>
          <w:noProof/>
        </w:rPr>
        <w:t>príslušnými medzinárodnými inštitúciami. Patria sem aj pravidelné diskusie na medzinárodných fórach, napr.</w:t>
      </w:r>
      <w:r w:rsidR="002D52A1">
        <w:rPr>
          <w:noProof/>
        </w:rPr>
        <w:t xml:space="preserve"> v </w:t>
      </w:r>
      <w:r w:rsidRPr="002D52A1">
        <w:rPr>
          <w:noProof/>
        </w:rPr>
        <w:t>G7,</w:t>
      </w:r>
      <w:r w:rsidR="002D52A1">
        <w:rPr>
          <w:noProof/>
        </w:rPr>
        <w:t xml:space="preserve"> o </w:t>
      </w:r>
      <w:r w:rsidRPr="002D52A1">
        <w:rPr>
          <w:noProof/>
        </w:rPr>
        <w:t>najnovších prognózach finančných potrieb Ukrajiny.</w:t>
      </w:r>
    </w:p>
    <w:p w14:paraId="3EAE64A8" w14:textId="7AB2DE0A" w:rsidR="004D643E" w:rsidRPr="002D52A1" w:rsidRDefault="004D643E" w:rsidP="003C45F0">
      <w:pPr>
        <w:rPr>
          <w:noProof/>
          <w:spacing w:val="-4"/>
        </w:rPr>
      </w:pPr>
      <w:r w:rsidRPr="002D52A1">
        <w:rPr>
          <w:noProof/>
          <w:spacing w:val="-4"/>
        </w:rPr>
        <w:t>Útvary Komisie sa zapojili aj do diskusií</w:t>
      </w:r>
      <w:r w:rsidR="002D52A1" w:rsidRPr="002D52A1">
        <w:rPr>
          <w:noProof/>
          <w:spacing w:val="-4"/>
        </w:rPr>
        <w:t xml:space="preserve"> s </w:t>
      </w:r>
      <w:r w:rsidRPr="002D52A1">
        <w:rPr>
          <w:noProof/>
          <w:spacing w:val="-4"/>
        </w:rPr>
        <w:t>partnermi</w:t>
      </w:r>
      <w:r w:rsidR="002D52A1" w:rsidRPr="002D52A1">
        <w:rPr>
          <w:noProof/>
          <w:spacing w:val="-4"/>
        </w:rPr>
        <w:t xml:space="preserve"> z </w:t>
      </w:r>
      <w:r w:rsidRPr="002D52A1">
        <w:rPr>
          <w:noProof/>
          <w:spacing w:val="-4"/>
        </w:rPr>
        <w:t>oddelení pre riziká</w:t>
      </w:r>
      <w:r w:rsidR="002D52A1" w:rsidRPr="002D52A1">
        <w:rPr>
          <w:noProof/>
          <w:spacing w:val="-4"/>
        </w:rPr>
        <w:t xml:space="preserve"> v </w:t>
      </w:r>
      <w:r w:rsidRPr="002D52A1">
        <w:rPr>
          <w:noProof/>
          <w:spacing w:val="-4"/>
        </w:rPr>
        <w:t>medzinárodných finančných inštitúciách, ktoré majú rozsiahle expozície na Ukrajine. Účelom týchto diskusií bolo pochopiť, ako tieto inštitúcie budú tvoriť rezervy</w:t>
      </w:r>
      <w:r w:rsidR="002D52A1" w:rsidRPr="002D52A1">
        <w:rPr>
          <w:noProof/>
          <w:spacing w:val="-4"/>
        </w:rPr>
        <w:t xml:space="preserve"> a </w:t>
      </w:r>
      <w:r w:rsidRPr="002D52A1">
        <w:rPr>
          <w:noProof/>
          <w:spacing w:val="-4"/>
        </w:rPr>
        <w:t>riadiť svoje expozície voči Ukrajine. Tieto diskusie odhalili,</w:t>
      </w:r>
      <w:r w:rsidR="002D52A1" w:rsidRPr="002D52A1">
        <w:rPr>
          <w:noProof/>
          <w:spacing w:val="-4"/>
        </w:rPr>
        <w:t xml:space="preserve"> v </w:t>
      </w:r>
      <w:r w:rsidRPr="002D52A1">
        <w:rPr>
          <w:noProof/>
          <w:spacing w:val="-4"/>
        </w:rPr>
        <w:t>akej miere inštitucionálny prístup každej inštitúcie závisí od toho, ako je jej súvaha vystavená vplyvu strát</w:t>
      </w:r>
      <w:r w:rsidR="002D52A1" w:rsidRPr="002D52A1">
        <w:rPr>
          <w:noProof/>
          <w:spacing w:val="-4"/>
        </w:rPr>
        <w:t xml:space="preserve"> v </w:t>
      </w:r>
      <w:r w:rsidRPr="002D52A1">
        <w:rPr>
          <w:noProof/>
          <w:spacing w:val="-4"/>
        </w:rPr>
        <w:t>súvislosti</w:t>
      </w:r>
      <w:r w:rsidR="002D52A1" w:rsidRPr="002D52A1">
        <w:rPr>
          <w:noProof/>
          <w:spacing w:val="-4"/>
        </w:rPr>
        <w:t xml:space="preserve"> s </w:t>
      </w:r>
      <w:r w:rsidRPr="002D52A1">
        <w:rPr>
          <w:noProof/>
          <w:spacing w:val="-4"/>
        </w:rPr>
        <w:t>ukrajinskými expozíciami. Niektoré inštitúcie využívajú úplné alebo čiastočné protizáruky voči svojej expozícii alebo iné formy ochranných opatrení (rezervy, ktoré má Ukrajina</w:t>
      </w:r>
      <w:r w:rsidR="002D52A1" w:rsidRPr="002D52A1">
        <w:rPr>
          <w:noProof/>
          <w:spacing w:val="-4"/>
        </w:rPr>
        <w:t xml:space="preserve"> v </w:t>
      </w:r>
      <w:r w:rsidRPr="002D52A1">
        <w:rPr>
          <w:noProof/>
          <w:spacing w:val="-4"/>
        </w:rPr>
        <w:t>MMF). Keďže EÚ financovala úvery makrofinančnej pomoci prostredníctvom nadväzných úverov, nachádza sa</w:t>
      </w:r>
      <w:r w:rsidR="002D52A1" w:rsidRPr="002D52A1">
        <w:rPr>
          <w:noProof/>
          <w:spacing w:val="-4"/>
        </w:rPr>
        <w:t xml:space="preserve"> v </w:t>
      </w:r>
      <w:r w:rsidRPr="002D52A1">
        <w:rPr>
          <w:noProof/>
          <w:spacing w:val="-4"/>
        </w:rPr>
        <w:t>jedinečnej situácii, keď musí zabezpečiť stabilný</w:t>
      </w:r>
      <w:r w:rsidR="002D52A1" w:rsidRPr="002D52A1">
        <w:rPr>
          <w:noProof/>
          <w:spacing w:val="-4"/>
        </w:rPr>
        <w:t xml:space="preserve"> a </w:t>
      </w:r>
      <w:r w:rsidRPr="002D52A1">
        <w:rPr>
          <w:noProof/>
          <w:spacing w:val="-4"/>
        </w:rPr>
        <w:t>predvídateľný tok platieb svojim investorom do dlhopisov podľa pevne stanoveného</w:t>
      </w:r>
      <w:r w:rsidR="002D52A1" w:rsidRPr="002D52A1">
        <w:rPr>
          <w:noProof/>
          <w:spacing w:val="-4"/>
        </w:rPr>
        <w:t xml:space="preserve"> a </w:t>
      </w:r>
      <w:r w:rsidRPr="002D52A1">
        <w:rPr>
          <w:noProof/>
          <w:spacing w:val="-4"/>
        </w:rPr>
        <w:t>pravidelného harmonogramu</w:t>
      </w:r>
      <w:r w:rsidR="002D52A1" w:rsidRPr="002D52A1">
        <w:rPr>
          <w:noProof/>
          <w:spacing w:val="-4"/>
        </w:rPr>
        <w:t xml:space="preserve"> v </w:t>
      </w:r>
      <w:r w:rsidRPr="002D52A1">
        <w:rPr>
          <w:noProof/>
          <w:spacing w:val="-4"/>
        </w:rPr>
        <w:t>prípade omeškaných platobných tokov od príjemcov úverov. Na to, aby Únia mohla za súčasných okolností rýchlo poskytnúť ďalšiu makrofinančnú pomoc mimoriadne veľkého rozsahu jedinému príjemcovi pri zachovaní svojho modelu financovania, musí posilniť spoločný rezervný fond dodatočnými zárukami členských štátov, ktoré by pôsobili ako zabezpečovací mechanizmus pre expozíciu voči Ukrajine.</w:t>
      </w:r>
    </w:p>
    <w:p w14:paraId="43584837" w14:textId="1DB9B01C" w:rsidR="004D643E" w:rsidRPr="002D52A1" w:rsidRDefault="7C4EFAAB" w:rsidP="003C45F0">
      <w:pPr>
        <w:rPr>
          <w:noProof/>
          <w:spacing w:val="-4"/>
        </w:rPr>
      </w:pPr>
      <w:r w:rsidRPr="002D52A1">
        <w:rPr>
          <w:noProof/>
          <w:spacing w:val="-4"/>
        </w:rPr>
        <w:t>V súlade</w:t>
      </w:r>
      <w:r w:rsidR="002D52A1" w:rsidRPr="002D52A1">
        <w:rPr>
          <w:noProof/>
          <w:spacing w:val="-4"/>
        </w:rPr>
        <w:t xml:space="preserve"> s </w:t>
      </w:r>
      <w:r w:rsidRPr="002D52A1">
        <w:rPr>
          <w:noProof/>
          <w:spacing w:val="-4"/>
        </w:rPr>
        <w:t>požiadavkami nariadenia</w:t>
      </w:r>
      <w:r w:rsidR="002D52A1" w:rsidRPr="002D52A1">
        <w:rPr>
          <w:noProof/>
          <w:spacing w:val="-4"/>
        </w:rPr>
        <w:t xml:space="preserve"> o </w:t>
      </w:r>
      <w:r w:rsidRPr="002D52A1">
        <w:rPr>
          <w:noProof/>
          <w:spacing w:val="-4"/>
        </w:rPr>
        <w:t>rozpočtových pravidlách útvary Európskej komisie uskutočnia počas vykonávania pomoci operatívne posúdenie finančných</w:t>
      </w:r>
      <w:r w:rsidR="002D52A1" w:rsidRPr="002D52A1">
        <w:rPr>
          <w:noProof/>
          <w:spacing w:val="-4"/>
        </w:rPr>
        <w:t xml:space="preserve"> a </w:t>
      </w:r>
      <w:r w:rsidRPr="002D52A1">
        <w:rPr>
          <w:noProof/>
          <w:spacing w:val="-4"/>
        </w:rPr>
        <w:t>administratívnych tokov Ukrajiny, aby overili, že zavedené postupy pre riadenie programu pomoci vrátane makrofinančnej pomoci poskytujú primerané záruky, pričom sa zohľadnia aj výnimočné okolnosti ruskej vojenskej agresie voči Ukrajine. Umožní sa tak aktualizovať predchádzajúce posúdenie,</w:t>
      </w:r>
      <w:r w:rsidR="002D52A1" w:rsidRPr="002D52A1">
        <w:rPr>
          <w:noProof/>
          <w:spacing w:val="-4"/>
        </w:rPr>
        <w:t xml:space="preserve"> v </w:t>
      </w:r>
      <w:r w:rsidRPr="002D52A1">
        <w:rPr>
          <w:noProof/>
          <w:spacing w:val="-4"/>
        </w:rPr>
        <w:t>ktorom sa dospelo</w:t>
      </w:r>
      <w:r w:rsidR="002D52A1" w:rsidRPr="002D52A1">
        <w:rPr>
          <w:noProof/>
          <w:spacing w:val="-4"/>
        </w:rPr>
        <w:t xml:space="preserve"> k </w:t>
      </w:r>
      <w:r w:rsidRPr="002D52A1">
        <w:rPr>
          <w:noProof/>
          <w:spacing w:val="-4"/>
        </w:rPr>
        <w:t>záveru, že finančné toky</w:t>
      </w:r>
      <w:r w:rsidR="002D52A1" w:rsidRPr="002D52A1">
        <w:rPr>
          <w:noProof/>
          <w:spacing w:val="-4"/>
        </w:rPr>
        <w:t xml:space="preserve"> a </w:t>
      </w:r>
      <w:r w:rsidRPr="002D52A1">
        <w:rPr>
          <w:noProof/>
          <w:spacing w:val="-4"/>
        </w:rPr>
        <w:t>postupy na Ukrajine sú založené</w:t>
      </w:r>
      <w:r w:rsidR="002D52A1" w:rsidRPr="002D52A1">
        <w:rPr>
          <w:noProof/>
          <w:spacing w:val="-4"/>
        </w:rPr>
        <w:t xml:space="preserve"> a </w:t>
      </w:r>
      <w:r w:rsidRPr="002D52A1">
        <w:rPr>
          <w:noProof/>
          <w:spacing w:val="-4"/>
        </w:rPr>
        <w:t>fungujú na spoľahlivých zásadách,</w:t>
      </w:r>
      <w:r w:rsidR="002D52A1" w:rsidRPr="002D52A1">
        <w:rPr>
          <w:noProof/>
          <w:spacing w:val="-4"/>
        </w:rPr>
        <w:t xml:space="preserve"> a </w:t>
      </w:r>
      <w:r w:rsidRPr="002D52A1">
        <w:rPr>
          <w:noProof/>
          <w:spacing w:val="-4"/>
        </w:rPr>
        <w:t>preto sa považujú za vhodné na účely makrofinančnej pomoci.</w:t>
      </w:r>
    </w:p>
    <w:p w14:paraId="2CD72EE3" w14:textId="77777777"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Posúdenie vplyvu</w:t>
      </w:r>
    </w:p>
    <w:p w14:paraId="3A1E7BEC" w14:textId="6FE5AE1E" w:rsidR="002D52A1" w:rsidRPr="002D52A1" w:rsidRDefault="00D045D9" w:rsidP="00D045D9">
      <w:pPr>
        <w:pBdr>
          <w:top w:val="nil"/>
          <w:left w:val="nil"/>
          <w:bottom w:val="nil"/>
          <w:right w:val="nil"/>
          <w:between w:val="nil"/>
          <w:bar w:val="nil"/>
        </w:pBdr>
        <w:spacing w:before="0" w:after="240"/>
        <w:rPr>
          <w:noProof/>
        </w:rPr>
      </w:pPr>
      <w:r w:rsidRPr="002D52A1">
        <w:rPr>
          <w:noProof/>
        </w:rPr>
        <w:t>Makrofinančná pomoc Únie je mimoriadny núdzový nástroj zameraný na riešenie závažných ťažkostí</w:t>
      </w:r>
      <w:r w:rsidR="002D52A1">
        <w:rPr>
          <w:noProof/>
        </w:rPr>
        <w:t xml:space="preserve"> s </w:t>
      </w:r>
      <w:r w:rsidRPr="002D52A1">
        <w:rPr>
          <w:noProof/>
        </w:rPr>
        <w:t>platobnou bilanciou</w:t>
      </w:r>
      <w:r w:rsidR="002D52A1">
        <w:rPr>
          <w:noProof/>
        </w:rPr>
        <w:t xml:space="preserve"> v </w:t>
      </w:r>
      <w:r w:rsidRPr="002D52A1">
        <w:rPr>
          <w:noProof/>
        </w:rPr>
        <w:t>tretích krajinách. Všeobecnejšie, návrhy makrofinančnej pomoci Komisie vychádzajú zo skúseností získaných</w:t>
      </w:r>
      <w:r w:rsidR="002D52A1">
        <w:rPr>
          <w:noProof/>
        </w:rPr>
        <w:t xml:space="preserve"> z </w:t>
      </w:r>
      <w:r w:rsidRPr="002D52A1">
        <w:rPr>
          <w:noProof/>
        </w:rPr>
        <w:t xml:space="preserve">hodnotení </w:t>
      </w:r>
      <w:r w:rsidRPr="002D52A1">
        <w:rPr>
          <w:i/>
          <w:noProof/>
        </w:rPr>
        <w:t>ex post</w:t>
      </w:r>
      <w:r w:rsidRPr="002D52A1">
        <w:rPr>
          <w:noProof/>
        </w:rPr>
        <w:t xml:space="preserve"> vykonaných pri predchádzajúcich operáciách</w:t>
      </w:r>
      <w:r w:rsidR="002D52A1">
        <w:rPr>
          <w:noProof/>
        </w:rPr>
        <w:t xml:space="preserve"> v </w:t>
      </w:r>
      <w:r w:rsidRPr="002D52A1">
        <w:rPr>
          <w:noProof/>
        </w:rPr>
        <w:t>krajinách susediacich</w:t>
      </w:r>
      <w:r w:rsidR="002D52A1">
        <w:rPr>
          <w:noProof/>
        </w:rPr>
        <w:t xml:space="preserve"> s </w:t>
      </w:r>
      <w:r w:rsidRPr="002D52A1">
        <w:rPr>
          <w:noProof/>
        </w:rPr>
        <w:t>EÚ. Táto výnimočná makrofinančná pomoc pomôže zmierniť krátkodobé potreby Ukrajiny</w:t>
      </w:r>
      <w:r w:rsidR="002D52A1">
        <w:rPr>
          <w:noProof/>
        </w:rPr>
        <w:t xml:space="preserve"> v </w:t>
      </w:r>
      <w:r w:rsidRPr="002D52A1">
        <w:rPr>
          <w:noProof/>
        </w:rPr>
        <w:t>oblasti financovania za súčasných mimoriadnych okolností. Cieľom požiadaviek na podávanie správ</w:t>
      </w:r>
      <w:r w:rsidR="002D52A1">
        <w:rPr>
          <w:noProof/>
        </w:rPr>
        <w:t xml:space="preserve"> a </w:t>
      </w:r>
      <w:r w:rsidRPr="002D52A1">
        <w:rPr>
          <w:noProof/>
        </w:rPr>
        <w:t>politických podmienok súvisiacich</w:t>
      </w:r>
      <w:r w:rsidR="002D52A1">
        <w:rPr>
          <w:noProof/>
        </w:rPr>
        <w:t xml:space="preserve"> s </w:t>
      </w:r>
      <w:r w:rsidRPr="002D52A1">
        <w:rPr>
          <w:noProof/>
        </w:rPr>
        <w:t>touto výnimočnou makrofinančnou pomocou je zabezpečiť efektívnosť, transparentnosť</w:t>
      </w:r>
      <w:r w:rsidR="002D52A1">
        <w:rPr>
          <w:noProof/>
        </w:rPr>
        <w:t xml:space="preserve"> a </w:t>
      </w:r>
      <w:r w:rsidRPr="002D52A1">
        <w:rPr>
          <w:noProof/>
        </w:rPr>
        <w:t>zodpovednosť podpory. Táto výnimočná makrofinančná pomoc by mala vychádzať</w:t>
      </w:r>
      <w:r w:rsidR="002D52A1">
        <w:rPr>
          <w:noProof/>
        </w:rPr>
        <w:t xml:space="preserve"> z </w:t>
      </w:r>
      <w:r w:rsidRPr="002D52A1">
        <w:rPr>
          <w:noProof/>
        </w:rPr>
        <w:t>úspechov šiestich programov makrofinančnej pomoci realizovaných od roku 2015 vrátane poslednej núdzovej makrofinančnej pomoci poskytnutej</w:t>
      </w:r>
      <w:r w:rsidR="002D52A1">
        <w:rPr>
          <w:noProof/>
        </w:rPr>
        <w:t xml:space="preserve"> v </w:t>
      </w:r>
      <w:r w:rsidRPr="002D52A1">
        <w:rPr>
          <w:noProof/>
        </w:rPr>
        <w:t>súvislosti</w:t>
      </w:r>
      <w:r w:rsidR="002D52A1">
        <w:rPr>
          <w:noProof/>
        </w:rPr>
        <w:t xml:space="preserve"> s </w:t>
      </w:r>
      <w:r w:rsidRPr="002D52A1">
        <w:rPr>
          <w:noProof/>
        </w:rPr>
        <w:t>pandémiou ochorenia COVID-19</w:t>
      </w:r>
      <w:r w:rsidR="002D52A1">
        <w:rPr>
          <w:noProof/>
        </w:rPr>
        <w:t xml:space="preserve"> a </w:t>
      </w:r>
      <w:r w:rsidRPr="002D52A1">
        <w:rPr>
          <w:noProof/>
        </w:rPr>
        <w:t>pomoci poskytnutej začiatkom roku 2022</w:t>
      </w:r>
      <w:r w:rsidR="002D52A1" w:rsidRPr="002D52A1">
        <w:rPr>
          <w:noProof/>
        </w:rPr>
        <w:t>.</w:t>
      </w:r>
    </w:p>
    <w:p w14:paraId="07F69076" w14:textId="48F53B91" w:rsidR="002D52A1" w:rsidRPr="002D52A1" w:rsidRDefault="004D643E" w:rsidP="004D643E">
      <w:pPr>
        <w:pBdr>
          <w:top w:val="nil"/>
          <w:left w:val="nil"/>
          <w:bottom w:val="nil"/>
          <w:right w:val="nil"/>
          <w:between w:val="nil"/>
          <w:bar w:val="nil"/>
        </w:pBdr>
        <w:spacing w:before="0" w:after="240"/>
        <w:rPr>
          <w:noProof/>
        </w:rPr>
      </w:pPr>
      <w:r w:rsidRPr="002D52A1">
        <w:rPr>
          <w:noProof/>
        </w:rPr>
        <w:t>V návrhu sa nevyžaduje posúdenie vplyvu, keďže makrofinančná pomoc je jedinou dostupnou možnosťou politiky na riešenie predmetného problému. Použitie dodatočných záruk vychádza</w:t>
      </w:r>
      <w:r w:rsidR="002D52A1">
        <w:rPr>
          <w:noProof/>
        </w:rPr>
        <w:t xml:space="preserve"> z </w:t>
      </w:r>
      <w:r w:rsidRPr="002D52A1">
        <w:rPr>
          <w:noProof/>
        </w:rPr>
        <w:t>dôkladného posúdenia finančného rizika nesplatených záväzkov</w:t>
      </w:r>
      <w:r w:rsidR="002D52A1" w:rsidRPr="002D52A1">
        <w:rPr>
          <w:noProof/>
        </w:rPr>
        <w:t>.</w:t>
      </w:r>
    </w:p>
    <w:p w14:paraId="0FFEC5C1" w14:textId="43EFA7C9"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Regulačná vhodnosť</w:t>
      </w:r>
      <w:r w:rsidR="002D52A1">
        <w:rPr>
          <w:noProof/>
          <w:u w:color="000000"/>
          <w:bdr w:val="nil"/>
        </w:rPr>
        <w:t xml:space="preserve"> a </w:t>
      </w:r>
      <w:r w:rsidRPr="002D52A1">
        <w:rPr>
          <w:noProof/>
          <w:u w:color="000000"/>
          <w:bdr w:val="nil"/>
        </w:rPr>
        <w:t>zjednodušenie</w:t>
      </w:r>
    </w:p>
    <w:p w14:paraId="32AD5396" w14:textId="37573462" w:rsidR="002D52A1" w:rsidRPr="002D52A1" w:rsidRDefault="004D643E" w:rsidP="004D643E">
      <w:pPr>
        <w:pBdr>
          <w:top w:val="nil"/>
          <w:left w:val="nil"/>
          <w:bottom w:val="nil"/>
          <w:right w:val="nil"/>
          <w:between w:val="nil"/>
          <w:bar w:val="nil"/>
        </w:pBdr>
        <w:spacing w:before="0" w:after="240"/>
        <w:rPr>
          <w:noProof/>
        </w:rPr>
      </w:pPr>
      <w:r w:rsidRPr="002D52A1">
        <w:rPr>
          <w:noProof/>
        </w:rPr>
        <w:t>Návrh nenadväzuje na Program regulačnej vhodnosti</w:t>
      </w:r>
      <w:r w:rsidR="002D52A1">
        <w:rPr>
          <w:noProof/>
        </w:rPr>
        <w:t xml:space="preserve"> a </w:t>
      </w:r>
      <w:r w:rsidRPr="002D52A1">
        <w:rPr>
          <w:noProof/>
        </w:rPr>
        <w:t>efektívností</w:t>
      </w:r>
      <w:r w:rsidR="002D52A1" w:rsidRPr="002D52A1">
        <w:rPr>
          <w:noProof/>
        </w:rPr>
        <w:t>.</w:t>
      </w:r>
    </w:p>
    <w:p w14:paraId="487B40D9" w14:textId="1910C048"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Základné práva</w:t>
      </w:r>
    </w:p>
    <w:p w14:paraId="62CFBD08" w14:textId="28005FE0" w:rsidR="002D52A1" w:rsidRPr="002D52A1" w:rsidRDefault="00D045D9" w:rsidP="00D045D9">
      <w:pPr>
        <w:pBdr>
          <w:top w:val="nil"/>
          <w:left w:val="nil"/>
          <w:bottom w:val="nil"/>
          <w:right w:val="nil"/>
          <w:between w:val="nil"/>
          <w:bar w:val="nil"/>
        </w:pBdr>
        <w:spacing w:before="0" w:after="240"/>
        <w:rPr>
          <w:noProof/>
        </w:rPr>
      </w:pPr>
      <w:r w:rsidRPr="002D52A1">
        <w:rPr>
          <w:noProof/>
        </w:rPr>
        <w:t>Krajiny, na ktoré sa vzťahuje európska susedská politika, sú oprávnené požiadať</w:t>
      </w:r>
      <w:r w:rsidR="002D52A1">
        <w:rPr>
          <w:noProof/>
        </w:rPr>
        <w:t xml:space="preserve"> o </w:t>
      </w:r>
      <w:r w:rsidRPr="002D52A1">
        <w:rPr>
          <w:noProof/>
        </w:rPr>
        <w:t>makrofinančnú pomoc. Podmienkou poskytnutia makrofinančnej pomoci je rešpektovanie účinných demokratických mechanizmov vrátane pluralitného parlamentného systému</w:t>
      </w:r>
      <w:r w:rsidR="002D52A1">
        <w:rPr>
          <w:noProof/>
        </w:rPr>
        <w:t xml:space="preserve"> a </w:t>
      </w:r>
      <w:r w:rsidRPr="002D52A1">
        <w:rPr>
          <w:noProof/>
        </w:rPr>
        <w:t>právneho štátu, ako aj dodržiavanie ľudských práv zo strany oprávnenej krajiny</w:t>
      </w:r>
      <w:r w:rsidR="002D52A1" w:rsidRPr="002D52A1">
        <w:rPr>
          <w:noProof/>
        </w:rPr>
        <w:t>.</w:t>
      </w:r>
    </w:p>
    <w:p w14:paraId="5B42392F" w14:textId="72B61C31" w:rsidR="004D643E" w:rsidRPr="002D52A1" w:rsidRDefault="4AE0E69C" w:rsidP="4E7789BD">
      <w:pPr>
        <w:pBdr>
          <w:top w:val="nil"/>
          <w:left w:val="nil"/>
          <w:bottom w:val="nil"/>
          <w:right w:val="nil"/>
          <w:between w:val="nil"/>
          <w:bar w:val="nil"/>
        </w:pBdr>
        <w:spacing w:before="0" w:after="240"/>
        <w:rPr>
          <w:noProof/>
        </w:rPr>
      </w:pPr>
      <w:r w:rsidRPr="002D52A1">
        <w:rPr>
          <w:noProof/>
        </w:rPr>
        <w:t>Jasným pozitívnym signálom je obnovený záväzok reforiem</w:t>
      </w:r>
      <w:r w:rsidR="002D52A1">
        <w:rPr>
          <w:noProof/>
        </w:rPr>
        <w:t xml:space="preserve"> a </w:t>
      </w:r>
      <w:r w:rsidRPr="002D52A1">
        <w:rPr>
          <w:noProof/>
        </w:rPr>
        <w:t>silná politická vôľa ukrajinských orgánov,</w:t>
      </w:r>
      <w:r w:rsidR="002D52A1">
        <w:rPr>
          <w:noProof/>
        </w:rPr>
        <w:t xml:space="preserve"> o </w:t>
      </w:r>
      <w:r w:rsidRPr="002D52A1">
        <w:rPr>
          <w:noProof/>
        </w:rPr>
        <w:t>čom svedčí najmä úspešné dokončenie štrukturálnej politickej podmienenosti spojenej</w:t>
      </w:r>
      <w:r w:rsidR="002D52A1">
        <w:rPr>
          <w:noProof/>
        </w:rPr>
        <w:t xml:space="preserve"> s </w:t>
      </w:r>
      <w:r w:rsidRPr="002D52A1">
        <w:rPr>
          <w:noProof/>
        </w:rPr>
        <w:t>núdzovým programom makrofinančnej pomoci</w:t>
      </w:r>
      <w:r w:rsidR="002D52A1">
        <w:rPr>
          <w:noProof/>
        </w:rPr>
        <w:t xml:space="preserve"> v </w:t>
      </w:r>
      <w:r w:rsidRPr="002D52A1">
        <w:rPr>
          <w:noProof/>
        </w:rPr>
        <w:t>súvislosti</w:t>
      </w:r>
      <w:r w:rsidR="002D52A1">
        <w:rPr>
          <w:noProof/>
        </w:rPr>
        <w:t xml:space="preserve"> s </w:t>
      </w:r>
      <w:r w:rsidRPr="002D52A1">
        <w:rPr>
          <w:noProof/>
        </w:rPr>
        <w:t>ochorením COVID-19 pre Ukrajinu</w:t>
      </w:r>
      <w:r w:rsidR="002D52A1">
        <w:rPr>
          <w:noProof/>
        </w:rPr>
        <w:t xml:space="preserve"> v </w:t>
      </w:r>
      <w:r w:rsidRPr="002D52A1">
        <w:rPr>
          <w:noProof/>
        </w:rPr>
        <w:t>kľúčových oblastiach vrátane súdnictva, dobrej správy vecí verejných, právneho štátu</w:t>
      </w:r>
      <w:r w:rsidR="002D52A1">
        <w:rPr>
          <w:noProof/>
        </w:rPr>
        <w:t xml:space="preserve"> a </w:t>
      </w:r>
      <w:r w:rsidRPr="002D52A1">
        <w:rPr>
          <w:noProof/>
        </w:rPr>
        <w:t>boja proti korupcii. Podobne úsilie vynaložené na podporu žiadosti Ukrajiny</w:t>
      </w:r>
      <w:r w:rsidR="002D52A1">
        <w:rPr>
          <w:noProof/>
        </w:rPr>
        <w:t xml:space="preserve"> o </w:t>
      </w:r>
      <w:r w:rsidRPr="002D52A1">
        <w:rPr>
          <w:noProof/>
        </w:rPr>
        <w:t>členstvo</w:t>
      </w:r>
      <w:r w:rsidR="002D52A1">
        <w:rPr>
          <w:noProof/>
        </w:rPr>
        <w:t xml:space="preserve"> v </w:t>
      </w:r>
      <w:r w:rsidRPr="002D52A1">
        <w:rPr>
          <w:noProof/>
        </w:rPr>
        <w:t>EÚ, najmä poskytnutím vypracovanej odpovede na dva veľmi komplexné</w:t>
      </w:r>
      <w:r w:rsidR="002D52A1">
        <w:rPr>
          <w:noProof/>
        </w:rPr>
        <w:t xml:space="preserve"> a </w:t>
      </w:r>
      <w:r w:rsidRPr="002D52A1">
        <w:rPr>
          <w:noProof/>
        </w:rPr>
        <w:t>podrobné dotazníky, vyslalo jasný signál</w:t>
      </w:r>
      <w:r w:rsidR="002D52A1">
        <w:rPr>
          <w:noProof/>
        </w:rPr>
        <w:t xml:space="preserve"> o </w:t>
      </w:r>
      <w:r w:rsidRPr="002D52A1">
        <w:rPr>
          <w:noProof/>
        </w:rPr>
        <w:t>ochote orgánov sledovať</w:t>
      </w:r>
      <w:r w:rsidR="002D52A1">
        <w:rPr>
          <w:noProof/>
        </w:rPr>
        <w:t xml:space="preserve"> a </w:t>
      </w:r>
      <w:r w:rsidRPr="002D52A1">
        <w:rPr>
          <w:noProof/>
        </w:rPr>
        <w:t>plniť európske ambície Ukrajiny. Od začiatku ruskej agresie ukrajinské orgány preukázali obdivuhodný stupeň odolnosti</w:t>
      </w:r>
      <w:r w:rsidR="002D52A1">
        <w:rPr>
          <w:noProof/>
        </w:rPr>
        <w:t xml:space="preserve"> a </w:t>
      </w:r>
      <w:r w:rsidRPr="002D52A1">
        <w:rPr>
          <w:noProof/>
        </w:rPr>
        <w:t>sú naďalej odhodlané pokračovať</w:t>
      </w:r>
      <w:r w:rsidR="002D52A1">
        <w:rPr>
          <w:noProof/>
        </w:rPr>
        <w:t xml:space="preserve"> v </w:t>
      </w:r>
      <w:r w:rsidRPr="002D52A1">
        <w:rPr>
          <w:noProof/>
        </w:rPr>
        <w:t>týchto reformách transparentným spôsobom</w:t>
      </w:r>
      <w:r w:rsidR="002D52A1">
        <w:rPr>
          <w:noProof/>
        </w:rPr>
        <w:t xml:space="preserve"> a v </w:t>
      </w:r>
      <w:r w:rsidRPr="002D52A1">
        <w:rPr>
          <w:noProof/>
        </w:rPr>
        <w:t>súlade</w:t>
      </w:r>
      <w:r w:rsidR="002D52A1">
        <w:rPr>
          <w:noProof/>
        </w:rPr>
        <w:t xml:space="preserve"> s </w:t>
      </w:r>
      <w:r w:rsidRPr="002D52A1">
        <w:rPr>
          <w:noProof/>
        </w:rPr>
        <w:t>normami EÚ.</w:t>
      </w:r>
      <w:r w:rsidR="002D52A1">
        <w:rPr>
          <w:noProof/>
        </w:rPr>
        <w:t xml:space="preserve"> V </w:t>
      </w:r>
      <w:r w:rsidRPr="002D52A1">
        <w:rPr>
          <w:noProof/>
        </w:rPr>
        <w:t>tomto zmysle sa politická podmienka pre operáciu makrofinančnej pomoci považuje</w:t>
      </w:r>
      <w:r w:rsidR="002D52A1">
        <w:rPr>
          <w:noProof/>
        </w:rPr>
        <w:t xml:space="preserve"> v </w:t>
      </w:r>
      <w:r w:rsidRPr="002D52A1">
        <w:rPr>
          <w:noProof/>
        </w:rPr>
        <w:t>súčasnosti za splnenú.</w:t>
      </w:r>
    </w:p>
    <w:p w14:paraId="1698AAC6" w14:textId="77777777" w:rsidR="00F152DC" w:rsidRPr="002D52A1" w:rsidRDefault="00F152DC" w:rsidP="00D045D9">
      <w:pPr>
        <w:pStyle w:val="ManualHeading1"/>
        <w:rPr>
          <w:noProof/>
        </w:rPr>
      </w:pPr>
      <w:r w:rsidRPr="002D52A1">
        <w:rPr>
          <w:noProof/>
        </w:rPr>
        <w:t>4.</w:t>
      </w:r>
      <w:r w:rsidRPr="002D52A1">
        <w:rPr>
          <w:noProof/>
        </w:rPr>
        <w:tab/>
        <w:t>VPLYV NA ROZPOČET</w:t>
      </w:r>
    </w:p>
    <w:p w14:paraId="7EE64D11" w14:textId="77777777" w:rsidR="002D52A1" w:rsidRPr="002D52A1" w:rsidRDefault="45FEAB70" w:rsidP="017598B8">
      <w:pPr>
        <w:rPr>
          <w:noProof/>
        </w:rPr>
      </w:pPr>
      <w:r w:rsidRPr="002D52A1">
        <w:rPr>
          <w:noProof/>
        </w:rPr>
        <w:t>Finančné prostriedky na túto výnimočnú makrofinančnú pomoc Ukrajine vo výške 5 mld. EUR sa vypožičajú na kapitálových trhoch na účely následného poskytnutia vo forme úveru Ukrajine. Doplní sa nimi výnimočná makrofinančná pomoc Ukrajine vo výške 1 mld. EUR poskytnutá na základe rozhodnutia (EÚ) 2022/1201</w:t>
      </w:r>
      <w:r w:rsidR="002D52A1" w:rsidRPr="002D52A1">
        <w:rPr>
          <w:noProof/>
        </w:rPr>
        <w:t>.</w:t>
      </w:r>
    </w:p>
    <w:p w14:paraId="10C03901" w14:textId="527FECA8" w:rsidR="00860E34" w:rsidRPr="002D52A1" w:rsidRDefault="425546C6">
      <w:pPr>
        <w:pBdr>
          <w:top w:val="nil"/>
          <w:left w:val="nil"/>
          <w:bottom w:val="nil"/>
          <w:right w:val="nil"/>
          <w:between w:val="nil"/>
          <w:bar w:val="nil"/>
        </w:pBdr>
        <w:spacing w:before="0" w:after="240"/>
        <w:rPr>
          <w:noProof/>
        </w:rPr>
      </w:pPr>
      <w:r w:rsidRPr="002D52A1">
        <w:rPr>
          <w:noProof/>
        </w:rPr>
        <w:t>V záujme ochrany rozpočtu Únie by sa malo na dva úvery výnimočnej makrofinančnej pomoci Ukrajine</w:t>
      </w:r>
      <w:r w:rsidR="002D52A1">
        <w:rPr>
          <w:noProof/>
        </w:rPr>
        <w:t xml:space="preserve"> v </w:t>
      </w:r>
      <w:r w:rsidRPr="002D52A1">
        <w:rPr>
          <w:noProof/>
        </w:rPr>
        <w:t>celkovej výške 6 mld. EUR vzťahovať krytie na úrovni 70</w:t>
      </w:r>
      <w:r w:rsidR="002D52A1">
        <w:rPr>
          <w:noProof/>
        </w:rPr>
        <w:t> %</w:t>
      </w:r>
      <w:r w:rsidRPr="002D52A1">
        <w:rPr>
          <w:noProof/>
        </w:rPr>
        <w:t xml:space="preserve"> tvorené splatenými rezervami vo výške 9</w:t>
      </w:r>
      <w:r w:rsidR="002D52A1">
        <w:rPr>
          <w:noProof/>
        </w:rPr>
        <w:t> % a </w:t>
      </w:r>
      <w:r w:rsidRPr="002D52A1">
        <w:rPr>
          <w:noProof/>
        </w:rPr>
        <w:t>na požiadanie splatnými zárukami členských štátov vo výške 61</w:t>
      </w:r>
      <w:r w:rsidR="002D52A1">
        <w:rPr>
          <w:noProof/>
        </w:rPr>
        <w:t> %</w:t>
      </w:r>
      <w:r w:rsidRPr="002D52A1">
        <w:rPr>
          <w:noProof/>
        </w:rPr>
        <w:t>. Požadované splatené rezervy (na úrovni 9</w:t>
      </w:r>
      <w:r w:rsidR="002D52A1">
        <w:rPr>
          <w:noProof/>
        </w:rPr>
        <w:t> %</w:t>
      </w:r>
      <w:r w:rsidRPr="002D52A1">
        <w:rPr>
          <w:noProof/>
        </w:rPr>
        <w:t xml:space="preserve"> záruky pre vonkajšiu činnosť) sa vyčlenia</w:t>
      </w:r>
      <w:r w:rsidR="002D52A1">
        <w:rPr>
          <w:noProof/>
        </w:rPr>
        <w:t xml:space="preserve"> v </w:t>
      </w:r>
      <w:r w:rsidRPr="002D52A1">
        <w:rPr>
          <w:noProof/>
        </w:rPr>
        <w:t>rámci nástroja NDICI – Globálna Európa,</w:t>
      </w:r>
      <w:r w:rsidR="002D52A1">
        <w:rPr>
          <w:noProof/>
        </w:rPr>
        <w:t xml:space="preserve"> a </w:t>
      </w:r>
      <w:r w:rsidRPr="002D52A1">
        <w:rPr>
          <w:noProof/>
        </w:rPr>
        <w:t>to</w:t>
      </w:r>
      <w:r w:rsidR="002D52A1">
        <w:rPr>
          <w:noProof/>
        </w:rPr>
        <w:t xml:space="preserve"> v </w:t>
      </w:r>
      <w:r w:rsidRPr="002D52A1">
        <w:rPr>
          <w:noProof/>
        </w:rPr>
        <w:t>celkovej výške 540 mil. EUR (rozpočtový riadok 14 02 01 70 „NDICI – Globálna Európa – Tvorba rezerv pre spoločný rezervný fond“). Priestor na mobilizáciu rozpočtových prostriedkov pre túto dodatočnú tvorbu rezerv nad rámec 9</w:t>
      </w:r>
      <w:r w:rsidR="002D52A1">
        <w:rPr>
          <w:noProof/>
        </w:rPr>
        <w:t> %</w:t>
      </w:r>
      <w:r w:rsidRPr="002D52A1">
        <w:rPr>
          <w:noProof/>
        </w:rPr>
        <w:t xml:space="preserve"> je však</w:t>
      </w:r>
      <w:r w:rsidR="002D52A1">
        <w:rPr>
          <w:noProof/>
        </w:rPr>
        <w:t xml:space="preserve"> v </w:t>
      </w:r>
      <w:r w:rsidRPr="002D52A1">
        <w:rPr>
          <w:noProof/>
        </w:rPr>
        <w:t>rámci súčasných stropov VFR obmedzený. Ak sa majú Ukrajine poskytnúť ďalšie úvery makrofinančnej pomoci riadnym rozpočtovým spôsobom</w:t>
      </w:r>
      <w:r w:rsidR="002D52A1">
        <w:rPr>
          <w:noProof/>
        </w:rPr>
        <w:t xml:space="preserve"> a </w:t>
      </w:r>
      <w:r w:rsidRPr="002D52A1">
        <w:rPr>
          <w:noProof/>
        </w:rPr>
        <w:t>bez narušenia vykonávania VFR na roky 2021 – 2027, je potrebné využiť záruky členských štátov. Tým sa odôvodňuje návrh, aby členské štáty poskytli záruky na ďalších 61</w:t>
      </w:r>
      <w:r w:rsidR="002D52A1">
        <w:rPr>
          <w:noProof/>
        </w:rPr>
        <w:t> %</w:t>
      </w:r>
      <w:r w:rsidRPr="002D52A1">
        <w:rPr>
          <w:noProof/>
        </w:rPr>
        <w:t xml:space="preserve"> hodnoty úverov</w:t>
      </w:r>
      <w:r w:rsidR="002D52A1">
        <w:rPr>
          <w:noProof/>
        </w:rPr>
        <w:t xml:space="preserve"> v </w:t>
      </w:r>
      <w:r w:rsidRPr="002D52A1">
        <w:rPr>
          <w:noProof/>
        </w:rPr>
        <w:t>navrhovanej výške 6 mld. EUR.</w:t>
      </w:r>
    </w:p>
    <w:p w14:paraId="5CBB9A65" w14:textId="0E2AA323" w:rsidR="002D52A1" w:rsidRPr="002D52A1" w:rsidRDefault="005A3BBB" w:rsidP="005A3BBB">
      <w:pPr>
        <w:pBdr>
          <w:top w:val="nil"/>
          <w:left w:val="nil"/>
          <w:bottom w:val="nil"/>
          <w:right w:val="nil"/>
          <w:between w:val="nil"/>
          <w:bar w:val="nil"/>
        </w:pBdr>
        <w:spacing w:before="0" w:after="240"/>
        <w:rPr>
          <w:noProof/>
        </w:rPr>
      </w:pPr>
      <w:r w:rsidRPr="002D52A1">
        <w:rPr>
          <w:noProof/>
        </w:rPr>
        <w:t>Na celkové krytie by sa teda vzťahovalo zabezpečenie pri prvej strate vo forme splatených rezerv vo výške 9</w:t>
      </w:r>
      <w:r w:rsidR="002D52A1">
        <w:rPr>
          <w:noProof/>
        </w:rPr>
        <w:t> %</w:t>
      </w:r>
      <w:r w:rsidRPr="002D52A1">
        <w:rPr>
          <w:noProof/>
        </w:rPr>
        <w:t xml:space="preserve"> zo 6 mld. EUR</w:t>
      </w:r>
      <w:r w:rsidR="002D52A1">
        <w:rPr>
          <w:noProof/>
        </w:rPr>
        <w:t xml:space="preserve"> a </w:t>
      </w:r>
      <w:r w:rsidRPr="002D52A1">
        <w:rPr>
          <w:noProof/>
        </w:rPr>
        <w:t>potom vo forme doplnkových záruk členských štátov týkajúcich sa expozícií do výšky 3,66 mld. EUR, resp. 61</w:t>
      </w:r>
      <w:r w:rsidR="002D52A1">
        <w:rPr>
          <w:noProof/>
        </w:rPr>
        <w:t> % z </w:t>
      </w:r>
      <w:r w:rsidRPr="002D52A1">
        <w:rPr>
          <w:noProof/>
        </w:rPr>
        <w:t>úverov makrofinančnej pomoci vo výške 6 mld. EUR,</w:t>
      </w:r>
      <w:r w:rsidR="002D52A1">
        <w:rPr>
          <w:noProof/>
        </w:rPr>
        <w:t xml:space="preserve"> a v </w:t>
      </w:r>
      <w:r w:rsidRPr="002D52A1">
        <w:rPr>
          <w:noProof/>
        </w:rPr>
        <w:t>súlade</w:t>
      </w:r>
      <w:r w:rsidR="002D52A1">
        <w:rPr>
          <w:noProof/>
        </w:rPr>
        <w:t xml:space="preserve"> s </w:t>
      </w:r>
      <w:r w:rsidRPr="002D52A1">
        <w:rPr>
          <w:noProof/>
        </w:rPr>
        <w:t>platnými právnymi predpismi by boli ako podmienený záväzok kryté</w:t>
      </w:r>
      <w:r w:rsidR="002D52A1">
        <w:rPr>
          <w:noProof/>
        </w:rPr>
        <w:t xml:space="preserve"> z </w:t>
      </w:r>
      <w:r w:rsidRPr="002D52A1">
        <w:rPr>
          <w:noProof/>
        </w:rPr>
        <w:t>rozpočtu Únie aj všetky zostávajúce sumy</w:t>
      </w:r>
      <w:r w:rsidR="002D52A1" w:rsidRPr="002D52A1">
        <w:rPr>
          <w:noProof/>
        </w:rPr>
        <w:t>.</w:t>
      </w:r>
    </w:p>
    <w:p w14:paraId="6E7A2680" w14:textId="6B570DDA" w:rsidR="00E34702" w:rsidRPr="002D52A1" w:rsidRDefault="0D4F464F" w:rsidP="00E34702">
      <w:pPr>
        <w:pBdr>
          <w:top w:val="nil"/>
          <w:left w:val="nil"/>
          <w:bottom w:val="nil"/>
          <w:right w:val="nil"/>
          <w:between w:val="nil"/>
          <w:bar w:val="nil"/>
        </w:pBdr>
        <w:spacing w:before="0" w:after="240"/>
        <w:rPr>
          <w:noProof/>
          <w:spacing w:val="-8"/>
        </w:rPr>
      </w:pPr>
      <w:r w:rsidRPr="002D52A1">
        <w:rPr>
          <w:noProof/>
          <w:spacing w:val="-8"/>
        </w:rPr>
        <w:t>Výnimočná makrofinančná pomoc Ukrajine podľa tohto rozhodnutia sa poskytne ihneď po nadobudnutí účinnosti tohto rozhodnutia</w:t>
      </w:r>
      <w:r w:rsidR="002D52A1" w:rsidRPr="002D52A1">
        <w:rPr>
          <w:noProof/>
          <w:spacing w:val="-8"/>
        </w:rPr>
        <w:t xml:space="preserve"> a </w:t>
      </w:r>
      <w:r w:rsidRPr="002D52A1">
        <w:rPr>
          <w:noProof/>
          <w:spacing w:val="-8"/>
        </w:rPr>
        <w:t>bez čakania na získanie potrebných vnútroštátnych záruk.</w:t>
      </w:r>
    </w:p>
    <w:p w14:paraId="54EAA3F6" w14:textId="085E8009" w:rsidR="002D52A1" w:rsidRPr="002D52A1" w:rsidRDefault="00B6005E" w:rsidP="00B6005E">
      <w:pPr>
        <w:pBdr>
          <w:top w:val="nil"/>
          <w:left w:val="nil"/>
          <w:bottom w:val="nil"/>
          <w:right w:val="nil"/>
          <w:between w:val="nil"/>
          <w:bar w:val="nil"/>
        </w:pBdr>
        <w:spacing w:before="0" w:after="240"/>
        <w:rPr>
          <w:noProof/>
        </w:rPr>
      </w:pPr>
      <w:r w:rsidRPr="002D52A1">
        <w:rPr>
          <w:noProof/>
        </w:rPr>
        <w:t>Vzhľadom na naliehavú potrebu poskytnúť Ukrajine</w:t>
      </w:r>
      <w:r w:rsidR="002D52A1">
        <w:rPr>
          <w:noProof/>
        </w:rPr>
        <w:t xml:space="preserve"> v </w:t>
      </w:r>
      <w:r w:rsidRPr="002D52A1">
        <w:rPr>
          <w:noProof/>
        </w:rPr>
        <w:t>priebehu roka 2022 úvery zabezpečí EÚ úvery pred získaním záruk od členských štátov.</w:t>
      </w:r>
      <w:r w:rsidR="002D52A1">
        <w:rPr>
          <w:noProof/>
        </w:rPr>
        <w:t xml:space="preserve"> Z </w:t>
      </w:r>
      <w:r w:rsidRPr="002D52A1">
        <w:rPr>
          <w:noProof/>
        </w:rPr>
        <w:t>minulých skúseností vyplýva, že hoci mnohé členské štáty dokážu poskytnúť záruky</w:t>
      </w:r>
      <w:r w:rsidR="002D52A1">
        <w:rPr>
          <w:noProof/>
        </w:rPr>
        <w:t xml:space="preserve"> v </w:t>
      </w:r>
      <w:r w:rsidRPr="002D52A1">
        <w:rPr>
          <w:noProof/>
        </w:rPr>
        <w:t xml:space="preserve">priebehu dvoch až troch mesiacov, získať celý súbor záruk môže trvať štyri až päť mesiacov. Takéto dlhé oneskorenia nemožno vzhľadom na mimoriadnu naliehavosť finančných potrieb Ukrajiny pripustiť. </w:t>
      </w:r>
      <w:r w:rsidRPr="002D52A1">
        <w:rPr>
          <w:noProof/>
          <w:color w:val="000000"/>
        </w:rPr>
        <w:t>Komisia preto</w:t>
      </w:r>
      <w:r w:rsidRPr="002D52A1">
        <w:rPr>
          <w:noProof/>
        </w:rPr>
        <w:t> – výnimočne vzhľadom na mimoriadnu povahu situácie – predpokladá zabezpečovanie úverov súbežne</w:t>
      </w:r>
      <w:r w:rsidR="002D52A1">
        <w:rPr>
          <w:noProof/>
        </w:rPr>
        <w:t xml:space="preserve"> s </w:t>
      </w:r>
      <w:r w:rsidRPr="002D52A1">
        <w:rPr>
          <w:noProof/>
        </w:rPr>
        <w:t>prijímaním záruk</w:t>
      </w:r>
      <w:r w:rsidR="002D52A1" w:rsidRPr="002D52A1">
        <w:rPr>
          <w:noProof/>
        </w:rPr>
        <w:t>.</w:t>
      </w:r>
    </w:p>
    <w:p w14:paraId="002FB356" w14:textId="7F83602F" w:rsidR="00B6005E" w:rsidRPr="002D52A1" w:rsidRDefault="00B6005E" w:rsidP="00B6005E">
      <w:pPr>
        <w:pBdr>
          <w:top w:val="nil"/>
          <w:left w:val="nil"/>
          <w:bottom w:val="nil"/>
          <w:right w:val="nil"/>
          <w:between w:val="nil"/>
          <w:bar w:val="nil"/>
        </w:pBdr>
        <w:spacing w:before="0" w:after="240"/>
        <w:rPr>
          <w:noProof/>
          <w:spacing w:val="-4"/>
        </w:rPr>
      </w:pPr>
      <w:r w:rsidRPr="002D52A1">
        <w:rPr>
          <w:noProof/>
          <w:spacing w:val="-4"/>
        </w:rPr>
        <w:t>Štruktúra súčasného balíka úverov zaisťuje, že investori do dlhopisov EÚ nenesú počas tohto krátkeho prechodného obdobia do získania všetkých záruk žiadne riziko nesplatenia zo strany EÚ.</w:t>
      </w:r>
      <w:r w:rsidR="002D52A1" w:rsidRPr="002D52A1">
        <w:rPr>
          <w:noProof/>
          <w:spacing w:val="-4"/>
        </w:rPr>
        <w:t xml:space="preserve"> V </w:t>
      </w:r>
      <w:r w:rsidRPr="002D52A1">
        <w:rPr>
          <w:noProof/>
          <w:spacing w:val="-4"/>
        </w:rPr>
        <w:t>prechodom období (štyroch až piatich mesiacov) pred očakávaným získaním všetkých záruk totiž nie sú splatné žiadne platby. Ak by teoreticky</w:t>
      </w:r>
      <w:r w:rsidR="002D52A1" w:rsidRPr="002D52A1">
        <w:rPr>
          <w:noProof/>
          <w:spacing w:val="-4"/>
        </w:rPr>
        <w:t xml:space="preserve"> v </w:t>
      </w:r>
      <w:r w:rsidRPr="002D52A1">
        <w:rPr>
          <w:noProof/>
          <w:spacing w:val="-4"/>
        </w:rPr>
        <w:t>období do získania všetkých záruk došlo</w:t>
      </w:r>
      <w:r w:rsidR="002D52A1" w:rsidRPr="002D52A1">
        <w:rPr>
          <w:noProof/>
          <w:spacing w:val="-4"/>
        </w:rPr>
        <w:t xml:space="preserve"> k </w:t>
      </w:r>
      <w:r w:rsidRPr="002D52A1">
        <w:rPr>
          <w:noProof/>
          <w:spacing w:val="-4"/>
        </w:rPr>
        <w:t>nesplácaniu, Európska komisia môže čerpať</w:t>
      </w:r>
      <w:r w:rsidR="002D52A1" w:rsidRPr="002D52A1">
        <w:rPr>
          <w:noProof/>
          <w:spacing w:val="-4"/>
        </w:rPr>
        <w:t xml:space="preserve"> z </w:t>
      </w:r>
      <w:r w:rsidRPr="002D52A1">
        <w:rPr>
          <w:noProof/>
          <w:spacing w:val="-4"/>
        </w:rPr>
        <w:t>rezerv vyčlenených na úvery makrofinančnej pomoci</w:t>
      </w:r>
      <w:r w:rsidR="002D52A1" w:rsidRPr="002D52A1">
        <w:rPr>
          <w:noProof/>
          <w:spacing w:val="-4"/>
        </w:rPr>
        <w:t xml:space="preserve"> a v </w:t>
      </w:r>
      <w:r w:rsidRPr="002D52A1">
        <w:rPr>
          <w:noProof/>
          <w:spacing w:val="-4"/>
        </w:rPr>
        <w:t>prípade potreby</w:t>
      </w:r>
      <w:r w:rsidR="002D52A1" w:rsidRPr="002D52A1">
        <w:rPr>
          <w:noProof/>
          <w:spacing w:val="-4"/>
        </w:rPr>
        <w:t xml:space="preserve"> z </w:t>
      </w:r>
      <w:r w:rsidRPr="002D52A1">
        <w:rPr>
          <w:noProof/>
          <w:spacing w:val="-4"/>
        </w:rPr>
        <w:t>iných rezerv držaných</w:t>
      </w:r>
      <w:r w:rsidR="002D52A1" w:rsidRPr="002D52A1">
        <w:rPr>
          <w:noProof/>
          <w:spacing w:val="-4"/>
        </w:rPr>
        <w:t xml:space="preserve"> v </w:t>
      </w:r>
      <w:r w:rsidRPr="002D52A1">
        <w:rPr>
          <w:noProof/>
          <w:spacing w:val="-4"/>
        </w:rPr>
        <w:t>spoločnom rezervnom fonde EÚ.</w:t>
      </w:r>
    </w:p>
    <w:p w14:paraId="61C80E73" w14:textId="77777777" w:rsidR="002D52A1" w:rsidRPr="002D52A1" w:rsidRDefault="4272D6CE" w:rsidP="22327288">
      <w:pPr>
        <w:pBdr>
          <w:top w:val="nil"/>
          <w:left w:val="nil"/>
          <w:bottom w:val="nil"/>
          <w:right w:val="nil"/>
          <w:between w:val="nil"/>
          <w:bar w:val="nil"/>
        </w:pBdr>
        <w:spacing w:before="0" w:after="240"/>
        <w:rPr>
          <w:noProof/>
        </w:rPr>
      </w:pPr>
      <w:r w:rsidRPr="002D52A1">
        <w:rPr>
          <w:noProof/>
        </w:rPr>
        <w:t>Členské štáty by mali dokončiť svoje vnútroštátne postupy, aby mohli záruky nadobudnúť platnosť čo najskôr</w:t>
      </w:r>
      <w:r w:rsidR="002D52A1" w:rsidRPr="002D52A1">
        <w:rPr>
          <w:noProof/>
        </w:rPr>
        <w:t>.</w:t>
      </w:r>
    </w:p>
    <w:p w14:paraId="583FAB0F" w14:textId="6BECEF8C" w:rsidR="002D52A1" w:rsidRPr="002D52A1" w:rsidRDefault="70243B41" w:rsidP="007271EB">
      <w:pPr>
        <w:pBdr>
          <w:top w:val="nil"/>
          <w:left w:val="nil"/>
          <w:bottom w:val="nil"/>
          <w:right w:val="nil"/>
          <w:between w:val="nil"/>
          <w:bar w:val="nil"/>
        </w:pBdr>
        <w:spacing w:before="0" w:after="240"/>
        <w:rPr>
          <w:noProof/>
          <w:spacing w:val="-4"/>
        </w:rPr>
      </w:pPr>
      <w:r w:rsidRPr="002D52A1">
        <w:rPr>
          <w:noProof/>
          <w:spacing w:val="-4"/>
        </w:rPr>
        <w:t>Zárukou by sa kryli sumy presahujúce pôvodne splatené rezervy vo výške 9</w:t>
      </w:r>
      <w:r w:rsidR="002D52A1" w:rsidRPr="002D52A1">
        <w:rPr>
          <w:noProof/>
          <w:spacing w:val="-4"/>
        </w:rPr>
        <w:t> %</w:t>
      </w:r>
      <w:r w:rsidRPr="002D52A1">
        <w:rPr>
          <w:noProof/>
          <w:spacing w:val="-4"/>
        </w:rPr>
        <w:t xml:space="preserve"> úveru podľa tohto rozhodnutia</w:t>
      </w:r>
      <w:r w:rsidR="002D52A1" w:rsidRPr="002D52A1">
        <w:rPr>
          <w:noProof/>
          <w:spacing w:val="-4"/>
        </w:rPr>
        <w:t xml:space="preserve"> a </w:t>
      </w:r>
      <w:r w:rsidRPr="002D52A1">
        <w:rPr>
          <w:noProof/>
          <w:spacing w:val="-4"/>
        </w:rPr>
        <w:t>rozhodnutia (EÚ) 2022/1201, ktorý by sa poskytol</w:t>
      </w:r>
      <w:r w:rsidR="002D52A1" w:rsidRPr="002D52A1">
        <w:rPr>
          <w:noProof/>
          <w:spacing w:val="-4"/>
        </w:rPr>
        <w:t xml:space="preserve"> z </w:t>
      </w:r>
      <w:r w:rsidRPr="002D52A1">
        <w:rPr>
          <w:noProof/>
          <w:spacing w:val="-4"/>
        </w:rPr>
        <w:t>VFR, ako sa uvádza</w:t>
      </w:r>
      <w:r w:rsidR="002D52A1" w:rsidRPr="002D52A1">
        <w:rPr>
          <w:noProof/>
          <w:spacing w:val="-4"/>
        </w:rPr>
        <w:t xml:space="preserve"> v </w:t>
      </w:r>
      <w:r w:rsidRPr="002D52A1">
        <w:rPr>
          <w:noProof/>
          <w:spacing w:val="-4"/>
        </w:rPr>
        <w:t>článku 31 ods. 5 nariadenia</w:t>
      </w:r>
      <w:r w:rsidR="002D52A1" w:rsidRPr="002D52A1">
        <w:rPr>
          <w:noProof/>
          <w:spacing w:val="-4"/>
        </w:rPr>
        <w:t xml:space="preserve"> o </w:t>
      </w:r>
      <w:r w:rsidRPr="002D52A1">
        <w:rPr>
          <w:noProof/>
          <w:spacing w:val="-4"/>
        </w:rPr>
        <w:t>NDICI – Globálna Európa</w:t>
      </w:r>
      <w:r w:rsidR="002D52A1" w:rsidRPr="002D52A1">
        <w:rPr>
          <w:noProof/>
          <w:spacing w:val="-4"/>
        </w:rPr>
        <w:t xml:space="preserve"> a </w:t>
      </w:r>
      <w:r w:rsidRPr="002D52A1">
        <w:rPr>
          <w:noProof/>
          <w:spacing w:val="-4"/>
        </w:rPr>
        <w:t>vo finančnom pláne. Výzvy sa budú vzťahovať len na situácie, keď Ukrajina nebude splácať úver poskytnutý podľa tohto rozhodnutia</w:t>
      </w:r>
      <w:r w:rsidR="002D52A1" w:rsidRPr="002D52A1">
        <w:rPr>
          <w:noProof/>
          <w:spacing w:val="-4"/>
        </w:rPr>
        <w:t xml:space="preserve"> a </w:t>
      </w:r>
      <w:r w:rsidRPr="002D52A1">
        <w:rPr>
          <w:noProof/>
          <w:spacing w:val="-4"/>
        </w:rPr>
        <w:t>rozhodnutia (EÚ) 2022/1201,</w:t>
      </w:r>
      <w:r w:rsidR="002D52A1" w:rsidRPr="002D52A1">
        <w:rPr>
          <w:noProof/>
          <w:spacing w:val="-4"/>
        </w:rPr>
        <w:t xml:space="preserve"> a </w:t>
      </w:r>
      <w:r w:rsidRPr="002D52A1">
        <w:rPr>
          <w:noProof/>
          <w:spacing w:val="-4"/>
        </w:rPr>
        <w:t>budú sa využívať primárne na plnenie povinností Únie</w:t>
      </w:r>
      <w:r w:rsidR="002D52A1" w:rsidRPr="002D52A1">
        <w:rPr>
          <w:noProof/>
          <w:spacing w:val="-4"/>
        </w:rPr>
        <w:t xml:space="preserve"> a v </w:t>
      </w:r>
      <w:r w:rsidRPr="002D52A1">
        <w:rPr>
          <w:noProof/>
          <w:spacing w:val="-4"/>
        </w:rPr>
        <w:t>relevantných prípadoch na doplnenie zložky spoločného rezervného fondu, ktorá je vyhradená Ukrajine. Takéto príspevky sa zohľadnia pri výpočte rezerv vyplývajúcich</w:t>
      </w:r>
      <w:r w:rsidR="002D52A1" w:rsidRPr="002D52A1">
        <w:rPr>
          <w:noProof/>
          <w:spacing w:val="-4"/>
        </w:rPr>
        <w:t xml:space="preserve"> z </w:t>
      </w:r>
      <w:r w:rsidRPr="002D52A1">
        <w:rPr>
          <w:noProof/>
          <w:spacing w:val="-4"/>
        </w:rPr>
        <w:t>miery tvorby rezerv uvedenej</w:t>
      </w:r>
      <w:r w:rsidR="002D52A1" w:rsidRPr="002D52A1">
        <w:rPr>
          <w:noProof/>
          <w:spacing w:val="-4"/>
        </w:rPr>
        <w:t xml:space="preserve"> v </w:t>
      </w:r>
      <w:r w:rsidRPr="002D52A1">
        <w:rPr>
          <w:noProof/>
          <w:spacing w:val="-4"/>
        </w:rPr>
        <w:t>článku 211 ods. 1 nariadenia</w:t>
      </w:r>
      <w:r w:rsidR="002D52A1" w:rsidRPr="002D52A1">
        <w:rPr>
          <w:noProof/>
          <w:spacing w:val="-4"/>
        </w:rPr>
        <w:t xml:space="preserve"> o </w:t>
      </w:r>
      <w:r w:rsidRPr="002D52A1">
        <w:rPr>
          <w:noProof/>
          <w:spacing w:val="-4"/>
        </w:rPr>
        <w:t>rozpočtových pravidlách, odchylne od článku 211 ods. 4 druhého pododseku nariadenia</w:t>
      </w:r>
      <w:r w:rsidR="002D52A1" w:rsidRPr="002D52A1">
        <w:rPr>
          <w:noProof/>
          <w:spacing w:val="-4"/>
        </w:rPr>
        <w:t xml:space="preserve"> o </w:t>
      </w:r>
      <w:r w:rsidRPr="002D52A1">
        <w:rPr>
          <w:noProof/>
          <w:spacing w:val="-4"/>
        </w:rPr>
        <w:t>rozpočtových pravidlách</w:t>
      </w:r>
      <w:r w:rsidR="002D52A1" w:rsidRPr="002D52A1">
        <w:rPr>
          <w:noProof/>
          <w:spacing w:val="-4"/>
        </w:rPr>
        <w:t>.</w:t>
      </w:r>
    </w:p>
    <w:p w14:paraId="374CDC95" w14:textId="3C7EEA32" w:rsidR="007271EB" w:rsidRPr="002D52A1" w:rsidRDefault="007271EB" w:rsidP="005A3BBB">
      <w:pPr>
        <w:pBdr>
          <w:top w:val="nil"/>
          <w:left w:val="nil"/>
          <w:bottom w:val="nil"/>
          <w:right w:val="nil"/>
          <w:between w:val="nil"/>
          <w:bar w:val="nil"/>
        </w:pBdr>
        <w:spacing w:before="0" w:after="240"/>
        <w:rPr>
          <w:noProof/>
        </w:rPr>
      </w:pPr>
      <w:r w:rsidRPr="002D52A1">
        <w:rPr>
          <w:noProof/>
        </w:rPr>
        <w:t>Sumy vyžiadané od členských štátov by predstavovali vonkajšie pripísané príjmy</w:t>
      </w:r>
      <w:r w:rsidR="002D52A1">
        <w:rPr>
          <w:noProof/>
        </w:rPr>
        <w:t xml:space="preserve"> v </w:t>
      </w:r>
      <w:r w:rsidRPr="002D52A1">
        <w:rPr>
          <w:noProof/>
        </w:rPr>
        <w:t>zmysle článku 21 ods. 2 písm. a) bodu ii) nariadenia</w:t>
      </w:r>
      <w:r w:rsidR="002D52A1">
        <w:rPr>
          <w:noProof/>
        </w:rPr>
        <w:t xml:space="preserve"> o </w:t>
      </w:r>
      <w:r w:rsidRPr="002D52A1">
        <w:rPr>
          <w:noProof/>
        </w:rPr>
        <w:t>rozpočtových pravidlách</w:t>
      </w:r>
      <w:r w:rsidR="002D52A1">
        <w:rPr>
          <w:noProof/>
        </w:rPr>
        <w:t xml:space="preserve"> s </w:t>
      </w:r>
      <w:r w:rsidRPr="002D52A1">
        <w:rPr>
          <w:noProof/>
        </w:rPr>
        <w:t>cieľom poskytnúť príspevky členských štátov na tvorbu rezerv na makrofinančnú pomoc, ktorá je programom vonkajšej pomoci zaručenej podľa nariadenia</w:t>
      </w:r>
      <w:r w:rsidR="002D52A1">
        <w:rPr>
          <w:noProof/>
        </w:rPr>
        <w:t xml:space="preserve"> o </w:t>
      </w:r>
      <w:r w:rsidRPr="002D52A1">
        <w:rPr>
          <w:noProof/>
        </w:rPr>
        <w:t>NDICI – Globálna Európa.</w:t>
      </w:r>
    </w:p>
    <w:p w14:paraId="1AB70225" w14:textId="36FB174C" w:rsidR="004D643E" w:rsidRPr="002D52A1" w:rsidRDefault="64C48C7E" w:rsidP="005A3BBB">
      <w:pPr>
        <w:pBdr>
          <w:top w:val="nil"/>
          <w:left w:val="nil"/>
          <w:bottom w:val="nil"/>
          <w:right w:val="nil"/>
          <w:between w:val="nil"/>
          <w:bar w:val="nil"/>
        </w:pBdr>
        <w:spacing w:before="0" w:after="240"/>
        <w:rPr>
          <w:noProof/>
        </w:rPr>
      </w:pPr>
      <w:r w:rsidRPr="002D52A1">
        <w:rPr>
          <w:noProof/>
        </w:rPr>
        <w:t>Vzhľadom na výnimočnú povahu makrofinančnej pomoci podporenej zárukami je vhodné kryť finančný záväzok</w:t>
      </w:r>
      <w:r w:rsidR="002D52A1">
        <w:rPr>
          <w:noProof/>
        </w:rPr>
        <w:t xml:space="preserve"> z </w:t>
      </w:r>
      <w:r w:rsidRPr="002D52A1">
        <w:rPr>
          <w:noProof/>
        </w:rPr>
        <w:t>makrofinančnej pomoci podľa tohto rozhodnutia</w:t>
      </w:r>
      <w:r w:rsidR="002D52A1">
        <w:rPr>
          <w:noProof/>
        </w:rPr>
        <w:t xml:space="preserve"> a </w:t>
      </w:r>
      <w:r w:rsidRPr="002D52A1">
        <w:rPr>
          <w:noProof/>
        </w:rPr>
        <w:t>rozhodnutia (EÚ) 2022/1201 oddelene od ostatných finančných záväzkov</w:t>
      </w:r>
      <w:r w:rsidR="002D52A1">
        <w:rPr>
          <w:noProof/>
        </w:rPr>
        <w:t xml:space="preserve"> v </w:t>
      </w:r>
      <w:r w:rsidRPr="002D52A1">
        <w:rPr>
          <w:noProof/>
        </w:rPr>
        <w:t>rámci záruky pre vonkajšiu činnosť. Predovšetkým je vhodné použiť rezervu vyčlenenú</w:t>
      </w:r>
      <w:r w:rsidR="002D52A1">
        <w:rPr>
          <w:noProof/>
        </w:rPr>
        <w:t xml:space="preserve"> v </w:t>
      </w:r>
      <w:r w:rsidRPr="002D52A1">
        <w:rPr>
          <w:noProof/>
        </w:rPr>
        <w:t>SRF</w:t>
      </w:r>
      <w:r w:rsidR="002D52A1">
        <w:rPr>
          <w:noProof/>
        </w:rPr>
        <w:t xml:space="preserve"> v </w:t>
      </w:r>
      <w:r w:rsidRPr="002D52A1">
        <w:rPr>
          <w:noProof/>
        </w:rPr>
        <w:t>súvislosti</w:t>
      </w:r>
      <w:r w:rsidR="002D52A1">
        <w:rPr>
          <w:noProof/>
        </w:rPr>
        <w:t xml:space="preserve"> s </w:t>
      </w:r>
      <w:r w:rsidRPr="002D52A1">
        <w:rPr>
          <w:noProof/>
        </w:rPr>
        <w:t>touto makrofinančnou pomocou výlučne na finančné záväzky podľa tohto rozhodnutia namiesto uplatnenia všeobecného pravidla stanoveného</w:t>
      </w:r>
      <w:r w:rsidR="002D52A1">
        <w:rPr>
          <w:noProof/>
        </w:rPr>
        <w:t xml:space="preserve"> v </w:t>
      </w:r>
      <w:r w:rsidRPr="002D52A1">
        <w:rPr>
          <w:noProof/>
        </w:rPr>
        <w:t>článku 31 ods. 6 nariadenia</w:t>
      </w:r>
      <w:r w:rsidR="002D52A1">
        <w:rPr>
          <w:noProof/>
        </w:rPr>
        <w:t xml:space="preserve"> o </w:t>
      </w:r>
      <w:r w:rsidRPr="002D52A1">
        <w:rPr>
          <w:noProof/>
        </w:rPr>
        <w:t>NDICI – Globálna Európa.</w:t>
      </w:r>
    </w:p>
    <w:p w14:paraId="0EA8937F" w14:textId="42F24E63" w:rsidR="002D52A1" w:rsidRPr="002D52A1" w:rsidRDefault="26C1F87D" w:rsidP="07D623CA">
      <w:pPr>
        <w:pBdr>
          <w:top w:val="nil"/>
          <w:left w:val="nil"/>
          <w:bottom w:val="nil"/>
          <w:right w:val="nil"/>
          <w:between w:val="nil"/>
          <w:bar w:val="nil"/>
        </w:pBdr>
        <w:spacing w:before="0" w:after="240"/>
        <w:rPr>
          <w:noProof/>
        </w:rPr>
      </w:pPr>
      <w:r w:rsidRPr="002D52A1">
        <w:rPr>
          <w:noProof/>
        </w:rPr>
        <w:t>Tie isté rizikové hľadiská sa uplatňujú na úvery</w:t>
      </w:r>
      <w:r w:rsidR="002D52A1">
        <w:rPr>
          <w:noProof/>
        </w:rPr>
        <w:t xml:space="preserve"> v </w:t>
      </w:r>
      <w:r w:rsidRPr="002D52A1">
        <w:rPr>
          <w:noProof/>
        </w:rPr>
        <w:t>rámci ELM, ktoré EIB vyplatila alebo má vyplatiť po 15. júli 2022.</w:t>
      </w:r>
      <w:r w:rsidR="002D52A1">
        <w:rPr>
          <w:noProof/>
        </w:rPr>
        <w:t xml:space="preserve"> V </w:t>
      </w:r>
      <w:r w:rsidRPr="002D52A1">
        <w:rPr>
          <w:noProof/>
        </w:rPr>
        <w:t>tomto návrhu sa preto predpokladá rozšírenie 70</w:t>
      </w:r>
      <w:r w:rsidR="002D52A1">
        <w:rPr>
          <w:noProof/>
        </w:rPr>
        <w:t> %</w:t>
      </w:r>
      <w:r w:rsidRPr="002D52A1">
        <w:rPr>
          <w:noProof/>
        </w:rPr>
        <w:t xml:space="preserve"> miery tvorby rezerv na uvedené úvery, uplatňovanie pravidiel tvorby rezerv podľa nariadenia</w:t>
      </w:r>
      <w:r w:rsidR="002D52A1">
        <w:rPr>
          <w:noProof/>
        </w:rPr>
        <w:t xml:space="preserve"> o </w:t>
      </w:r>
      <w:r w:rsidRPr="002D52A1">
        <w:rPr>
          <w:noProof/>
        </w:rPr>
        <w:t>rozpočtových pravidlách namiesto pravidiel Garančného fondu pre vonkajšie opatrenia</w:t>
      </w:r>
      <w:r w:rsidR="002D52A1">
        <w:rPr>
          <w:noProof/>
        </w:rPr>
        <w:t xml:space="preserve"> a </w:t>
      </w:r>
      <w:r w:rsidRPr="002D52A1">
        <w:rPr>
          <w:noProof/>
        </w:rPr>
        <w:t>stanovuje sa</w:t>
      </w:r>
      <w:r w:rsidR="002D52A1">
        <w:rPr>
          <w:noProof/>
        </w:rPr>
        <w:t xml:space="preserve"> v </w:t>
      </w:r>
      <w:r w:rsidRPr="002D52A1">
        <w:rPr>
          <w:noProof/>
        </w:rPr>
        <w:t>ňom, že rezervy by mali byť držané</w:t>
      </w:r>
      <w:r w:rsidR="002D52A1">
        <w:rPr>
          <w:noProof/>
        </w:rPr>
        <w:t xml:space="preserve"> v </w:t>
      </w:r>
      <w:r w:rsidRPr="002D52A1">
        <w:rPr>
          <w:noProof/>
        </w:rPr>
        <w:t>samostatnej zložke SRF</w:t>
      </w:r>
      <w:r w:rsidR="002D52A1" w:rsidRPr="002D52A1">
        <w:rPr>
          <w:noProof/>
        </w:rPr>
        <w:t>.</w:t>
      </w:r>
    </w:p>
    <w:p w14:paraId="79D9F9E3" w14:textId="26F868BA" w:rsidR="00CD6872" w:rsidRPr="002D52A1" w:rsidRDefault="0F7C5A77" w:rsidP="07D623CA">
      <w:pPr>
        <w:pBdr>
          <w:top w:val="nil"/>
          <w:left w:val="nil"/>
          <w:bottom w:val="nil"/>
          <w:right w:val="nil"/>
          <w:between w:val="nil"/>
          <w:bar w:val="nil"/>
        </w:pBdr>
        <w:spacing w:before="0" w:after="240"/>
        <w:rPr>
          <w:rFonts w:eastAsia="Arial Unicode MS"/>
          <w:noProof/>
        </w:rPr>
      </w:pPr>
      <w:r w:rsidRPr="002D52A1">
        <w:rPr>
          <w:noProof/>
        </w:rPr>
        <w:t>Okrem toho by sa podľa ďalej uvedených ustanovení mala poskytnúť bonifikácia úrokov, ktorá by sa mala hradiť</w:t>
      </w:r>
      <w:r w:rsidR="002D52A1">
        <w:rPr>
          <w:noProof/>
        </w:rPr>
        <w:t xml:space="preserve"> z </w:t>
      </w:r>
      <w:r w:rsidRPr="002D52A1">
        <w:rPr>
          <w:noProof/>
        </w:rPr>
        <w:t>finančného krytia uvedeného</w:t>
      </w:r>
      <w:r w:rsidR="002D52A1">
        <w:rPr>
          <w:noProof/>
        </w:rPr>
        <w:t xml:space="preserve"> v </w:t>
      </w:r>
      <w:r w:rsidRPr="002D52A1">
        <w:rPr>
          <w:noProof/>
        </w:rPr>
        <w:t>článku 6 ods. 2 písm. a) prvej zarážke nariadenia</w:t>
      </w:r>
      <w:r w:rsidR="002D52A1">
        <w:rPr>
          <w:noProof/>
        </w:rPr>
        <w:t xml:space="preserve"> o </w:t>
      </w:r>
      <w:r w:rsidRPr="002D52A1">
        <w:rPr>
          <w:noProof/>
        </w:rPr>
        <w:t>NDICI – Globálna Európa počas obdobia VFR na roky 2021 – 2027. Od administratívnych nákladov súvisiacich</w:t>
      </w:r>
      <w:r w:rsidR="002D52A1">
        <w:rPr>
          <w:noProof/>
        </w:rPr>
        <w:t xml:space="preserve"> s </w:t>
      </w:r>
      <w:r w:rsidRPr="002D52A1">
        <w:rPr>
          <w:noProof/>
        </w:rPr>
        <w:t>prijímaním</w:t>
      </w:r>
      <w:r w:rsidR="002D52A1">
        <w:rPr>
          <w:noProof/>
        </w:rPr>
        <w:t xml:space="preserve"> a </w:t>
      </w:r>
      <w:r w:rsidRPr="002D52A1">
        <w:rPr>
          <w:noProof/>
        </w:rPr>
        <w:t>poskytovaním úverov by sa upustilo</w:t>
      </w:r>
      <w:r w:rsidR="002D52A1">
        <w:rPr>
          <w:noProof/>
        </w:rPr>
        <w:t xml:space="preserve"> a </w:t>
      </w:r>
      <w:r w:rsidRPr="002D52A1">
        <w:rPr>
          <w:noProof/>
        </w:rPr>
        <w:t>od Ukrajiny by sa teda nevymáhali. Budú hradené</w:t>
      </w:r>
      <w:r w:rsidR="002D52A1">
        <w:rPr>
          <w:noProof/>
        </w:rPr>
        <w:t xml:space="preserve"> v </w:t>
      </w:r>
      <w:r w:rsidRPr="002D52A1">
        <w:rPr>
          <w:noProof/>
        </w:rPr>
        <w:t>rámci príslušných administratívnych rozpočtových riadkov.</w:t>
      </w:r>
    </w:p>
    <w:p w14:paraId="3A547F5D" w14:textId="77777777" w:rsidR="00F152DC" w:rsidRPr="002D52A1" w:rsidRDefault="00F152DC" w:rsidP="00D045D9">
      <w:pPr>
        <w:pStyle w:val="ManualHeading1"/>
        <w:rPr>
          <w:noProof/>
        </w:rPr>
      </w:pPr>
      <w:r w:rsidRPr="002D52A1">
        <w:rPr>
          <w:noProof/>
        </w:rPr>
        <w:t>5.</w:t>
      </w:r>
      <w:r w:rsidRPr="002D52A1">
        <w:rPr>
          <w:noProof/>
        </w:rPr>
        <w:tab/>
        <w:t>ĎALŠIE PRVKY</w:t>
      </w:r>
    </w:p>
    <w:p w14:paraId="56A6DD0A" w14:textId="18358195"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Plány vykonávania, spôsob monitorovania, hodnotenia</w:t>
      </w:r>
      <w:r w:rsidR="002D52A1">
        <w:rPr>
          <w:noProof/>
          <w:u w:color="000000"/>
          <w:bdr w:val="nil"/>
        </w:rPr>
        <w:t xml:space="preserve"> a </w:t>
      </w:r>
      <w:r w:rsidRPr="002D52A1">
        <w:rPr>
          <w:noProof/>
          <w:u w:color="000000"/>
          <w:bdr w:val="nil"/>
        </w:rPr>
        <w:t>podávania správ</w:t>
      </w:r>
    </w:p>
    <w:p w14:paraId="5A7AA2B2" w14:textId="7D0ADFAD" w:rsidR="00D422FE" w:rsidRPr="002D52A1" w:rsidRDefault="00E87BDC" w:rsidP="00EB03A9">
      <w:pPr>
        <w:rPr>
          <w:noProof/>
          <w:spacing w:val="-4"/>
        </w:rPr>
      </w:pPr>
      <w:r w:rsidRPr="002D52A1">
        <w:rPr>
          <w:noProof/>
          <w:spacing w:val="-4"/>
        </w:rPr>
        <w:t>Európska únia poskytne Ukrajine túto výnimočnú makrofinančnú pomoc</w:t>
      </w:r>
      <w:r w:rsidR="002D52A1" w:rsidRPr="002D52A1">
        <w:rPr>
          <w:noProof/>
          <w:spacing w:val="-4"/>
        </w:rPr>
        <w:t xml:space="preserve"> v </w:t>
      </w:r>
      <w:r w:rsidRPr="002D52A1">
        <w:rPr>
          <w:noProof/>
          <w:spacing w:val="-4"/>
        </w:rPr>
        <w:t>celkovej výške 5 miliárd EUR vo forme dlhodobých úverov. Táto pomoc, ktorá sa má vyplatiť</w:t>
      </w:r>
      <w:r w:rsidR="002D52A1" w:rsidRPr="002D52A1">
        <w:rPr>
          <w:noProof/>
          <w:spacing w:val="-4"/>
        </w:rPr>
        <w:t xml:space="preserve"> v </w:t>
      </w:r>
      <w:r w:rsidRPr="002D52A1">
        <w:rPr>
          <w:noProof/>
          <w:spacing w:val="-4"/>
        </w:rPr>
        <w:t>niekoľkých splátkach, prispeje</w:t>
      </w:r>
      <w:r w:rsidR="002D52A1" w:rsidRPr="002D52A1">
        <w:rPr>
          <w:noProof/>
          <w:spacing w:val="-4"/>
        </w:rPr>
        <w:t xml:space="preserve"> k </w:t>
      </w:r>
      <w:r w:rsidRPr="002D52A1">
        <w:rPr>
          <w:noProof/>
          <w:spacing w:val="-4"/>
        </w:rPr>
        <w:t>pokrytiu zostatkovej medzery Ukrajiny vo vonkajšom financovaní</w:t>
      </w:r>
      <w:r w:rsidR="002D52A1" w:rsidRPr="002D52A1">
        <w:rPr>
          <w:noProof/>
          <w:spacing w:val="-4"/>
        </w:rPr>
        <w:t xml:space="preserve"> v </w:t>
      </w:r>
      <w:r w:rsidRPr="002D52A1">
        <w:rPr>
          <w:noProof/>
          <w:spacing w:val="-4"/>
        </w:rPr>
        <w:t>roku 2022. Prvá splátka bude vyplatená po schválení tohto návrhu</w:t>
      </w:r>
      <w:r w:rsidR="002D52A1" w:rsidRPr="002D52A1">
        <w:rPr>
          <w:noProof/>
          <w:spacing w:val="-4"/>
        </w:rPr>
        <w:t xml:space="preserve"> a </w:t>
      </w:r>
      <w:r w:rsidRPr="002D52A1">
        <w:rPr>
          <w:noProof/>
          <w:spacing w:val="-4"/>
        </w:rPr>
        <w:t>nadobudnutí platnosti príslušného MoP</w:t>
      </w:r>
      <w:r w:rsidR="002D52A1" w:rsidRPr="002D52A1">
        <w:rPr>
          <w:noProof/>
          <w:spacing w:val="-4"/>
        </w:rPr>
        <w:t xml:space="preserve"> a </w:t>
      </w:r>
      <w:r w:rsidRPr="002D52A1">
        <w:rPr>
          <w:noProof/>
          <w:spacing w:val="-4"/>
        </w:rPr>
        <w:t>ihneď po tom, ako členské štáty jednomyseľne vyjadria súhlas</w:t>
      </w:r>
      <w:r w:rsidR="002D52A1" w:rsidRPr="002D52A1">
        <w:rPr>
          <w:noProof/>
          <w:spacing w:val="-4"/>
        </w:rPr>
        <w:t xml:space="preserve"> s </w:t>
      </w:r>
      <w:r w:rsidRPr="002D52A1">
        <w:rPr>
          <w:noProof/>
          <w:spacing w:val="-4"/>
        </w:rPr>
        <w:t>vykonaním svojich vnútroštátnych postupov na čo najrýchlejšie predloženie vnútroštátnych záruk.</w:t>
      </w:r>
    </w:p>
    <w:p w14:paraId="2DC06D3E" w14:textId="0B4EB20F" w:rsidR="00E87BDC" w:rsidRPr="002D52A1" w:rsidRDefault="4149ED77" w:rsidP="003C45F0">
      <w:pPr>
        <w:rPr>
          <w:noProof/>
        </w:rPr>
      </w:pPr>
      <w:r w:rsidRPr="002D52A1">
        <w:rPr>
          <w:noProof/>
        </w:rPr>
        <w:t>Vyplatenie by bolo ďalej podmienené dodržiavaním požiadaviek na podávanie správ stanovených</w:t>
      </w:r>
      <w:r w:rsidR="002D52A1">
        <w:rPr>
          <w:noProof/>
        </w:rPr>
        <w:t xml:space="preserve"> v </w:t>
      </w:r>
      <w:r w:rsidRPr="002D52A1">
        <w:rPr>
          <w:noProof/>
        </w:rPr>
        <w:t>MoP. Komisia bude úzko spolupracovať</w:t>
      </w:r>
      <w:r w:rsidR="002D52A1">
        <w:rPr>
          <w:noProof/>
        </w:rPr>
        <w:t xml:space="preserve"> s </w:t>
      </w:r>
      <w:r w:rsidRPr="002D52A1">
        <w:rPr>
          <w:noProof/>
        </w:rPr>
        <w:t>medzinárodnými finančnými inštitúciami</w:t>
      </w:r>
      <w:r w:rsidR="002D52A1">
        <w:rPr>
          <w:noProof/>
        </w:rPr>
        <w:t xml:space="preserve"> a </w:t>
      </w:r>
      <w:r w:rsidRPr="002D52A1">
        <w:rPr>
          <w:noProof/>
        </w:rPr>
        <w:t>vnútroštátnymi orgánmi</w:t>
      </w:r>
      <w:r w:rsidR="002D52A1">
        <w:rPr>
          <w:noProof/>
        </w:rPr>
        <w:t xml:space="preserve"> s </w:t>
      </w:r>
      <w:r w:rsidRPr="002D52A1">
        <w:rPr>
          <w:noProof/>
        </w:rPr>
        <w:t>cieľom monitorovať príslušný vývoj</w:t>
      </w:r>
      <w:r w:rsidR="002D52A1">
        <w:rPr>
          <w:noProof/>
        </w:rPr>
        <w:t xml:space="preserve"> a </w:t>
      </w:r>
      <w:r w:rsidRPr="002D52A1">
        <w:rPr>
          <w:noProof/>
        </w:rPr>
        <w:t>uplatňovanie požiadaviek</w:t>
      </w:r>
      <w:r w:rsidR="002D52A1">
        <w:rPr>
          <w:noProof/>
        </w:rPr>
        <w:t xml:space="preserve"> a </w:t>
      </w:r>
      <w:r w:rsidRPr="002D52A1">
        <w:rPr>
          <w:noProof/>
        </w:rPr>
        <w:t>podmienok dohodnutých</w:t>
      </w:r>
      <w:r w:rsidR="002D52A1">
        <w:rPr>
          <w:noProof/>
        </w:rPr>
        <w:t xml:space="preserve"> v </w:t>
      </w:r>
      <w:r w:rsidRPr="002D52A1">
        <w:rPr>
          <w:noProof/>
        </w:rPr>
        <w:t>MoP.</w:t>
      </w:r>
    </w:p>
    <w:p w14:paraId="501BC986" w14:textId="71FFC7C6" w:rsidR="002D52A1" w:rsidRPr="002D52A1" w:rsidRDefault="3BB2F731" w:rsidP="00E87BDC">
      <w:pPr>
        <w:pBdr>
          <w:top w:val="nil"/>
          <w:left w:val="nil"/>
          <w:bottom w:val="nil"/>
          <w:right w:val="nil"/>
          <w:between w:val="nil"/>
          <w:bar w:val="nil"/>
        </w:pBdr>
        <w:spacing w:before="0" w:after="240"/>
        <w:rPr>
          <w:noProof/>
        </w:rPr>
      </w:pPr>
      <w:r w:rsidRPr="002D52A1">
        <w:rPr>
          <w:noProof/>
        </w:rPr>
        <w:t>Pomoc bude riadiť Komisia.</w:t>
      </w:r>
      <w:r w:rsidR="002D52A1">
        <w:rPr>
          <w:noProof/>
        </w:rPr>
        <w:t xml:space="preserve"> V </w:t>
      </w:r>
      <w:r w:rsidRPr="002D52A1">
        <w:rPr>
          <w:noProof/>
        </w:rPr>
        <w:t>súlade</w:t>
      </w:r>
      <w:r w:rsidR="002D52A1">
        <w:rPr>
          <w:noProof/>
        </w:rPr>
        <w:t xml:space="preserve"> s </w:t>
      </w:r>
      <w:r w:rsidRPr="002D52A1">
        <w:rPr>
          <w:noProof/>
        </w:rPr>
        <w:t>nariadením</w:t>
      </w:r>
      <w:r w:rsidR="002D52A1">
        <w:rPr>
          <w:noProof/>
        </w:rPr>
        <w:t xml:space="preserve"> o </w:t>
      </w:r>
      <w:r w:rsidRPr="002D52A1">
        <w:rPr>
          <w:noProof/>
        </w:rPr>
        <w:t>rozpočtových pravidlách sa uplatňujú osobitné ustanovenia týkajúce sa prevencie proti podvodom</w:t>
      </w:r>
      <w:r w:rsidR="002D52A1">
        <w:rPr>
          <w:noProof/>
        </w:rPr>
        <w:t xml:space="preserve"> a </w:t>
      </w:r>
      <w:r w:rsidRPr="002D52A1">
        <w:rPr>
          <w:noProof/>
        </w:rPr>
        <w:t>iným nezrovnalostiam</w:t>
      </w:r>
      <w:r w:rsidR="002D52A1" w:rsidRPr="002D52A1">
        <w:rPr>
          <w:noProof/>
        </w:rPr>
        <w:t>.</w:t>
      </w:r>
    </w:p>
    <w:p w14:paraId="4D542897" w14:textId="742F27EE"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Vysvetľujúce dokumenty (v prípade smerníc)</w:t>
      </w:r>
    </w:p>
    <w:p w14:paraId="3BB7AEEF" w14:textId="77777777" w:rsidR="002D52A1" w:rsidRPr="002D52A1" w:rsidRDefault="004D643E" w:rsidP="004D643E">
      <w:pPr>
        <w:pBdr>
          <w:top w:val="nil"/>
          <w:left w:val="nil"/>
          <w:bottom w:val="nil"/>
          <w:right w:val="nil"/>
          <w:between w:val="nil"/>
          <w:bar w:val="nil"/>
        </w:pBdr>
        <w:spacing w:before="0" w:after="240"/>
        <w:rPr>
          <w:noProof/>
        </w:rPr>
      </w:pPr>
      <w:r w:rsidRPr="002D52A1">
        <w:rPr>
          <w:noProof/>
        </w:rPr>
        <w:t>Neuplatňuje sa</w:t>
      </w:r>
      <w:r w:rsidR="002D52A1" w:rsidRPr="002D52A1">
        <w:rPr>
          <w:noProof/>
        </w:rPr>
        <w:t>.</w:t>
      </w:r>
    </w:p>
    <w:p w14:paraId="6BEA7686" w14:textId="550F0174" w:rsidR="00F152DC" w:rsidRPr="002D52A1" w:rsidRDefault="00F152DC" w:rsidP="00D045D9">
      <w:pPr>
        <w:pStyle w:val="ManualHeading2"/>
        <w:rPr>
          <w:rFonts w:eastAsia="Arial Unicode MS"/>
          <w:noProof/>
          <w:u w:color="000000"/>
          <w:bdr w:val="nil"/>
        </w:rPr>
      </w:pPr>
      <w:r w:rsidRPr="002D52A1">
        <w:rPr>
          <w:noProof/>
          <w:u w:color="000000"/>
          <w:bdr w:val="nil"/>
        </w:rPr>
        <w:t>•</w:t>
      </w:r>
      <w:r w:rsidRPr="002D52A1">
        <w:rPr>
          <w:noProof/>
        </w:rPr>
        <w:tab/>
      </w:r>
      <w:r w:rsidRPr="002D52A1">
        <w:rPr>
          <w:noProof/>
          <w:u w:color="000000"/>
          <w:bdr w:val="nil"/>
        </w:rPr>
        <w:t>Podrobné vysvetlenie konkrétnych ustanovení návrhu</w:t>
      </w:r>
    </w:p>
    <w:p w14:paraId="1CD1DF1A" w14:textId="77777777" w:rsidR="001F3B66" w:rsidRPr="002D52A1" w:rsidRDefault="001F3B66" w:rsidP="4E7789BD">
      <w:pPr>
        <w:pBdr>
          <w:top w:val="nil"/>
          <w:left w:val="nil"/>
          <w:bottom w:val="nil"/>
          <w:right w:val="nil"/>
          <w:between w:val="nil"/>
          <w:bar w:val="nil"/>
        </w:pBdr>
        <w:spacing w:before="0" w:after="240"/>
        <w:rPr>
          <w:noProof/>
        </w:rPr>
      </w:pPr>
      <w:r w:rsidRPr="002D52A1">
        <w:rPr>
          <w:noProof/>
        </w:rPr>
        <w:t>V rozhodnutí sa takisto stanoví rámec pre záruky členských štátov na pokrytie strát presahujúcich tvorbu rezerv, ktorá už bola zaplatená do SRF alebo ktorá sa predpokladá vo finančnom pláne VFR na roky 2021 – 2027.</w:t>
      </w:r>
    </w:p>
    <w:p w14:paraId="3A68BBFE" w14:textId="77777777" w:rsidR="001F3B66" w:rsidRPr="002D52A1" w:rsidRDefault="60BE7756" w:rsidP="4E7789BD">
      <w:pPr>
        <w:pBdr>
          <w:top w:val="nil"/>
          <w:left w:val="nil"/>
          <w:bottom w:val="nil"/>
          <w:right w:val="nil"/>
          <w:between w:val="nil"/>
          <w:bar w:val="nil"/>
        </w:pBdr>
        <w:spacing w:before="0" w:after="240"/>
        <w:rPr>
          <w:noProof/>
        </w:rPr>
      </w:pPr>
      <w:r w:rsidRPr="002D52A1">
        <w:rPr>
          <w:noProof/>
        </w:rPr>
        <w:t>V článku 1 sa uvádzajú hlavné prvky tejto výnimočnej makrofinančnej pomoci.</w:t>
      </w:r>
    </w:p>
    <w:p w14:paraId="5F00C70E" w14:textId="0B201E78" w:rsidR="001F3B66" w:rsidRPr="002D52A1" w:rsidRDefault="60BE7756" w:rsidP="4E7789BD">
      <w:pPr>
        <w:pBdr>
          <w:top w:val="nil"/>
          <w:left w:val="nil"/>
          <w:bottom w:val="nil"/>
          <w:right w:val="nil"/>
          <w:between w:val="nil"/>
          <w:bar w:val="nil"/>
        </w:pBdr>
        <w:spacing w:before="0" w:after="240"/>
        <w:rPr>
          <w:noProof/>
        </w:rPr>
      </w:pPr>
      <w:r w:rsidRPr="002D52A1">
        <w:rPr>
          <w:noProof/>
        </w:rPr>
        <w:t>V článku 2 sa stanovuje súlad</w:t>
      </w:r>
      <w:r w:rsidR="002D52A1">
        <w:rPr>
          <w:noProof/>
        </w:rPr>
        <w:t xml:space="preserve"> s </w:t>
      </w:r>
      <w:r w:rsidRPr="002D52A1">
        <w:rPr>
          <w:noProof/>
        </w:rPr>
        <w:t>politickými podmienkami potrebnými na vyplácanie makrofinančnej pomoci.</w:t>
      </w:r>
    </w:p>
    <w:p w14:paraId="05C92AEB" w14:textId="68D88442" w:rsidR="002D52A1" w:rsidRPr="002D52A1" w:rsidRDefault="60BE7756" w:rsidP="60BE7756">
      <w:pPr>
        <w:pBdr>
          <w:top w:val="nil"/>
          <w:left w:val="nil"/>
          <w:bottom w:val="nil"/>
          <w:right w:val="nil"/>
          <w:between w:val="nil"/>
          <w:bar w:val="nil"/>
        </w:pBdr>
        <w:spacing w:before="0" w:after="240"/>
        <w:rPr>
          <w:noProof/>
        </w:rPr>
      </w:pPr>
      <w:r w:rsidRPr="002D52A1">
        <w:rPr>
          <w:noProof/>
        </w:rPr>
        <w:t>V článku 3 sa stanovujú jasne vymedzené požiadavky na podávanie správ</w:t>
      </w:r>
      <w:r w:rsidR="002D52A1">
        <w:rPr>
          <w:noProof/>
        </w:rPr>
        <w:t xml:space="preserve"> a </w:t>
      </w:r>
      <w:r w:rsidRPr="002D52A1">
        <w:rPr>
          <w:noProof/>
        </w:rPr>
        <w:t>monitorovanie, ako aj politické podmienky,</w:t>
      </w:r>
      <w:r w:rsidR="002D52A1">
        <w:rPr>
          <w:noProof/>
        </w:rPr>
        <w:t xml:space="preserve"> s </w:t>
      </w:r>
      <w:r w:rsidRPr="002D52A1">
        <w:rPr>
          <w:noProof/>
        </w:rPr>
        <w:t>ktorými má byť táto výnimočná makrofinančná pomoc Únie spojená. Tieto požiadavky</w:t>
      </w:r>
      <w:r w:rsidR="002D52A1">
        <w:rPr>
          <w:noProof/>
        </w:rPr>
        <w:t xml:space="preserve"> a </w:t>
      </w:r>
      <w:r w:rsidRPr="002D52A1">
        <w:rPr>
          <w:noProof/>
        </w:rPr>
        <w:t>podmienky sa stanovia</w:t>
      </w:r>
      <w:r w:rsidR="002D52A1">
        <w:rPr>
          <w:noProof/>
        </w:rPr>
        <w:t xml:space="preserve"> v </w:t>
      </w:r>
      <w:r w:rsidRPr="002D52A1">
        <w:rPr>
          <w:noProof/>
        </w:rPr>
        <w:t>memorande</w:t>
      </w:r>
      <w:r w:rsidR="002D52A1">
        <w:rPr>
          <w:noProof/>
        </w:rPr>
        <w:t xml:space="preserve"> o </w:t>
      </w:r>
      <w:r w:rsidRPr="002D52A1">
        <w:rPr>
          <w:noProof/>
        </w:rPr>
        <w:t>porozumení</w:t>
      </w:r>
      <w:r w:rsidR="002D52A1" w:rsidRPr="002D52A1">
        <w:rPr>
          <w:noProof/>
        </w:rPr>
        <w:t>.</w:t>
      </w:r>
    </w:p>
    <w:p w14:paraId="4B22BDFE" w14:textId="7F2BF454" w:rsidR="001F3B66" w:rsidRPr="002D52A1" w:rsidRDefault="5DE57DE7" w:rsidP="736EBCC3">
      <w:pPr>
        <w:pBdr>
          <w:top w:val="nil"/>
          <w:left w:val="nil"/>
          <w:bottom w:val="nil"/>
          <w:right w:val="nil"/>
          <w:between w:val="nil"/>
          <w:bar w:val="nil"/>
        </w:pBdr>
        <w:spacing w:before="0" w:after="240"/>
        <w:rPr>
          <w:noProof/>
        </w:rPr>
      </w:pPr>
      <w:r w:rsidRPr="002D52A1">
        <w:rPr>
          <w:noProof/>
        </w:rPr>
        <w:t>V článku 4 sa stanovujú podmienky potrebné na vyplatenie tejto výnimočnej makrofinančnej pomoci vo viacerých splátkach. Časový rámec</w:t>
      </w:r>
      <w:r w:rsidR="002D52A1">
        <w:rPr>
          <w:noProof/>
        </w:rPr>
        <w:t xml:space="preserve"> a </w:t>
      </w:r>
      <w:r w:rsidRPr="002D52A1">
        <w:rPr>
          <w:noProof/>
        </w:rPr>
        <w:t>podmienky na vyplatenie každej splátky sa stanovia</w:t>
      </w:r>
      <w:r w:rsidR="002D52A1">
        <w:rPr>
          <w:noProof/>
        </w:rPr>
        <w:t xml:space="preserve"> v </w:t>
      </w:r>
      <w:r w:rsidRPr="002D52A1">
        <w:rPr>
          <w:noProof/>
        </w:rPr>
        <w:t>memorande</w:t>
      </w:r>
      <w:r w:rsidR="002D52A1">
        <w:rPr>
          <w:noProof/>
        </w:rPr>
        <w:t xml:space="preserve"> o </w:t>
      </w:r>
      <w:r w:rsidRPr="002D52A1">
        <w:rPr>
          <w:noProof/>
        </w:rPr>
        <w:t>porozumení.</w:t>
      </w:r>
    </w:p>
    <w:p w14:paraId="0EDFA04E" w14:textId="17F6FB40" w:rsidR="001F3B66" w:rsidRPr="002D52A1" w:rsidRDefault="60BE7756" w:rsidP="4E7789BD">
      <w:pPr>
        <w:pBdr>
          <w:top w:val="nil"/>
          <w:left w:val="nil"/>
          <w:bottom w:val="nil"/>
          <w:right w:val="nil"/>
          <w:between w:val="nil"/>
          <w:bar w:val="nil"/>
        </w:pBdr>
        <w:spacing w:before="0" w:after="240" w:line="257" w:lineRule="auto"/>
        <w:rPr>
          <w:noProof/>
        </w:rPr>
      </w:pPr>
      <w:r w:rsidRPr="002D52A1">
        <w:rPr>
          <w:noProof/>
        </w:rPr>
        <w:t>V článku 5 sa uvádzajú pravidlá týkajúce sa operácií prijímania</w:t>
      </w:r>
      <w:r w:rsidR="002D52A1">
        <w:rPr>
          <w:noProof/>
        </w:rPr>
        <w:t xml:space="preserve"> a </w:t>
      </w:r>
      <w:r w:rsidRPr="002D52A1">
        <w:rPr>
          <w:noProof/>
        </w:rPr>
        <w:t>poskytovania pôžičiek.</w:t>
      </w:r>
    </w:p>
    <w:p w14:paraId="34157A72" w14:textId="77777777" w:rsidR="001F3B66" w:rsidRPr="002D52A1" w:rsidRDefault="60BE7756" w:rsidP="4E7789BD">
      <w:pPr>
        <w:pBdr>
          <w:top w:val="nil"/>
          <w:left w:val="nil"/>
          <w:bottom w:val="nil"/>
          <w:right w:val="nil"/>
          <w:between w:val="nil"/>
          <w:bar w:val="nil"/>
        </w:pBdr>
        <w:spacing w:before="0" w:after="240"/>
        <w:rPr>
          <w:noProof/>
        </w:rPr>
      </w:pPr>
      <w:r w:rsidRPr="002D52A1">
        <w:rPr>
          <w:noProof/>
        </w:rPr>
        <w:t>V článku 6 sa vysvetľuje financovanie bonifikácie úrokov.</w:t>
      </w:r>
    </w:p>
    <w:p w14:paraId="7ABBAFBA" w14:textId="2EAE43C9" w:rsidR="002D52A1" w:rsidRPr="002D52A1" w:rsidRDefault="001F3B66" w:rsidP="6FFD2748">
      <w:pPr>
        <w:pBdr>
          <w:top w:val="nil"/>
          <w:left w:val="nil"/>
          <w:bottom w:val="nil"/>
          <w:right w:val="nil"/>
          <w:between w:val="nil"/>
          <w:bar w:val="nil"/>
        </w:pBdr>
        <w:spacing w:before="0" w:after="240"/>
        <w:rPr>
          <w:noProof/>
        </w:rPr>
      </w:pPr>
      <w:r w:rsidRPr="002D52A1">
        <w:rPr>
          <w:noProof/>
        </w:rPr>
        <w:t>V článku 7 sa uvádzajú povinnosti Komisie podávať správy Európskemu parlamentu</w:t>
      </w:r>
      <w:r w:rsidR="002D52A1">
        <w:rPr>
          <w:noProof/>
        </w:rPr>
        <w:t xml:space="preserve"> a </w:t>
      </w:r>
      <w:r w:rsidRPr="002D52A1">
        <w:rPr>
          <w:noProof/>
        </w:rPr>
        <w:t>Rade počas vykonávania tejto výnimočnej makrofinančnej pomoci Ukrajine</w:t>
      </w:r>
      <w:r w:rsidR="002D52A1" w:rsidRPr="002D52A1">
        <w:rPr>
          <w:noProof/>
        </w:rPr>
        <w:t>.</w:t>
      </w:r>
    </w:p>
    <w:p w14:paraId="0A33D617" w14:textId="77777777" w:rsidR="002D52A1" w:rsidRPr="002D52A1" w:rsidRDefault="001F3B66" w:rsidP="00860E34">
      <w:pPr>
        <w:pBdr>
          <w:top w:val="nil"/>
          <w:left w:val="nil"/>
          <w:bottom w:val="nil"/>
          <w:right w:val="nil"/>
          <w:between w:val="nil"/>
          <w:bar w:val="nil"/>
        </w:pBdr>
        <w:spacing w:before="0" w:after="240"/>
        <w:rPr>
          <w:noProof/>
        </w:rPr>
      </w:pPr>
      <w:r w:rsidRPr="002D52A1">
        <w:rPr>
          <w:noProof/>
        </w:rPr>
        <w:t>V článku 8 sa uvádzajú podrobnosti posúdenia vykonávania tejto výnimočnej makrofinančnej pomoci Ukrajine</w:t>
      </w:r>
      <w:r w:rsidR="002D52A1" w:rsidRPr="002D52A1">
        <w:rPr>
          <w:noProof/>
        </w:rPr>
        <w:t>.</w:t>
      </w:r>
    </w:p>
    <w:p w14:paraId="4A722EEF" w14:textId="4C1A205C" w:rsidR="002D52A1" w:rsidRPr="002D52A1" w:rsidRDefault="00083866" w:rsidP="00083866">
      <w:pPr>
        <w:pBdr>
          <w:top w:val="nil"/>
          <w:left w:val="nil"/>
          <w:bottom w:val="nil"/>
          <w:right w:val="nil"/>
          <w:between w:val="nil"/>
          <w:bar w:val="nil"/>
        </w:pBdr>
        <w:spacing w:before="0" w:after="240"/>
        <w:rPr>
          <w:noProof/>
        </w:rPr>
      </w:pPr>
      <w:r w:rsidRPr="002D52A1">
        <w:rPr>
          <w:noProof/>
        </w:rPr>
        <w:t>V článku 9 sa stanovuje vytvorenie vnútroštátnych záruk</w:t>
      </w:r>
      <w:r w:rsidR="002D52A1">
        <w:rPr>
          <w:noProof/>
        </w:rPr>
        <w:t xml:space="preserve"> v </w:t>
      </w:r>
      <w:r w:rsidRPr="002D52A1">
        <w:rPr>
          <w:noProof/>
        </w:rPr>
        <w:t>celkovej výške 3,66 mld. EUR členskými štátmi</w:t>
      </w:r>
      <w:r w:rsidR="002D52A1" w:rsidRPr="002D52A1">
        <w:rPr>
          <w:noProof/>
        </w:rPr>
        <w:t>.</w:t>
      </w:r>
    </w:p>
    <w:p w14:paraId="73647262" w14:textId="3655045D" w:rsidR="00EB5A43" w:rsidRPr="002D52A1" w:rsidRDefault="003C2EA2" w:rsidP="00083866">
      <w:pPr>
        <w:pBdr>
          <w:top w:val="nil"/>
          <w:left w:val="nil"/>
          <w:bottom w:val="nil"/>
          <w:right w:val="nil"/>
          <w:between w:val="nil"/>
          <w:bar w:val="nil"/>
        </w:pBdr>
        <w:spacing w:before="0" w:after="240"/>
        <w:rPr>
          <w:noProof/>
        </w:rPr>
      </w:pPr>
      <w:r w:rsidRPr="002D52A1">
        <w:rPr>
          <w:noProof/>
        </w:rPr>
        <w:t>V článku 10 sa uvádzajú podrobnosti dohôd</w:t>
      </w:r>
      <w:r w:rsidR="002D52A1">
        <w:rPr>
          <w:noProof/>
        </w:rPr>
        <w:t xml:space="preserve"> o </w:t>
      </w:r>
      <w:r w:rsidRPr="002D52A1">
        <w:rPr>
          <w:noProof/>
        </w:rPr>
        <w:t>záruke, ktoré Komisia uzavrie</w:t>
      </w:r>
      <w:r w:rsidR="002D52A1">
        <w:rPr>
          <w:noProof/>
        </w:rPr>
        <w:t xml:space="preserve"> s </w:t>
      </w:r>
      <w:r w:rsidRPr="002D52A1">
        <w:rPr>
          <w:noProof/>
        </w:rPr>
        <w:t>členskými štátmi.</w:t>
      </w:r>
    </w:p>
    <w:p w14:paraId="47950C6B" w14:textId="4FFCCB53" w:rsidR="002D52A1" w:rsidRPr="002D52A1" w:rsidRDefault="60BE7756" w:rsidP="6FFD2748">
      <w:pPr>
        <w:rPr>
          <w:noProof/>
          <w:color w:val="000000" w:themeColor="text1"/>
        </w:rPr>
      </w:pPr>
      <w:r w:rsidRPr="002D52A1">
        <w:rPr>
          <w:noProof/>
          <w:color w:val="000000" w:themeColor="text1"/>
        </w:rPr>
        <w:t>V článku 11 sa opisuje tvorba rezerv</w:t>
      </w:r>
      <w:r w:rsidR="002D52A1">
        <w:rPr>
          <w:noProof/>
          <w:color w:val="000000" w:themeColor="text1"/>
        </w:rPr>
        <w:t xml:space="preserve"> v </w:t>
      </w:r>
      <w:r w:rsidRPr="002D52A1">
        <w:rPr>
          <w:noProof/>
          <w:color w:val="000000" w:themeColor="text1"/>
        </w:rPr>
        <w:t>súvislosti</w:t>
      </w:r>
      <w:r w:rsidR="002D52A1">
        <w:rPr>
          <w:noProof/>
          <w:color w:val="000000" w:themeColor="text1"/>
        </w:rPr>
        <w:t xml:space="preserve"> s </w:t>
      </w:r>
      <w:r w:rsidRPr="002D52A1">
        <w:rPr>
          <w:noProof/>
          <w:color w:val="000000" w:themeColor="text1"/>
        </w:rPr>
        <w:t>krytými makrofinančnými pomocami</w:t>
      </w:r>
      <w:r w:rsidR="002D52A1" w:rsidRPr="002D52A1">
        <w:rPr>
          <w:noProof/>
          <w:color w:val="000000" w:themeColor="text1"/>
        </w:rPr>
        <w:t>.</w:t>
      </w:r>
    </w:p>
    <w:p w14:paraId="5EF9D411" w14:textId="6838D2F4" w:rsidR="60BE7756" w:rsidRPr="002D52A1" w:rsidRDefault="60BE7756" w:rsidP="6FFD2748">
      <w:pPr>
        <w:rPr>
          <w:rFonts w:eastAsia="Times New Roman"/>
          <w:noProof/>
        </w:rPr>
      </w:pPr>
      <w:r w:rsidRPr="002D52A1">
        <w:rPr>
          <w:noProof/>
          <w:color w:val="000000" w:themeColor="text1"/>
        </w:rPr>
        <w:t>V článku 12 sa stanovuje posilnenie tvorby rezerv</w:t>
      </w:r>
      <w:r w:rsidR="002D52A1">
        <w:rPr>
          <w:noProof/>
          <w:color w:val="000000" w:themeColor="text1"/>
        </w:rPr>
        <w:t xml:space="preserve"> v </w:t>
      </w:r>
      <w:r w:rsidRPr="002D52A1">
        <w:rPr>
          <w:noProof/>
          <w:color w:val="000000" w:themeColor="text1"/>
        </w:rPr>
        <w:t>súvislosti</w:t>
      </w:r>
      <w:r w:rsidR="002D52A1">
        <w:rPr>
          <w:noProof/>
          <w:color w:val="000000" w:themeColor="text1"/>
        </w:rPr>
        <w:t xml:space="preserve"> s </w:t>
      </w:r>
      <w:r w:rsidRPr="002D52A1">
        <w:rPr>
          <w:noProof/>
          <w:color w:val="000000" w:themeColor="text1"/>
        </w:rPr>
        <w:t xml:space="preserve">niektorými finančnými záväzkami na Ukrajine zaručenými podľa rozhodnutia </w:t>
      </w:r>
      <w:r w:rsidR="002D52A1">
        <w:rPr>
          <w:noProof/>
          <w:color w:val="000000" w:themeColor="text1"/>
        </w:rPr>
        <w:t>č. </w:t>
      </w:r>
      <w:r w:rsidRPr="002D52A1">
        <w:rPr>
          <w:noProof/>
          <w:color w:val="000000" w:themeColor="text1"/>
        </w:rPr>
        <w:t>466/2014/EÚ.</w:t>
      </w:r>
    </w:p>
    <w:p w14:paraId="314971CF" w14:textId="2598BFF5" w:rsidR="6FFD2748" w:rsidRPr="002D52A1" w:rsidRDefault="6FFD2748" w:rsidP="6FFD2748">
      <w:pPr>
        <w:rPr>
          <w:rFonts w:eastAsia="Times New Roman"/>
          <w:noProof/>
        </w:rPr>
      </w:pPr>
      <w:r w:rsidRPr="002D52A1">
        <w:rPr>
          <w:noProof/>
        </w:rPr>
        <w:t>V článku 13 sa stanovuje posudzovanie primeranosti tvorby rezerv</w:t>
      </w:r>
      <w:r w:rsidR="002D52A1">
        <w:rPr>
          <w:noProof/>
        </w:rPr>
        <w:t xml:space="preserve"> a </w:t>
      </w:r>
      <w:r w:rsidRPr="002D52A1">
        <w:rPr>
          <w:noProof/>
        </w:rPr>
        <w:t>postup preskúmania.</w:t>
      </w:r>
    </w:p>
    <w:p w14:paraId="699FDFAC" w14:textId="1CE84BA0" w:rsidR="6FFD2748" w:rsidRPr="002D52A1" w:rsidRDefault="6FFD2748" w:rsidP="6FFD2748">
      <w:pPr>
        <w:rPr>
          <w:rFonts w:eastAsia="Times New Roman"/>
          <w:noProof/>
        </w:rPr>
      </w:pPr>
      <w:r w:rsidRPr="002D52A1">
        <w:rPr>
          <w:noProof/>
        </w:rPr>
        <w:t>V článku 14 sa uvádzajú podrobnosti účtovania tvorby rezerv držaných</w:t>
      </w:r>
      <w:r w:rsidR="002D52A1">
        <w:rPr>
          <w:noProof/>
        </w:rPr>
        <w:t xml:space="preserve"> v </w:t>
      </w:r>
      <w:r w:rsidRPr="002D52A1">
        <w:rPr>
          <w:noProof/>
        </w:rPr>
        <w:t>spoločnom rezervnom fonde.</w:t>
      </w:r>
    </w:p>
    <w:p w14:paraId="3554C2A5" w14:textId="0FEC615D" w:rsidR="6FFD2748" w:rsidRPr="002D52A1" w:rsidRDefault="6FFD2748" w:rsidP="6FFD2748">
      <w:pPr>
        <w:rPr>
          <w:rFonts w:eastAsia="Times New Roman"/>
          <w:noProof/>
        </w:rPr>
      </w:pPr>
      <w:r w:rsidRPr="002D52A1">
        <w:rPr>
          <w:noProof/>
        </w:rPr>
        <w:t>V článku 15 sa stanovuje, že Komisii pomáha výbor</w:t>
      </w:r>
      <w:r w:rsidR="002D52A1">
        <w:rPr>
          <w:noProof/>
        </w:rPr>
        <w:t xml:space="preserve"> v </w:t>
      </w:r>
      <w:r w:rsidRPr="002D52A1">
        <w:rPr>
          <w:noProof/>
        </w:rPr>
        <w:t>súlade</w:t>
      </w:r>
      <w:r w:rsidR="002D52A1">
        <w:rPr>
          <w:noProof/>
        </w:rPr>
        <w:t xml:space="preserve"> s </w:t>
      </w:r>
      <w:r w:rsidRPr="002D52A1">
        <w:rPr>
          <w:noProof/>
        </w:rPr>
        <w:t>komitologickými postupmi.</w:t>
      </w:r>
    </w:p>
    <w:p w14:paraId="0FBC02C5" w14:textId="77777777" w:rsidR="6FFD2748" w:rsidRPr="002D52A1" w:rsidRDefault="6FFD2748" w:rsidP="6FFD2748">
      <w:pPr>
        <w:rPr>
          <w:rFonts w:eastAsia="Times New Roman"/>
          <w:noProof/>
        </w:rPr>
      </w:pPr>
      <w:r w:rsidRPr="002D52A1">
        <w:rPr>
          <w:noProof/>
        </w:rPr>
        <w:t>V článku 16 sa podrobne opisuje vykonávanie delegovania právomoci.</w:t>
      </w:r>
    </w:p>
    <w:p w14:paraId="3AC2F657" w14:textId="213D85A1" w:rsidR="6FFD2748" w:rsidRPr="002D52A1" w:rsidRDefault="6FFD2748" w:rsidP="6FFD2748">
      <w:pPr>
        <w:rPr>
          <w:rFonts w:eastAsia="Times New Roman"/>
          <w:noProof/>
        </w:rPr>
      </w:pPr>
      <w:r w:rsidRPr="002D52A1">
        <w:rPr>
          <w:noProof/>
        </w:rPr>
        <w:t>V článku 17 sa uvádzajú povinnosti Komisie podávať správy Európskemu parlamentu</w:t>
      </w:r>
      <w:r w:rsidR="002D52A1">
        <w:rPr>
          <w:noProof/>
        </w:rPr>
        <w:t xml:space="preserve"> a </w:t>
      </w:r>
      <w:r w:rsidRPr="002D52A1">
        <w:rPr>
          <w:noProof/>
        </w:rPr>
        <w:t>Rade počas vykonávania tejto výnimočnej makrofinančnej pomoci Ukrajine.</w:t>
      </w:r>
    </w:p>
    <w:p w14:paraId="647138FA" w14:textId="77777777" w:rsidR="6FFD2748" w:rsidRPr="002D52A1" w:rsidRDefault="6FFD2748" w:rsidP="6FFD2748">
      <w:pPr>
        <w:rPr>
          <w:rFonts w:eastAsia="Times New Roman"/>
          <w:noProof/>
        </w:rPr>
      </w:pPr>
      <w:r w:rsidRPr="002D52A1">
        <w:rPr>
          <w:noProof/>
        </w:rPr>
        <w:t>Článok 18 obsahuje zmeny rozhodnutia (EÚ) 2022/1201.</w:t>
      </w:r>
    </w:p>
    <w:p w14:paraId="66A3B2B3" w14:textId="77777777" w:rsidR="6FFD2748" w:rsidRPr="002D52A1" w:rsidRDefault="6FFD2748" w:rsidP="6FFD2748">
      <w:pPr>
        <w:rPr>
          <w:rFonts w:eastAsia="Times New Roman"/>
          <w:noProof/>
        </w:rPr>
      </w:pPr>
      <w:r w:rsidRPr="002D52A1">
        <w:rPr>
          <w:noProof/>
        </w:rPr>
        <w:t>V článku 19 sa objasňuje dátum nadobudnutia účinnosti tohto rozhodnutia.</w:t>
      </w:r>
    </w:p>
    <w:p w14:paraId="310B5BBD" w14:textId="77777777" w:rsidR="003A3D0E" w:rsidRPr="002D52A1" w:rsidRDefault="003A3D0E" w:rsidP="00D045D9">
      <w:pPr>
        <w:rPr>
          <w:noProof/>
        </w:rPr>
        <w:sectPr w:rsidR="003A3D0E" w:rsidRPr="002D52A1" w:rsidSect="00A6081D">
          <w:footerReference w:type="default" r:id="rId13"/>
          <w:footerReference w:type="first" r:id="rId14"/>
          <w:pgSz w:w="11907" w:h="16839"/>
          <w:pgMar w:top="1134" w:right="1417" w:bottom="1134" w:left="1417" w:header="709" w:footer="709" w:gutter="0"/>
          <w:cols w:space="708"/>
          <w:docGrid w:linePitch="360"/>
        </w:sectPr>
      </w:pPr>
    </w:p>
    <w:p w14:paraId="248EBB6E" w14:textId="3620DC3D" w:rsidR="007F6AA8" w:rsidRDefault="007F6AA8" w:rsidP="007F6AA8">
      <w:pPr>
        <w:pStyle w:val="Rfrenceinterinstitutionnelle"/>
        <w:rPr>
          <w:noProof/>
        </w:rPr>
      </w:pPr>
      <w:r w:rsidRPr="007F6AA8">
        <w:t>2022/0281 (COD)</w:t>
      </w:r>
    </w:p>
    <w:p w14:paraId="1BCB2BEB" w14:textId="6BFEAF0F" w:rsidR="00F152DC" w:rsidRPr="002D52A1" w:rsidRDefault="00AD77F1" w:rsidP="00AD77F1">
      <w:pPr>
        <w:pStyle w:val="Statut"/>
        <w:rPr>
          <w:noProof/>
        </w:rPr>
      </w:pPr>
      <w:r w:rsidRPr="00AD77F1">
        <w:rPr>
          <w:noProof/>
        </w:rPr>
        <w:t>Návrh</w:t>
      </w:r>
    </w:p>
    <w:p w14:paraId="5C608A12" w14:textId="23B3FFBF" w:rsidR="00F152DC" w:rsidRPr="002D52A1" w:rsidRDefault="00AD77F1" w:rsidP="00AD77F1">
      <w:pPr>
        <w:pStyle w:val="Typedudocument"/>
        <w:rPr>
          <w:noProof/>
        </w:rPr>
      </w:pPr>
      <w:r w:rsidRPr="00AD77F1">
        <w:rPr>
          <w:noProof/>
        </w:rPr>
        <w:t>ROZHODNUTIE EURÓPSKEHO PARLAMENTU A RADY,</w:t>
      </w:r>
    </w:p>
    <w:p w14:paraId="7E9DBB1D" w14:textId="658534A7" w:rsidR="00F152DC" w:rsidRPr="002D52A1" w:rsidRDefault="00AD77F1" w:rsidP="00AD77F1">
      <w:pPr>
        <w:pStyle w:val="Titreobjet"/>
        <w:rPr>
          <w:noProof/>
        </w:rPr>
      </w:pPr>
      <w:r w:rsidRPr="00AD77F1">
        <w:rPr>
          <w:noProof/>
        </w:rPr>
        <w:t>ktorým sa poskytuje výnimočná makrofinančná pomoc Ukrajine, posilňuje spoločný rezervný fond zárukami členských štátov a osobitnou tvorbou rezerv na niektoré finančné záväzky týkajúce sa Ukrajiny zaručené podľa rozhodnutia č. 466/2014/EÚ a ktorým sa mení rozhodnutie (EÚ) 2022/1201</w:t>
      </w:r>
    </w:p>
    <w:p w14:paraId="04203AEE" w14:textId="77777777" w:rsidR="00F152DC" w:rsidRPr="002D52A1" w:rsidRDefault="00F152DC" w:rsidP="00D045D9">
      <w:pPr>
        <w:pStyle w:val="Institutionquiagit"/>
        <w:rPr>
          <w:noProof/>
        </w:rPr>
      </w:pPr>
      <w:r w:rsidRPr="002D52A1">
        <w:rPr>
          <w:noProof/>
        </w:rPr>
        <w:t>EURÓPSKY PARLAMENT A RADA EURÓPSKEJ ÚNIE,</w:t>
      </w:r>
    </w:p>
    <w:p w14:paraId="63816572" w14:textId="0BDCB48E" w:rsidR="00F152DC" w:rsidRPr="002D52A1" w:rsidRDefault="2E74E627" w:rsidP="00D045D9">
      <w:pPr>
        <w:rPr>
          <w:noProof/>
        </w:rPr>
      </w:pPr>
      <w:r w:rsidRPr="002D52A1">
        <w:rPr>
          <w:noProof/>
        </w:rPr>
        <w:t>so zreteľom na Zmluvu</w:t>
      </w:r>
      <w:r w:rsidR="002D52A1">
        <w:rPr>
          <w:noProof/>
        </w:rPr>
        <w:t xml:space="preserve"> o </w:t>
      </w:r>
      <w:r w:rsidRPr="002D52A1">
        <w:rPr>
          <w:noProof/>
        </w:rPr>
        <w:t>fungovaní Európskej únie,</w:t>
      </w:r>
      <w:r w:rsidR="002D52A1">
        <w:rPr>
          <w:noProof/>
        </w:rPr>
        <w:t xml:space="preserve"> a </w:t>
      </w:r>
      <w:r w:rsidRPr="002D52A1">
        <w:rPr>
          <w:noProof/>
        </w:rPr>
        <w:t>najmä na jej článok 212,</w:t>
      </w:r>
    </w:p>
    <w:p w14:paraId="761DADF6" w14:textId="77777777" w:rsidR="00F152DC" w:rsidRPr="002D52A1" w:rsidRDefault="00F152DC" w:rsidP="00D045D9">
      <w:pPr>
        <w:rPr>
          <w:noProof/>
        </w:rPr>
      </w:pPr>
      <w:r w:rsidRPr="002D52A1">
        <w:rPr>
          <w:noProof/>
        </w:rPr>
        <w:t>so zreteľom na návrh Európskej komisie,</w:t>
      </w:r>
    </w:p>
    <w:p w14:paraId="6BA7B79E" w14:textId="77777777" w:rsidR="00F152DC" w:rsidRPr="002D52A1" w:rsidRDefault="00F152DC" w:rsidP="00D045D9">
      <w:pPr>
        <w:rPr>
          <w:noProof/>
        </w:rPr>
      </w:pPr>
      <w:r w:rsidRPr="002D52A1">
        <w:rPr>
          <w:noProof/>
        </w:rPr>
        <w:t>po postúpení návrhu legislatívneho aktu národným parlamentom,</w:t>
      </w:r>
    </w:p>
    <w:p w14:paraId="1C3C0EFA" w14:textId="49DDCB03" w:rsidR="00F152DC" w:rsidRPr="002D52A1" w:rsidRDefault="4B2F8644" w:rsidP="00D045D9">
      <w:pPr>
        <w:rPr>
          <w:noProof/>
        </w:rPr>
      </w:pPr>
      <w:r w:rsidRPr="002D52A1">
        <w:rPr>
          <w:noProof/>
        </w:rPr>
        <w:t>konajúc</w:t>
      </w:r>
      <w:r w:rsidR="002D52A1">
        <w:rPr>
          <w:noProof/>
        </w:rPr>
        <w:t xml:space="preserve"> v </w:t>
      </w:r>
      <w:r w:rsidRPr="002D52A1">
        <w:rPr>
          <w:noProof/>
        </w:rPr>
        <w:t>súlade</w:t>
      </w:r>
      <w:r w:rsidR="002D52A1">
        <w:rPr>
          <w:noProof/>
        </w:rPr>
        <w:t xml:space="preserve"> s </w:t>
      </w:r>
      <w:r w:rsidRPr="002D52A1">
        <w:rPr>
          <w:noProof/>
        </w:rPr>
        <w:t>riadnym legislatívnym postupom</w:t>
      </w:r>
      <w:r w:rsidRPr="002D52A1">
        <w:rPr>
          <w:rStyle w:val="FootnoteReference"/>
          <w:noProof/>
        </w:rPr>
        <w:footnoteReference w:id="16"/>
      </w:r>
      <w:r w:rsidRPr="002D52A1">
        <w:rPr>
          <w:noProof/>
        </w:rPr>
        <w:t>,</w:t>
      </w:r>
    </w:p>
    <w:p w14:paraId="471759EC" w14:textId="77777777" w:rsidR="00F152DC" w:rsidRPr="002D52A1" w:rsidRDefault="00F152DC" w:rsidP="00D045D9">
      <w:pPr>
        <w:rPr>
          <w:noProof/>
        </w:rPr>
      </w:pPr>
      <w:r w:rsidRPr="002D52A1">
        <w:rPr>
          <w:noProof/>
        </w:rPr>
        <w:t>keďže:</w:t>
      </w:r>
    </w:p>
    <w:p w14:paraId="65E1890D" w14:textId="1B3173A0" w:rsidR="00681971" w:rsidRPr="002D52A1" w:rsidRDefault="00D05784" w:rsidP="00D05784">
      <w:pPr>
        <w:pStyle w:val="ManualConsidrant"/>
        <w:rPr>
          <w:noProof/>
        </w:rPr>
      </w:pPr>
      <w:r w:rsidRPr="00D05784">
        <w:t>(1)</w:t>
      </w:r>
      <w:r w:rsidRPr="00D05784">
        <w:tab/>
      </w:r>
      <w:r w:rsidR="323DBF48" w:rsidRPr="002D52A1">
        <w:rPr>
          <w:noProof/>
        </w:rPr>
        <w:t>Dohoda</w:t>
      </w:r>
      <w:r w:rsidR="002D52A1">
        <w:rPr>
          <w:noProof/>
        </w:rPr>
        <w:t xml:space="preserve"> o </w:t>
      </w:r>
      <w:r w:rsidR="323DBF48" w:rsidRPr="002D52A1">
        <w:rPr>
          <w:noProof/>
        </w:rPr>
        <w:t>pridružení medzi Úniou</w:t>
      </w:r>
      <w:r w:rsidR="002D52A1">
        <w:rPr>
          <w:noProof/>
        </w:rPr>
        <w:t xml:space="preserve"> a </w:t>
      </w:r>
      <w:r w:rsidR="323DBF48" w:rsidRPr="002D52A1">
        <w:rPr>
          <w:noProof/>
        </w:rPr>
        <w:t>Ukrajinou</w:t>
      </w:r>
      <w:r w:rsidR="323DBF48" w:rsidRPr="002D52A1">
        <w:rPr>
          <w:rStyle w:val="FootnoteReference"/>
          <w:b/>
          <w:bCs/>
          <w:noProof/>
        </w:rPr>
        <w:footnoteReference w:id="17"/>
      </w:r>
      <w:r w:rsidR="323DBF48" w:rsidRPr="002D52A1">
        <w:rPr>
          <w:noProof/>
        </w:rPr>
        <w:t xml:space="preserve"> (ďalej len „dohoda</w:t>
      </w:r>
      <w:r w:rsidR="002D52A1">
        <w:rPr>
          <w:noProof/>
        </w:rPr>
        <w:t xml:space="preserve"> o </w:t>
      </w:r>
      <w:r w:rsidR="323DBF48" w:rsidRPr="002D52A1">
        <w:rPr>
          <w:noProof/>
        </w:rPr>
        <w:t>pridružení“) vrátane prehĺbenej</w:t>
      </w:r>
      <w:r w:rsidR="002D52A1">
        <w:rPr>
          <w:noProof/>
        </w:rPr>
        <w:t xml:space="preserve"> a </w:t>
      </w:r>
      <w:r w:rsidR="323DBF48" w:rsidRPr="002D52A1">
        <w:rPr>
          <w:noProof/>
        </w:rPr>
        <w:t>komplexnej zóny voľného obchodu (DCFTA) nadobudla platnosť 1</w:t>
      </w:r>
      <w:r w:rsidR="002D52A1">
        <w:rPr>
          <w:noProof/>
        </w:rPr>
        <w:t>. septembra</w:t>
      </w:r>
      <w:r w:rsidR="323DBF48" w:rsidRPr="002D52A1">
        <w:rPr>
          <w:noProof/>
        </w:rPr>
        <w:t xml:space="preserve"> 2017.</w:t>
      </w:r>
    </w:p>
    <w:p w14:paraId="18539B28" w14:textId="0B06B3EE" w:rsidR="00681971" w:rsidRPr="002D52A1" w:rsidRDefault="00D05784" w:rsidP="00D05784">
      <w:pPr>
        <w:pStyle w:val="ManualConsidrant"/>
        <w:rPr>
          <w:rFonts w:eastAsia="Times New Roman"/>
          <w:noProof/>
        </w:rPr>
      </w:pPr>
      <w:r w:rsidRPr="00D05784">
        <w:t>(2)</w:t>
      </w:r>
      <w:r w:rsidRPr="00D05784">
        <w:tab/>
      </w:r>
      <w:r w:rsidR="5164D000" w:rsidRPr="002D52A1">
        <w:rPr>
          <w:noProof/>
        </w:rPr>
        <w:t>Na jar 2014 Ukrajina začala</w:t>
      </w:r>
      <w:r w:rsidR="002D52A1" w:rsidRPr="002D52A1">
        <w:rPr>
          <w:noProof/>
        </w:rPr>
        <w:t xml:space="preserve"> s </w:t>
      </w:r>
      <w:r w:rsidR="5164D000" w:rsidRPr="002D52A1">
        <w:rPr>
          <w:noProof/>
        </w:rPr>
        <w:t>realizáciou ambiciózneho programu reforiem</w:t>
      </w:r>
      <w:r w:rsidR="002D52A1" w:rsidRPr="002D52A1">
        <w:rPr>
          <w:noProof/>
        </w:rPr>
        <w:t xml:space="preserve"> s </w:t>
      </w:r>
      <w:r w:rsidR="5164D000" w:rsidRPr="002D52A1">
        <w:rPr>
          <w:noProof/>
        </w:rPr>
        <w:t>cieľom stabilizácie svojho hospodárstva</w:t>
      </w:r>
      <w:r w:rsidR="002D52A1" w:rsidRPr="002D52A1">
        <w:rPr>
          <w:noProof/>
        </w:rPr>
        <w:t xml:space="preserve"> a </w:t>
      </w:r>
      <w:r w:rsidR="5164D000" w:rsidRPr="002D52A1">
        <w:rPr>
          <w:noProof/>
        </w:rPr>
        <w:t>zlepšenia života občanov. Medzi najvyššie priority programu patrí boj proti korupcii, ale aj reforma ústavy, volebného systému</w:t>
      </w:r>
      <w:r w:rsidR="002D52A1" w:rsidRPr="002D52A1">
        <w:rPr>
          <w:noProof/>
        </w:rPr>
        <w:t xml:space="preserve"> a </w:t>
      </w:r>
      <w:r w:rsidR="5164D000" w:rsidRPr="002D52A1">
        <w:rPr>
          <w:noProof/>
        </w:rPr>
        <w:t>súdnictva. Vykonávanie uvedených reforiem bolo podporené po sebe nasledujúcimi programami makrofinančnej pomoci,</w:t>
      </w:r>
      <w:r w:rsidR="002D52A1" w:rsidRPr="002D52A1">
        <w:rPr>
          <w:noProof/>
        </w:rPr>
        <w:t xml:space="preserve"> v </w:t>
      </w:r>
      <w:r w:rsidR="5164D000" w:rsidRPr="002D52A1">
        <w:rPr>
          <w:noProof/>
        </w:rPr>
        <w:t>rámci ktorých Ukrajina dostala pomoc vo forme úverov</w:t>
      </w:r>
      <w:r w:rsidR="002D52A1" w:rsidRPr="002D52A1">
        <w:rPr>
          <w:noProof/>
        </w:rPr>
        <w:t xml:space="preserve"> v </w:t>
      </w:r>
      <w:r w:rsidR="5164D000" w:rsidRPr="002D52A1">
        <w:rPr>
          <w:noProof/>
        </w:rPr>
        <w:t>celkovej výške 6,6 mld. EUR. Núdzová makrofinančná pomoc, ktorá bola poskytnutá</w:t>
      </w:r>
      <w:r w:rsidR="002D52A1" w:rsidRPr="002D52A1">
        <w:rPr>
          <w:noProof/>
        </w:rPr>
        <w:t xml:space="preserve"> v </w:t>
      </w:r>
      <w:r w:rsidR="5164D000" w:rsidRPr="002D52A1">
        <w:rPr>
          <w:noProof/>
        </w:rPr>
        <w:t>súvislosti so stúpajúcim napätím na hraniciach</w:t>
      </w:r>
      <w:r w:rsidR="002D52A1" w:rsidRPr="002D52A1">
        <w:rPr>
          <w:noProof/>
        </w:rPr>
        <w:t xml:space="preserve"> s </w:t>
      </w:r>
      <w:r w:rsidR="5164D000" w:rsidRPr="002D52A1">
        <w:rPr>
          <w:noProof/>
        </w:rPr>
        <w:t>Ruskom podľa rozhodnutia Európskeho parlamentu</w:t>
      </w:r>
      <w:r w:rsidR="002D52A1" w:rsidRPr="002D52A1">
        <w:rPr>
          <w:noProof/>
        </w:rPr>
        <w:t xml:space="preserve"> a </w:t>
      </w:r>
      <w:r w:rsidR="5164D000" w:rsidRPr="002D52A1">
        <w:rPr>
          <w:noProof/>
        </w:rPr>
        <w:t>Rady (EÚ) 2022/313</w:t>
      </w:r>
      <w:r w:rsidR="5164D000" w:rsidRPr="002D52A1">
        <w:rPr>
          <w:rStyle w:val="FootnoteReference"/>
          <w:b/>
          <w:bCs/>
          <w:noProof/>
          <w:spacing w:val="-4"/>
        </w:rPr>
        <w:footnoteReference w:id="18"/>
      </w:r>
      <w:r w:rsidR="5164D000" w:rsidRPr="002D52A1">
        <w:rPr>
          <w:noProof/>
        </w:rPr>
        <w:t>, poskytla Ukrajine úvery vo výške 1,2 mld. EUR vyplatené</w:t>
      </w:r>
      <w:r w:rsidR="002D52A1" w:rsidRPr="002D52A1">
        <w:rPr>
          <w:noProof/>
        </w:rPr>
        <w:t xml:space="preserve"> v </w:t>
      </w:r>
      <w:r w:rsidR="5164D000" w:rsidRPr="002D52A1">
        <w:rPr>
          <w:noProof/>
        </w:rPr>
        <w:t>dvoch splátkach vo výške 600 mil. EUR</w:t>
      </w:r>
      <w:r w:rsidR="002D52A1" w:rsidRPr="002D52A1">
        <w:rPr>
          <w:noProof/>
        </w:rPr>
        <w:t xml:space="preserve"> v </w:t>
      </w:r>
      <w:r w:rsidR="5164D000" w:rsidRPr="002D52A1">
        <w:rPr>
          <w:noProof/>
        </w:rPr>
        <w:t>marci</w:t>
      </w:r>
      <w:r w:rsidR="002D52A1" w:rsidRPr="002D52A1">
        <w:rPr>
          <w:noProof/>
        </w:rPr>
        <w:t xml:space="preserve"> a </w:t>
      </w:r>
      <w:r w:rsidR="5164D000" w:rsidRPr="002D52A1">
        <w:rPr>
          <w:noProof/>
        </w:rPr>
        <w:t>máji 2022. Výnimočnou makrofinančnou pomocou vo výške 1 mld. EUR podľa rozhodnutia Európskeho parlamentu</w:t>
      </w:r>
      <w:r w:rsidR="002D52A1" w:rsidRPr="002D52A1">
        <w:rPr>
          <w:noProof/>
        </w:rPr>
        <w:t xml:space="preserve"> a </w:t>
      </w:r>
      <w:r w:rsidR="5164D000" w:rsidRPr="002D52A1">
        <w:rPr>
          <w:noProof/>
        </w:rPr>
        <w:t>Rady (EÚ) 2022/1201</w:t>
      </w:r>
      <w:r w:rsidR="5164D000" w:rsidRPr="002D52A1">
        <w:rPr>
          <w:rStyle w:val="FootnoteReference"/>
          <w:noProof/>
          <w:spacing w:val="-4"/>
        </w:rPr>
        <w:footnoteReference w:id="19"/>
      </w:r>
      <w:r w:rsidR="5164D000" w:rsidRPr="002D52A1">
        <w:rPr>
          <w:noProof/>
        </w:rPr>
        <w:t>, ktorá bola</w:t>
      </w:r>
      <w:r w:rsidR="002D52A1" w:rsidRPr="002D52A1">
        <w:rPr>
          <w:noProof/>
        </w:rPr>
        <w:t xml:space="preserve"> v </w:t>
      </w:r>
      <w:r w:rsidR="5164D000" w:rsidRPr="002D52A1">
        <w:rPr>
          <w:noProof/>
        </w:rPr>
        <w:t>plnej výške vyplatená 1</w:t>
      </w:r>
      <w:r w:rsidR="002D52A1" w:rsidRPr="002D52A1">
        <w:rPr>
          <w:noProof/>
        </w:rPr>
        <w:t>. a </w:t>
      </w:r>
      <w:r w:rsidR="5164D000" w:rsidRPr="002D52A1">
        <w:rPr>
          <w:noProof/>
        </w:rPr>
        <w:t>2</w:t>
      </w:r>
      <w:r w:rsidR="002D52A1" w:rsidRPr="002D52A1">
        <w:rPr>
          <w:noProof/>
        </w:rPr>
        <w:t>. augusta</w:t>
      </w:r>
      <w:r w:rsidR="5164D000" w:rsidRPr="002D52A1">
        <w:rPr>
          <w:noProof/>
        </w:rPr>
        <w:t xml:space="preserve"> 2022, sa poskytla rýchla</w:t>
      </w:r>
      <w:r w:rsidR="002D52A1" w:rsidRPr="002D52A1">
        <w:rPr>
          <w:noProof/>
        </w:rPr>
        <w:t xml:space="preserve"> a </w:t>
      </w:r>
      <w:r w:rsidR="5164D000" w:rsidRPr="002D52A1">
        <w:rPr>
          <w:noProof/>
        </w:rPr>
        <w:t>naliehavá podpora ukrajinskému rozpočtu. Bola to prvá časť balíka výnimočnej makrofinančnej pomoci Ukrajine, ktorý Komisia oznámila vo svojom oznámení</w:t>
      </w:r>
      <w:r w:rsidR="002D52A1" w:rsidRPr="002D52A1">
        <w:rPr>
          <w:noProof/>
        </w:rPr>
        <w:t xml:space="preserve"> z </w:t>
      </w:r>
      <w:r w:rsidR="5164D000" w:rsidRPr="002D52A1">
        <w:rPr>
          <w:noProof/>
        </w:rPr>
        <w:t>18</w:t>
      </w:r>
      <w:r w:rsidR="002D52A1" w:rsidRPr="002D52A1">
        <w:rPr>
          <w:noProof/>
        </w:rPr>
        <w:t>. mája</w:t>
      </w:r>
      <w:r w:rsidR="5164D000" w:rsidRPr="002D52A1">
        <w:rPr>
          <w:noProof/>
        </w:rPr>
        <w:t xml:space="preserve"> 2022</w:t>
      </w:r>
      <w:r w:rsidR="002D52A1" w:rsidRPr="002D52A1">
        <w:rPr>
          <w:noProof/>
        </w:rPr>
        <w:t xml:space="preserve"> s </w:t>
      </w:r>
      <w:r w:rsidR="5164D000" w:rsidRPr="002D52A1">
        <w:rPr>
          <w:noProof/>
        </w:rPr>
        <w:t>názvom Podpora</w:t>
      </w:r>
      <w:r w:rsidR="002D52A1" w:rsidRPr="002D52A1">
        <w:rPr>
          <w:noProof/>
        </w:rPr>
        <w:t xml:space="preserve"> a </w:t>
      </w:r>
      <w:r w:rsidR="5164D000" w:rsidRPr="002D52A1">
        <w:rPr>
          <w:noProof/>
        </w:rPr>
        <w:t>obnova Ukrajiny</w:t>
      </w:r>
      <w:r w:rsidR="002D52A1" w:rsidRPr="002D52A1">
        <w:rPr>
          <w:noProof/>
        </w:rPr>
        <w:t xml:space="preserve"> a </w:t>
      </w:r>
      <w:r w:rsidR="5164D000" w:rsidRPr="002D52A1">
        <w:rPr>
          <w:noProof/>
        </w:rPr>
        <w:t>ktorý Európska rada schválila 23</w:t>
      </w:r>
      <w:r w:rsidR="002D52A1" w:rsidRPr="002D52A1">
        <w:rPr>
          <w:noProof/>
        </w:rPr>
        <w:t xml:space="preserve"> a </w:t>
      </w:r>
      <w:r w:rsidR="5164D000" w:rsidRPr="002D52A1">
        <w:rPr>
          <w:noProof/>
        </w:rPr>
        <w:t>24</w:t>
      </w:r>
      <w:r w:rsidR="002D52A1" w:rsidRPr="002D52A1">
        <w:rPr>
          <w:noProof/>
        </w:rPr>
        <w:t>. júna</w:t>
      </w:r>
      <w:r w:rsidR="5164D000" w:rsidRPr="002D52A1">
        <w:rPr>
          <w:noProof/>
        </w:rPr>
        <w:t xml:space="preserve"> 2022. Toto rozhodnutie tvorí druhú etapu plnenia záväzku poskytnúť Ukrajine makrofinančnú pomoc vo výške 9 mld. EUR. Vytvára základ na poskytnutie ďalších 5 mld. EUR vo forme úverov makrofinančnej pomoci za veľmi výhodných podmienok. Po ňom by mal urýchlene nasledovať tretí balík finančnej pomoci vo výške ďalších 3 mld. EUR, keď sa určia vhodné spôsoby.</w:t>
      </w:r>
    </w:p>
    <w:p w14:paraId="5A74026E" w14:textId="6C86D0D7" w:rsidR="00681971" w:rsidRPr="002D52A1" w:rsidRDefault="00D05784" w:rsidP="00D05784">
      <w:pPr>
        <w:pStyle w:val="ManualConsidrant"/>
        <w:rPr>
          <w:noProof/>
        </w:rPr>
      </w:pPr>
      <w:r w:rsidRPr="00D05784">
        <w:t>(3)</w:t>
      </w:r>
      <w:r w:rsidRPr="00D05784">
        <w:tab/>
      </w:r>
      <w:r w:rsidR="645EEDD8" w:rsidRPr="002D52A1">
        <w:rPr>
          <w:noProof/>
        </w:rPr>
        <w:t>Nevyprovokovaná</w:t>
      </w:r>
      <w:r w:rsidR="002D52A1" w:rsidRPr="002D52A1">
        <w:rPr>
          <w:noProof/>
        </w:rPr>
        <w:t xml:space="preserve"> a </w:t>
      </w:r>
      <w:r w:rsidR="645EEDD8" w:rsidRPr="002D52A1">
        <w:rPr>
          <w:noProof/>
        </w:rPr>
        <w:t>neodôvodnená vojenská agresia Ruska voči Ukrajine, ktorá sa začala 24</w:t>
      </w:r>
      <w:r w:rsidR="002D52A1" w:rsidRPr="002D52A1">
        <w:rPr>
          <w:noProof/>
        </w:rPr>
        <w:t>. februára</w:t>
      </w:r>
      <w:r w:rsidR="645EEDD8" w:rsidRPr="002D52A1">
        <w:rPr>
          <w:noProof/>
        </w:rPr>
        <w:t xml:space="preserve"> 2022,</w:t>
      </w:r>
      <w:r w:rsidR="002D52A1" w:rsidRPr="002D52A1">
        <w:rPr>
          <w:noProof/>
        </w:rPr>
        <w:t xml:space="preserve"> a </w:t>
      </w:r>
      <w:r w:rsidR="645EEDD8" w:rsidRPr="002D52A1">
        <w:rPr>
          <w:noProof/>
        </w:rPr>
        <w:t>odvtedy pretrvávajúca vojna spôsobili stratu prístupu na trh</w:t>
      </w:r>
      <w:r w:rsidR="002D52A1" w:rsidRPr="002D52A1">
        <w:rPr>
          <w:noProof/>
        </w:rPr>
        <w:t xml:space="preserve"> a </w:t>
      </w:r>
      <w:r w:rsidR="645EEDD8" w:rsidRPr="002D52A1">
        <w:rPr>
          <w:noProof/>
        </w:rPr>
        <w:t>drastický pokles verejných príjmov, zatiaľ čo sa výrazne zvýšili verejné výdavky na riešenie humanitárnej situácie</w:t>
      </w:r>
      <w:r w:rsidR="002D52A1" w:rsidRPr="002D52A1">
        <w:rPr>
          <w:noProof/>
        </w:rPr>
        <w:t xml:space="preserve"> a </w:t>
      </w:r>
      <w:r w:rsidR="645EEDD8" w:rsidRPr="002D52A1">
        <w:rPr>
          <w:noProof/>
        </w:rPr>
        <w:t>na zachovanie kontinuity štátnych služieb.</w:t>
      </w:r>
      <w:r w:rsidR="002D52A1" w:rsidRPr="002D52A1">
        <w:rPr>
          <w:noProof/>
        </w:rPr>
        <w:t xml:space="preserve"> V </w:t>
      </w:r>
      <w:r w:rsidR="645EEDD8" w:rsidRPr="002D52A1">
        <w:rPr>
          <w:noProof/>
        </w:rPr>
        <w:t>tejto veľmi neistej</w:t>
      </w:r>
      <w:r w:rsidR="002D52A1" w:rsidRPr="002D52A1">
        <w:rPr>
          <w:noProof/>
        </w:rPr>
        <w:t xml:space="preserve"> a </w:t>
      </w:r>
      <w:r w:rsidR="645EEDD8" w:rsidRPr="002D52A1">
        <w:rPr>
          <w:noProof/>
        </w:rPr>
        <w:t>nestabilnej situácii najspoľahlivejšie odhady potrieb Ukrajiny</w:t>
      </w:r>
      <w:r w:rsidR="002D52A1" w:rsidRPr="002D52A1">
        <w:rPr>
          <w:noProof/>
        </w:rPr>
        <w:t xml:space="preserve"> v </w:t>
      </w:r>
      <w:r w:rsidR="645EEDD8" w:rsidRPr="002D52A1">
        <w:rPr>
          <w:noProof/>
        </w:rPr>
        <w:t>oblasti financovania podľa Medzinárodného menového fondu poukazujú na mimoriadnu medzeru vo financovaní vo výške približne 39 mld. USD</w:t>
      </w:r>
      <w:r w:rsidR="002D52A1" w:rsidRPr="002D52A1">
        <w:rPr>
          <w:noProof/>
        </w:rPr>
        <w:t xml:space="preserve"> v </w:t>
      </w:r>
      <w:r w:rsidR="645EEDD8" w:rsidRPr="002D52A1">
        <w:rPr>
          <w:noProof/>
        </w:rPr>
        <w:t>roku 2022,</w:t>
      </w:r>
      <w:r w:rsidR="002D52A1" w:rsidRPr="002D52A1">
        <w:rPr>
          <w:noProof/>
        </w:rPr>
        <w:t xml:space="preserve"> z </w:t>
      </w:r>
      <w:r w:rsidR="645EEDD8" w:rsidRPr="002D52A1">
        <w:rPr>
          <w:noProof/>
        </w:rPr>
        <w:t>ktorej asi polovicu by bolo možné uspokojiť, ak by sa doteraz prisľúbená medzinárodná podpora vyplatila</w:t>
      </w:r>
      <w:r w:rsidR="002D52A1" w:rsidRPr="002D52A1">
        <w:rPr>
          <w:noProof/>
        </w:rPr>
        <w:t xml:space="preserve"> v </w:t>
      </w:r>
      <w:r w:rsidR="645EEDD8" w:rsidRPr="002D52A1">
        <w:rPr>
          <w:noProof/>
        </w:rPr>
        <w:t>plnej výške. Rýchle poskytnutie tejto druhej etapy</w:t>
      </w:r>
      <w:r w:rsidR="002D52A1" w:rsidRPr="002D52A1">
        <w:rPr>
          <w:noProof/>
        </w:rPr>
        <w:t xml:space="preserve"> v </w:t>
      </w:r>
      <w:r w:rsidR="645EEDD8" w:rsidRPr="002D52A1">
        <w:rPr>
          <w:noProof/>
        </w:rPr>
        <w:t>rámci balíka výnimočnej makrofinančnej pomoci Ukrajine zo strany Únie sa</w:t>
      </w:r>
      <w:r w:rsidR="002D52A1" w:rsidRPr="002D52A1">
        <w:rPr>
          <w:noProof/>
        </w:rPr>
        <w:t xml:space="preserve"> v </w:t>
      </w:r>
      <w:r w:rsidR="645EEDD8" w:rsidRPr="002D52A1">
        <w:rPr>
          <w:noProof/>
        </w:rPr>
        <w:t>súčasnej mimoriadnej situácii považuje za primeranú krátkodobú reakciu na veľké riziká pre makrofinančnú stabilitu krajiny. Týchto ďalších 5 mld. EUR výnimočnej makrofinančnej pomoci by podporilo makrofinančnú stabilizáciu Ukrajiny, posilnilo okamžitú odolnosť krajiny</w:t>
      </w:r>
      <w:r w:rsidR="002D52A1" w:rsidRPr="002D52A1">
        <w:rPr>
          <w:noProof/>
        </w:rPr>
        <w:t xml:space="preserve"> a </w:t>
      </w:r>
      <w:r w:rsidR="645EEDD8" w:rsidRPr="002D52A1">
        <w:rPr>
          <w:noProof/>
        </w:rPr>
        <w:t>udržalo jej kapacitu na obnovu, čím by sa prispelo</w:t>
      </w:r>
      <w:r w:rsidR="002D52A1" w:rsidRPr="002D52A1">
        <w:rPr>
          <w:noProof/>
        </w:rPr>
        <w:t xml:space="preserve"> k </w:t>
      </w:r>
      <w:r w:rsidR="645EEDD8" w:rsidRPr="002D52A1">
        <w:rPr>
          <w:noProof/>
        </w:rPr>
        <w:t>udržateľnosti verejného dlhu Ukrajiny</w:t>
      </w:r>
      <w:r w:rsidR="002D52A1" w:rsidRPr="002D52A1">
        <w:rPr>
          <w:noProof/>
        </w:rPr>
        <w:t xml:space="preserve"> a </w:t>
      </w:r>
      <w:r w:rsidR="645EEDD8" w:rsidRPr="002D52A1">
        <w:rPr>
          <w:noProof/>
        </w:rPr>
        <w:t>jej schopnosti</w:t>
      </w:r>
      <w:r w:rsidR="002D52A1" w:rsidRPr="002D52A1">
        <w:rPr>
          <w:noProof/>
        </w:rPr>
        <w:t xml:space="preserve"> v </w:t>
      </w:r>
      <w:r w:rsidR="645EEDD8" w:rsidRPr="002D52A1">
        <w:rPr>
          <w:noProof/>
        </w:rPr>
        <w:t>konečnom dôsledku splatiť svoje finančné záväzky.</w:t>
      </w:r>
    </w:p>
    <w:p w14:paraId="2F8E18F1" w14:textId="4B21D8CB" w:rsidR="00681971" w:rsidRPr="002D52A1" w:rsidRDefault="00D05784" w:rsidP="00D05784">
      <w:pPr>
        <w:pStyle w:val="ManualConsidrant"/>
        <w:rPr>
          <w:noProof/>
        </w:rPr>
      </w:pPr>
      <w:r w:rsidRPr="00D05784">
        <w:t>(4)</w:t>
      </w:r>
      <w:r w:rsidRPr="00D05784">
        <w:tab/>
      </w:r>
      <w:r w:rsidR="349360EF" w:rsidRPr="002D52A1">
        <w:rPr>
          <w:noProof/>
        </w:rPr>
        <w:t>Toto nové kolo výnimočnej makrofinančnej pomoci významne prispeje</w:t>
      </w:r>
      <w:r w:rsidR="002D52A1" w:rsidRPr="002D52A1">
        <w:rPr>
          <w:noProof/>
        </w:rPr>
        <w:t xml:space="preserve"> k </w:t>
      </w:r>
      <w:r w:rsidR="349360EF" w:rsidRPr="002D52A1">
        <w:rPr>
          <w:noProof/>
        </w:rPr>
        <w:t>pokrytiu finančných potrieb Ukrajiny podľa odhadu Medzinárodného menového fondu (MMF)</w:t>
      </w:r>
      <w:r w:rsidR="002D52A1" w:rsidRPr="002D52A1">
        <w:rPr>
          <w:noProof/>
        </w:rPr>
        <w:t xml:space="preserve"> a </w:t>
      </w:r>
      <w:r w:rsidR="349360EF" w:rsidRPr="002D52A1">
        <w:rPr>
          <w:noProof/>
        </w:rPr>
        <w:t>iných medzinárodných finančných inštitúcií, pričom sa zohľadní schopnosť Ukrajiny financovať sa</w:t>
      </w:r>
      <w:r w:rsidR="002D52A1" w:rsidRPr="002D52A1">
        <w:rPr>
          <w:noProof/>
        </w:rPr>
        <w:t xml:space="preserve"> z </w:t>
      </w:r>
      <w:r w:rsidR="349360EF" w:rsidRPr="002D52A1">
        <w:rPr>
          <w:noProof/>
        </w:rPr>
        <w:t>vlastných zdrojov. Pri určení výšky pomoci sa takisto zohľadňujú očakávané finančné príspevky od bilaterálnych</w:t>
      </w:r>
      <w:r w:rsidR="002D52A1" w:rsidRPr="002D52A1">
        <w:rPr>
          <w:noProof/>
        </w:rPr>
        <w:t xml:space="preserve"> a </w:t>
      </w:r>
      <w:r w:rsidR="349360EF" w:rsidRPr="002D52A1">
        <w:rPr>
          <w:noProof/>
        </w:rPr>
        <w:t>multilaterálnych darcov, potreba zaistiť spravodlivé rozdelenie zaťaženia medzi Úniu</w:t>
      </w:r>
      <w:r w:rsidR="002D52A1" w:rsidRPr="002D52A1">
        <w:rPr>
          <w:noProof/>
        </w:rPr>
        <w:t xml:space="preserve"> a </w:t>
      </w:r>
      <w:r w:rsidR="349360EF" w:rsidRPr="002D52A1">
        <w:rPr>
          <w:noProof/>
        </w:rPr>
        <w:t>ostatných darcov, ako aj doterajšie využívanie ďalších nástrojov Únie na financovanie vonkajšej činnosti</w:t>
      </w:r>
      <w:r w:rsidR="002D52A1" w:rsidRPr="002D52A1">
        <w:rPr>
          <w:noProof/>
        </w:rPr>
        <w:t xml:space="preserve"> v </w:t>
      </w:r>
      <w:r w:rsidR="349360EF" w:rsidRPr="002D52A1">
        <w:rPr>
          <w:noProof/>
        </w:rPr>
        <w:t>prípade Ukrajiny</w:t>
      </w:r>
      <w:r w:rsidR="002D52A1" w:rsidRPr="002D52A1">
        <w:rPr>
          <w:noProof/>
        </w:rPr>
        <w:t xml:space="preserve"> a </w:t>
      </w:r>
      <w:r w:rsidR="349360EF" w:rsidRPr="002D52A1">
        <w:rPr>
          <w:noProof/>
        </w:rPr>
        <w:t>prínos celkového zapojenia Únie. Je potrebné uznať záväzok ukrajinských orgánov úzko spolupracovať</w:t>
      </w:r>
      <w:r w:rsidR="002D52A1" w:rsidRPr="002D52A1">
        <w:rPr>
          <w:noProof/>
        </w:rPr>
        <w:t xml:space="preserve"> s </w:t>
      </w:r>
      <w:r w:rsidR="349360EF" w:rsidRPr="002D52A1">
        <w:rPr>
          <w:noProof/>
        </w:rPr>
        <w:t>MMF na návrhu</w:t>
      </w:r>
      <w:r w:rsidR="002D52A1" w:rsidRPr="002D52A1">
        <w:rPr>
          <w:noProof/>
        </w:rPr>
        <w:t xml:space="preserve"> a </w:t>
      </w:r>
      <w:r w:rsidR="349360EF" w:rsidRPr="002D52A1">
        <w:rPr>
          <w:noProof/>
        </w:rPr>
        <w:t>vykonávaní krátkodobých núdzových opatrení</w:t>
      </w:r>
      <w:r w:rsidR="002D52A1" w:rsidRPr="002D52A1">
        <w:rPr>
          <w:noProof/>
        </w:rPr>
        <w:t xml:space="preserve"> a </w:t>
      </w:r>
      <w:r w:rsidR="349360EF" w:rsidRPr="002D52A1">
        <w:rPr>
          <w:noProof/>
        </w:rPr>
        <w:t>ich zámer pracovať</w:t>
      </w:r>
      <w:r w:rsidR="002D52A1" w:rsidRPr="002D52A1">
        <w:rPr>
          <w:noProof/>
        </w:rPr>
        <w:t xml:space="preserve"> s </w:t>
      </w:r>
      <w:r w:rsidR="349360EF" w:rsidRPr="002D52A1">
        <w:rPr>
          <w:noProof/>
        </w:rPr>
        <w:t>MMF na vhodnom hospodárskom programe, keď to podmienky dovolia.</w:t>
      </w:r>
      <w:r w:rsidR="002D52A1" w:rsidRPr="002D52A1">
        <w:rPr>
          <w:noProof/>
        </w:rPr>
        <w:t xml:space="preserve"> O </w:t>
      </w:r>
      <w:r w:rsidR="349360EF" w:rsidRPr="002D52A1">
        <w:rPr>
          <w:noProof/>
        </w:rPr>
        <w:t>takýto program bolo formálne požiadané</w:t>
      </w:r>
      <w:r w:rsidR="002D52A1" w:rsidRPr="002D52A1">
        <w:rPr>
          <w:noProof/>
        </w:rPr>
        <w:t xml:space="preserve"> v </w:t>
      </w:r>
      <w:r w:rsidR="349360EF" w:rsidRPr="002D52A1">
        <w:rPr>
          <w:noProof/>
        </w:rPr>
        <w:t>auguste 2022. Výnimočná makrofinančná pomoc Únie by mala byť zameraná na udržanie makrofinančnej stability</w:t>
      </w:r>
      <w:r w:rsidR="002D52A1" w:rsidRPr="002D52A1">
        <w:rPr>
          <w:noProof/>
        </w:rPr>
        <w:t xml:space="preserve"> a </w:t>
      </w:r>
      <w:r w:rsidR="349360EF" w:rsidRPr="002D52A1">
        <w:rPr>
          <w:noProof/>
        </w:rPr>
        <w:t>odolnosti</w:t>
      </w:r>
      <w:r w:rsidR="002D52A1" w:rsidRPr="002D52A1">
        <w:rPr>
          <w:noProof/>
        </w:rPr>
        <w:t xml:space="preserve"> v </w:t>
      </w:r>
      <w:r w:rsidR="349360EF" w:rsidRPr="002D52A1">
        <w:rPr>
          <w:noProof/>
        </w:rPr>
        <w:t>podmienkach ruskej vojenskej agresie. Komisia by mala zaistiť, aby bola výnimočná makrofinančná pomoc Únie právne</w:t>
      </w:r>
      <w:r w:rsidR="002D52A1" w:rsidRPr="002D52A1">
        <w:rPr>
          <w:noProof/>
        </w:rPr>
        <w:t xml:space="preserve"> a </w:t>
      </w:r>
      <w:r w:rsidR="349360EF" w:rsidRPr="002D52A1">
        <w:rPr>
          <w:noProof/>
        </w:rPr>
        <w:t>vecne</w:t>
      </w:r>
      <w:r w:rsidR="002D52A1" w:rsidRPr="002D52A1">
        <w:rPr>
          <w:noProof/>
        </w:rPr>
        <w:t xml:space="preserve"> v </w:t>
      </w:r>
      <w:r w:rsidR="349360EF" w:rsidRPr="002D52A1">
        <w:rPr>
          <w:noProof/>
        </w:rPr>
        <w:t>súlade</w:t>
      </w:r>
      <w:r w:rsidR="002D52A1" w:rsidRPr="002D52A1">
        <w:rPr>
          <w:noProof/>
        </w:rPr>
        <w:t xml:space="preserve"> s </w:t>
      </w:r>
      <w:r w:rsidR="349360EF" w:rsidRPr="002D52A1">
        <w:rPr>
          <w:noProof/>
        </w:rPr>
        <w:t>kľúčovými zásadami</w:t>
      </w:r>
      <w:r w:rsidR="002D52A1" w:rsidRPr="002D52A1">
        <w:rPr>
          <w:noProof/>
        </w:rPr>
        <w:t xml:space="preserve"> a </w:t>
      </w:r>
      <w:r w:rsidR="349360EF" w:rsidRPr="002D52A1">
        <w:rPr>
          <w:noProof/>
        </w:rPr>
        <w:t>cieľmi opatrení prijatých</w:t>
      </w:r>
      <w:r w:rsidR="002D52A1" w:rsidRPr="002D52A1">
        <w:rPr>
          <w:noProof/>
        </w:rPr>
        <w:t xml:space="preserve"> v </w:t>
      </w:r>
      <w:r w:rsidR="349360EF" w:rsidRPr="002D52A1">
        <w:rPr>
          <w:noProof/>
        </w:rPr>
        <w:t>rôznych oblastiach vonkajšej činnosti</w:t>
      </w:r>
      <w:r w:rsidR="002D52A1" w:rsidRPr="002D52A1">
        <w:rPr>
          <w:noProof/>
        </w:rPr>
        <w:t xml:space="preserve"> a </w:t>
      </w:r>
      <w:r w:rsidR="349360EF" w:rsidRPr="002D52A1">
        <w:rPr>
          <w:noProof/>
        </w:rPr>
        <w:t>ostatnými relevantnými politikami Únie.</w:t>
      </w:r>
    </w:p>
    <w:p w14:paraId="795FAD5D" w14:textId="1A9B192F" w:rsidR="00681971" w:rsidRPr="002D52A1" w:rsidRDefault="00D05784" w:rsidP="00D05784">
      <w:pPr>
        <w:pStyle w:val="ManualConsidrant"/>
        <w:rPr>
          <w:noProof/>
        </w:rPr>
      </w:pPr>
      <w:r w:rsidRPr="00D05784">
        <w:t>(5)</w:t>
      </w:r>
      <w:r w:rsidRPr="00D05784">
        <w:tab/>
      </w:r>
      <w:r w:rsidR="26955EDF" w:rsidRPr="002D52A1">
        <w:rPr>
          <w:noProof/>
        </w:rPr>
        <w:t>Výnimočnou makrofinančnou pomocou Únie by sa mala podporovať vonkajšia politika Únie voči Ukrajine. Útvary Komisie</w:t>
      </w:r>
      <w:r w:rsidR="002D52A1">
        <w:rPr>
          <w:noProof/>
        </w:rPr>
        <w:t xml:space="preserve"> a </w:t>
      </w:r>
      <w:r w:rsidR="26955EDF" w:rsidRPr="002D52A1">
        <w:rPr>
          <w:noProof/>
        </w:rPr>
        <w:t>Európska služba pre vonkajšiu činnosť by mali úzko spolupracovať pri operáciách makrofinančnej pomoci</w:t>
      </w:r>
      <w:r w:rsidR="002D52A1">
        <w:rPr>
          <w:noProof/>
        </w:rPr>
        <w:t xml:space="preserve"> v </w:t>
      </w:r>
      <w:r w:rsidR="26955EDF" w:rsidRPr="002D52A1">
        <w:rPr>
          <w:noProof/>
        </w:rPr>
        <w:t>záujme koordinácie vonkajšej politiky Únie</w:t>
      </w:r>
      <w:r w:rsidR="002D52A1">
        <w:rPr>
          <w:noProof/>
        </w:rPr>
        <w:t xml:space="preserve"> a </w:t>
      </w:r>
      <w:r w:rsidR="26955EDF" w:rsidRPr="002D52A1">
        <w:rPr>
          <w:noProof/>
        </w:rPr>
        <w:t>zabezpečenia jej jednotnosti.</w:t>
      </w:r>
    </w:p>
    <w:p w14:paraId="668AC47D" w14:textId="569B305C" w:rsidR="00681971" w:rsidRPr="002D52A1" w:rsidRDefault="00D05784" w:rsidP="00D05784">
      <w:pPr>
        <w:pStyle w:val="ManualConsidrant"/>
        <w:rPr>
          <w:noProof/>
        </w:rPr>
      </w:pPr>
      <w:r w:rsidRPr="00D05784">
        <w:t>(6)</w:t>
      </w:r>
      <w:r w:rsidRPr="00D05784">
        <w:tab/>
      </w:r>
      <w:r w:rsidR="453145BA" w:rsidRPr="002D52A1">
        <w:rPr>
          <w:noProof/>
        </w:rPr>
        <w:t>Podmienkou poskytnutia výnimočnej makrofinančnej pomoci Únie by malo byť rešpektovanie účinných demokratických mechanizmov vrátane pluralitného parlamentného systému</w:t>
      </w:r>
      <w:r w:rsidR="002D52A1" w:rsidRPr="002D52A1">
        <w:rPr>
          <w:noProof/>
        </w:rPr>
        <w:t xml:space="preserve"> a </w:t>
      </w:r>
      <w:r w:rsidR="453145BA" w:rsidRPr="002D52A1">
        <w:rPr>
          <w:noProof/>
        </w:rPr>
        <w:t>zásad právneho štátu</w:t>
      </w:r>
      <w:r w:rsidR="002D52A1" w:rsidRPr="002D52A1">
        <w:rPr>
          <w:noProof/>
        </w:rPr>
        <w:t xml:space="preserve"> a </w:t>
      </w:r>
      <w:r w:rsidR="453145BA" w:rsidRPr="002D52A1">
        <w:rPr>
          <w:noProof/>
        </w:rPr>
        <w:t>dodržiavanie ľudských práv zo strany Ukrajiny. Pretrvávajúce okolnosti ruskej vojenskej agresie voči Ukrajine,</w:t>
      </w:r>
      <w:r w:rsidR="002D52A1" w:rsidRPr="002D52A1">
        <w:rPr>
          <w:noProof/>
        </w:rPr>
        <w:t xml:space="preserve"> a </w:t>
      </w:r>
      <w:r w:rsidR="453145BA" w:rsidRPr="002D52A1">
        <w:rPr>
          <w:noProof/>
        </w:rPr>
        <w:t>najmä súčasné stanné právo, by nemali narúšať tieto zásady napriek koncentrácii moci vo výkonnej zložke.</w:t>
      </w:r>
    </w:p>
    <w:p w14:paraId="74A0EB6A" w14:textId="5C9B8DC9" w:rsidR="00681971" w:rsidRPr="002D52A1" w:rsidRDefault="00D05784" w:rsidP="00D05784">
      <w:pPr>
        <w:pStyle w:val="ManualConsidrant"/>
        <w:rPr>
          <w:noProof/>
        </w:rPr>
      </w:pPr>
      <w:r w:rsidRPr="00D05784">
        <w:t>(7)</w:t>
      </w:r>
      <w:r w:rsidRPr="00D05784">
        <w:tab/>
      </w:r>
      <w:r w:rsidR="26955EDF" w:rsidRPr="002D52A1">
        <w:rPr>
          <w:noProof/>
        </w:rPr>
        <w:t>S cieľom zaistiť účinnú ochranu finančných záujmov Únie</w:t>
      </w:r>
      <w:r w:rsidR="002D52A1">
        <w:rPr>
          <w:noProof/>
        </w:rPr>
        <w:t xml:space="preserve"> v </w:t>
      </w:r>
      <w:r w:rsidR="26955EDF" w:rsidRPr="002D52A1">
        <w:rPr>
          <w:noProof/>
        </w:rPr>
        <w:t>súvislosti</w:t>
      </w:r>
      <w:r w:rsidR="002D52A1">
        <w:rPr>
          <w:noProof/>
        </w:rPr>
        <w:t xml:space="preserve"> s </w:t>
      </w:r>
      <w:r w:rsidR="26955EDF" w:rsidRPr="002D52A1">
        <w:rPr>
          <w:noProof/>
        </w:rPr>
        <w:t>výnimočnou makrofinančnou pomocou Únie by mala Ukrajina prijať vhodné opatrenia týkajúce sa predchádzania podvodom, korupcii</w:t>
      </w:r>
      <w:r w:rsidR="002D52A1">
        <w:rPr>
          <w:noProof/>
        </w:rPr>
        <w:t xml:space="preserve"> a </w:t>
      </w:r>
      <w:r w:rsidR="26955EDF" w:rsidRPr="002D52A1">
        <w:rPr>
          <w:noProof/>
        </w:rPr>
        <w:t>všetkým ďalším nezrovnalostiam súvisiacim</w:t>
      </w:r>
      <w:r w:rsidR="002D52A1">
        <w:rPr>
          <w:noProof/>
        </w:rPr>
        <w:t xml:space="preserve"> s </w:t>
      </w:r>
      <w:r w:rsidR="26955EDF" w:rsidRPr="002D52A1">
        <w:rPr>
          <w:noProof/>
        </w:rPr>
        <w:t>uvedenou pomocou</w:t>
      </w:r>
      <w:r w:rsidR="002D52A1">
        <w:rPr>
          <w:noProof/>
        </w:rPr>
        <w:t xml:space="preserve"> a </w:t>
      </w:r>
      <w:r w:rsidR="26955EDF" w:rsidRPr="002D52A1">
        <w:rPr>
          <w:noProof/>
        </w:rPr>
        <w:t>boja proti nim. Okrem toho by sa malo stanoviť, že Komisia bude vykonávať kontroly, Dvor audítorov bude vykonávať audity</w:t>
      </w:r>
      <w:r w:rsidR="002D52A1">
        <w:rPr>
          <w:noProof/>
        </w:rPr>
        <w:t xml:space="preserve"> a </w:t>
      </w:r>
      <w:r w:rsidR="26955EDF" w:rsidRPr="002D52A1">
        <w:rPr>
          <w:noProof/>
        </w:rPr>
        <w:t>Európska prokuratúra bude vykonávať svoje právomoci.</w:t>
      </w:r>
    </w:p>
    <w:p w14:paraId="7087989D" w14:textId="4630E3AF" w:rsidR="002D52A1" w:rsidRPr="002D52A1" w:rsidRDefault="00D05784" w:rsidP="00D05784">
      <w:pPr>
        <w:pStyle w:val="ManualConsidrant"/>
        <w:rPr>
          <w:noProof/>
        </w:rPr>
      </w:pPr>
      <w:r w:rsidRPr="00D05784">
        <w:t>(8)</w:t>
      </w:r>
      <w:r w:rsidRPr="00D05784">
        <w:tab/>
      </w:r>
      <w:r w:rsidR="26955EDF" w:rsidRPr="002D52A1">
        <w:rPr>
          <w:noProof/>
        </w:rPr>
        <w:t>Výnimočná makrofinančná pomoc Únie by mala byť spojená</w:t>
      </w:r>
      <w:r w:rsidR="002D52A1">
        <w:rPr>
          <w:noProof/>
        </w:rPr>
        <w:t xml:space="preserve"> s </w:t>
      </w:r>
      <w:r w:rsidR="26955EDF" w:rsidRPr="002D52A1">
        <w:rPr>
          <w:noProof/>
        </w:rPr>
        <w:t>požiadavkami na podávanie správ</w:t>
      </w:r>
      <w:r w:rsidR="002D52A1">
        <w:rPr>
          <w:noProof/>
        </w:rPr>
        <w:t xml:space="preserve"> a </w:t>
      </w:r>
      <w:r w:rsidR="26955EDF" w:rsidRPr="002D52A1">
        <w:rPr>
          <w:noProof/>
        </w:rPr>
        <w:t>politickými podmienkami, ktoré sa stanovia</w:t>
      </w:r>
      <w:r w:rsidR="002D52A1">
        <w:rPr>
          <w:noProof/>
        </w:rPr>
        <w:t xml:space="preserve"> v </w:t>
      </w:r>
      <w:r w:rsidR="26955EDF" w:rsidRPr="002D52A1">
        <w:rPr>
          <w:noProof/>
        </w:rPr>
        <w:t>memorande</w:t>
      </w:r>
      <w:r w:rsidR="002D52A1">
        <w:rPr>
          <w:noProof/>
        </w:rPr>
        <w:t xml:space="preserve"> o </w:t>
      </w:r>
      <w:r w:rsidR="26955EDF" w:rsidRPr="002D52A1">
        <w:rPr>
          <w:noProof/>
        </w:rPr>
        <w:t>porozumení (ďalej len „MoP“). Rozsiahle požiadavky na podávanie správ za súčasných okolností ruskej vojnovej agresie voči Ukrajine sú zamerané na zaistenie efektívnosti, transparentnosti</w:t>
      </w:r>
      <w:r w:rsidR="002D52A1">
        <w:rPr>
          <w:noProof/>
        </w:rPr>
        <w:t xml:space="preserve"> a </w:t>
      </w:r>
      <w:r w:rsidR="26955EDF" w:rsidRPr="002D52A1">
        <w:rPr>
          <w:noProof/>
        </w:rPr>
        <w:t>zodpovednosti pri využívaní finančných prostriedkov. Politické podmienky sú zamerané na posilnenie okamžitej odolnosti krajiny</w:t>
      </w:r>
      <w:r w:rsidR="002D52A1">
        <w:rPr>
          <w:noProof/>
        </w:rPr>
        <w:t xml:space="preserve"> a </w:t>
      </w:r>
      <w:r w:rsidR="26955EDF" w:rsidRPr="002D52A1">
        <w:rPr>
          <w:noProof/>
        </w:rPr>
        <w:t>jej dlhodobejšej udržateľnosti dlhovej služby,</w:t>
      </w:r>
      <w:r w:rsidR="002D52A1">
        <w:rPr>
          <w:noProof/>
        </w:rPr>
        <w:t xml:space="preserve"> a </w:t>
      </w:r>
      <w:r w:rsidR="26955EDF" w:rsidRPr="002D52A1">
        <w:rPr>
          <w:noProof/>
        </w:rPr>
        <w:t>tým na zníženie rizík spojených so splácaním jej nesplatených</w:t>
      </w:r>
      <w:r w:rsidR="002D52A1">
        <w:rPr>
          <w:noProof/>
        </w:rPr>
        <w:t xml:space="preserve"> a </w:t>
      </w:r>
      <w:r w:rsidR="26955EDF" w:rsidRPr="002D52A1">
        <w:rPr>
          <w:noProof/>
        </w:rPr>
        <w:t>budúcich finančných záväzkov</w:t>
      </w:r>
      <w:r w:rsidR="002D52A1" w:rsidRPr="002D52A1">
        <w:rPr>
          <w:noProof/>
        </w:rPr>
        <w:t>.</w:t>
      </w:r>
    </w:p>
    <w:p w14:paraId="70D36E6A" w14:textId="3C0FD37B" w:rsidR="00681971" w:rsidRPr="002D52A1" w:rsidRDefault="00D05784" w:rsidP="00D05784">
      <w:pPr>
        <w:pStyle w:val="ManualConsidrant"/>
        <w:rPr>
          <w:noProof/>
        </w:rPr>
      </w:pPr>
      <w:r w:rsidRPr="00D05784">
        <w:t>(9)</w:t>
      </w:r>
      <w:r w:rsidRPr="00D05784">
        <w:tab/>
      </w:r>
      <w:r w:rsidR="3090100C" w:rsidRPr="002D52A1">
        <w:rPr>
          <w:noProof/>
        </w:rPr>
        <w:t>S cieľom zabezpečiť jednotné podmienky vykonávania tohto rozhodnutia by sa na Komisiu preniesť vykonávacie právomoci. Uvedené právomoci by sa mali vykonávať</w:t>
      </w:r>
      <w:r w:rsidR="002D52A1">
        <w:rPr>
          <w:noProof/>
        </w:rPr>
        <w:t xml:space="preserve"> v </w:t>
      </w:r>
      <w:r w:rsidR="3090100C" w:rsidRPr="002D52A1">
        <w:rPr>
          <w:noProof/>
        </w:rPr>
        <w:t>súlade</w:t>
      </w:r>
      <w:r w:rsidR="002D52A1">
        <w:rPr>
          <w:noProof/>
        </w:rPr>
        <w:t xml:space="preserve"> s </w:t>
      </w:r>
      <w:r w:rsidR="3090100C" w:rsidRPr="002D52A1">
        <w:rPr>
          <w:noProof/>
        </w:rPr>
        <w:t>nariadením Európskeho parlamentu</w:t>
      </w:r>
      <w:r w:rsidR="002D52A1">
        <w:rPr>
          <w:noProof/>
        </w:rPr>
        <w:t xml:space="preserve"> a </w:t>
      </w:r>
      <w:r w:rsidR="3090100C" w:rsidRPr="002D52A1">
        <w:rPr>
          <w:noProof/>
        </w:rPr>
        <w:t xml:space="preserve">Rady (EÚ) </w:t>
      </w:r>
      <w:r w:rsidR="002D52A1">
        <w:rPr>
          <w:noProof/>
        </w:rPr>
        <w:t>č. </w:t>
      </w:r>
      <w:r w:rsidR="3090100C" w:rsidRPr="002D52A1">
        <w:rPr>
          <w:noProof/>
        </w:rPr>
        <w:t>182/2011</w:t>
      </w:r>
      <w:r w:rsidR="3090100C" w:rsidRPr="002D52A1">
        <w:rPr>
          <w:rStyle w:val="FootnoteReference"/>
          <w:noProof/>
        </w:rPr>
        <w:footnoteReference w:id="20"/>
      </w:r>
      <w:r w:rsidR="3090100C" w:rsidRPr="002D52A1">
        <w:rPr>
          <w:noProof/>
        </w:rPr>
        <w:t>.</w:t>
      </w:r>
    </w:p>
    <w:p w14:paraId="7A3FC60D" w14:textId="03786037" w:rsidR="00681971" w:rsidRPr="002D52A1" w:rsidRDefault="00D05784" w:rsidP="00D05784">
      <w:pPr>
        <w:pStyle w:val="ManualConsidrant"/>
        <w:rPr>
          <w:noProof/>
        </w:rPr>
      </w:pPr>
      <w:r w:rsidRPr="00D05784">
        <w:t>(10)</w:t>
      </w:r>
      <w:r w:rsidRPr="00D05784">
        <w:tab/>
      </w:r>
      <w:r w:rsidR="51EC964F" w:rsidRPr="002D52A1">
        <w:rPr>
          <w:noProof/>
        </w:rPr>
        <w:t>Maximálna priemerná splatnosť úverov podľa tohto rozhodnutia</w:t>
      </w:r>
      <w:r w:rsidR="002D52A1">
        <w:rPr>
          <w:noProof/>
        </w:rPr>
        <w:t xml:space="preserve"> a </w:t>
      </w:r>
      <w:r w:rsidR="51EC964F" w:rsidRPr="002D52A1">
        <w:rPr>
          <w:noProof/>
        </w:rPr>
        <w:t>rozhodnutia (EÚ) 2022/1201 by mala byť 25 rokov.</w:t>
      </w:r>
    </w:p>
    <w:p w14:paraId="7B9DD023" w14:textId="56AE9AE0" w:rsidR="00681971" w:rsidRPr="002D52A1" w:rsidRDefault="00D05784" w:rsidP="00D05784">
      <w:pPr>
        <w:pStyle w:val="ManualConsidrant"/>
        <w:rPr>
          <w:noProof/>
        </w:rPr>
      </w:pPr>
      <w:r w:rsidRPr="00D05784">
        <w:t>(11)</w:t>
      </w:r>
      <w:r w:rsidRPr="00D05784">
        <w:tab/>
      </w:r>
      <w:r w:rsidR="3EE7BF6C" w:rsidRPr="002D52A1">
        <w:rPr>
          <w:noProof/>
        </w:rPr>
        <w:t>Vzhľadom na to, že úvery podľa tohto rozhodnutia</w:t>
      </w:r>
      <w:r w:rsidR="002D52A1">
        <w:rPr>
          <w:noProof/>
        </w:rPr>
        <w:t xml:space="preserve"> a </w:t>
      </w:r>
      <w:r w:rsidR="3EE7BF6C" w:rsidRPr="002D52A1">
        <w:rPr>
          <w:noProof/>
        </w:rPr>
        <w:t>rozhodnutia (EÚ) 2022/1201 predstavujú rovnaké riziká pre rozpočet EÚ</w:t>
      </w:r>
      <w:r w:rsidR="002D52A1">
        <w:rPr>
          <w:noProof/>
        </w:rPr>
        <w:t xml:space="preserve"> a </w:t>
      </w:r>
      <w:r w:rsidR="3EE7BF6C" w:rsidRPr="002D52A1">
        <w:rPr>
          <w:noProof/>
        </w:rPr>
        <w:t>mali by mať spoločnú maximálnu priemernú splatnosť 25 rokov, na súhrnnú sumu makrofinančnej pomoci Ukrajine podľa tohto rozhodnutia</w:t>
      </w:r>
      <w:r w:rsidR="002D52A1">
        <w:rPr>
          <w:noProof/>
        </w:rPr>
        <w:t xml:space="preserve"> a </w:t>
      </w:r>
      <w:r w:rsidR="3EE7BF6C" w:rsidRPr="002D52A1">
        <w:rPr>
          <w:noProof/>
        </w:rPr>
        <w:t>rozhodnutia (EÚ) 2022/1201 vo výške 6 mld. EUR by sa mala vzťahovať spoločná metodika riadenia finančných dôsledkov</w:t>
      </w:r>
      <w:r w:rsidR="002D52A1">
        <w:rPr>
          <w:noProof/>
        </w:rPr>
        <w:t xml:space="preserve"> a </w:t>
      </w:r>
      <w:r w:rsidR="3EE7BF6C" w:rsidRPr="002D52A1">
        <w:rPr>
          <w:noProof/>
        </w:rPr>
        <w:t>vplyvu na rozpočet. Predovšetkým by sa mala stanoviť rovnaká úroveň rozpočtového krytia ako primeraná ochrana pred možnosťou potenciálneho nesplatenia niektorých alebo všetkých úverov zo strany Ukrajiny</w:t>
      </w:r>
      <w:r w:rsidR="002D52A1">
        <w:rPr>
          <w:noProof/>
        </w:rPr>
        <w:t xml:space="preserve"> v </w:t>
      </w:r>
      <w:r w:rsidR="3EE7BF6C" w:rsidRPr="002D52A1">
        <w:rPr>
          <w:noProof/>
        </w:rPr>
        <w:t>plánovanom termíne. Rezervy dostupné</w:t>
      </w:r>
      <w:r w:rsidR="002D52A1">
        <w:rPr>
          <w:noProof/>
        </w:rPr>
        <w:t xml:space="preserve"> z </w:t>
      </w:r>
      <w:r w:rsidR="3EE7BF6C" w:rsidRPr="002D52A1">
        <w:rPr>
          <w:noProof/>
        </w:rPr>
        <w:t>rozpočtu EÚ na dva súbory úverov výnimočnej makrofinančnej pomoci by sa mali spravovať ako integrovaný súbor rezerv. Týmto sa zvýši odolnosť</w:t>
      </w:r>
      <w:r w:rsidR="002D52A1">
        <w:rPr>
          <w:noProof/>
        </w:rPr>
        <w:t xml:space="preserve"> a </w:t>
      </w:r>
      <w:r w:rsidR="3EE7BF6C" w:rsidRPr="002D52A1">
        <w:rPr>
          <w:noProof/>
        </w:rPr>
        <w:t>flexibilita rozpočtu EÚ</w:t>
      </w:r>
      <w:r w:rsidR="002D52A1">
        <w:rPr>
          <w:noProof/>
        </w:rPr>
        <w:t xml:space="preserve"> v </w:t>
      </w:r>
      <w:r w:rsidR="3EE7BF6C" w:rsidRPr="002D52A1">
        <w:rPr>
          <w:noProof/>
        </w:rPr>
        <w:t>reakcii na akúkoľvek situáciu nesplácania.</w:t>
      </w:r>
      <w:r w:rsidR="002D52A1" w:rsidRPr="002D52A1">
        <w:rPr>
          <w:noProof/>
        </w:rPr>
        <w:t xml:space="preserve"> </w:t>
      </w:r>
      <w:r w:rsidR="3EE7BF6C" w:rsidRPr="002D52A1">
        <w:rPr>
          <w:noProof/>
        </w:rPr>
        <w:t>Článok 7 ods. 2 rozhodnutia (EÚ) 2022/1201 by sa preto mal zodpovedajúcim spôsobom zmeniť.</w:t>
      </w:r>
    </w:p>
    <w:p w14:paraId="3F4D2D57" w14:textId="7A70DBD6" w:rsidR="002D52A1" w:rsidRPr="002D52A1" w:rsidRDefault="00D05784" w:rsidP="00D05784">
      <w:pPr>
        <w:pStyle w:val="ManualConsidrant"/>
        <w:rPr>
          <w:noProof/>
        </w:rPr>
      </w:pPr>
      <w:r w:rsidRPr="00D05784">
        <w:t>(12)</w:t>
      </w:r>
      <w:r w:rsidRPr="00D05784">
        <w:tab/>
      </w:r>
      <w:r w:rsidR="2D42B455" w:rsidRPr="002D52A1">
        <w:rPr>
          <w:noProof/>
        </w:rPr>
        <w:t>Výnimočná makrofinančná pomoc podľa tohto rozhodnutia</w:t>
      </w:r>
      <w:r w:rsidR="002D52A1" w:rsidRPr="002D52A1">
        <w:rPr>
          <w:noProof/>
        </w:rPr>
        <w:t xml:space="preserve"> a </w:t>
      </w:r>
      <w:r w:rsidR="2D42B455" w:rsidRPr="002D52A1">
        <w:rPr>
          <w:noProof/>
        </w:rPr>
        <w:t>rozhodnutia (EÚ) 2022/1201 predstavuje pre Úniu finančný záväzok</w:t>
      </w:r>
      <w:r w:rsidR="002D52A1" w:rsidRPr="002D52A1">
        <w:rPr>
          <w:noProof/>
        </w:rPr>
        <w:t xml:space="preserve"> v </w:t>
      </w:r>
      <w:r w:rsidR="2D42B455" w:rsidRPr="002D52A1">
        <w:rPr>
          <w:noProof/>
        </w:rPr>
        <w:t>rámci celého objemu záruky pre vonkajšiu činnosť. Na celkovú sumu úverov výnimočnej makrofinančnej pomoci Ukrajine vo výške 6 mld. EUR by sa mali vzťahovať splatené rezervy vo výške 9</w:t>
      </w:r>
      <w:r w:rsidR="002D52A1" w:rsidRPr="002D52A1">
        <w:rPr>
          <w:noProof/>
        </w:rPr>
        <w:t> %</w:t>
      </w:r>
      <w:r w:rsidR="2D42B455" w:rsidRPr="002D52A1">
        <w:rPr>
          <w:noProof/>
        </w:rPr>
        <w:t>, ktoré sú</w:t>
      </w:r>
      <w:r w:rsidR="002D52A1" w:rsidRPr="002D52A1">
        <w:rPr>
          <w:noProof/>
        </w:rPr>
        <w:t xml:space="preserve"> k </w:t>
      </w:r>
      <w:r w:rsidR="2D42B455" w:rsidRPr="002D52A1">
        <w:rPr>
          <w:noProof/>
        </w:rPr>
        <w:t>dispozícii pre úvery makrofinančnej pomoci</w:t>
      </w:r>
      <w:r w:rsidR="002D52A1" w:rsidRPr="002D52A1">
        <w:rPr>
          <w:noProof/>
        </w:rPr>
        <w:t xml:space="preserve"> v </w:t>
      </w:r>
      <w:r w:rsidR="2D42B455" w:rsidRPr="002D52A1">
        <w:rPr>
          <w:noProof/>
        </w:rPr>
        <w:t>rámci záruky pre vonkajšiu činnosť. Suma tvorby rezerv by sa mala financovať</w:t>
      </w:r>
      <w:r w:rsidR="002D52A1" w:rsidRPr="002D52A1">
        <w:rPr>
          <w:noProof/>
        </w:rPr>
        <w:t xml:space="preserve"> z </w:t>
      </w:r>
      <w:r w:rsidR="2D42B455" w:rsidRPr="002D52A1">
        <w:rPr>
          <w:noProof/>
        </w:rPr>
        <w:t>finančného krytia plánovaného na makrofinančnú pomoc podľa nariadenia Európskeho parlamentu</w:t>
      </w:r>
      <w:r w:rsidR="002D52A1" w:rsidRPr="002D52A1">
        <w:rPr>
          <w:noProof/>
        </w:rPr>
        <w:t xml:space="preserve"> a </w:t>
      </w:r>
      <w:r w:rsidR="2D42B455" w:rsidRPr="002D52A1">
        <w:rPr>
          <w:noProof/>
        </w:rPr>
        <w:t>Rady (EÚ) 2021/947</w:t>
      </w:r>
      <w:r w:rsidR="2D42B455" w:rsidRPr="002D52A1">
        <w:rPr>
          <w:rStyle w:val="FootnoteReference"/>
          <w:b/>
          <w:bCs/>
          <w:noProof/>
          <w:spacing w:val="-4"/>
        </w:rPr>
        <w:footnoteReference w:id="21"/>
      </w:r>
      <w:r w:rsidR="002D52A1" w:rsidRPr="002D52A1">
        <w:rPr>
          <w:noProof/>
        </w:rPr>
        <w:t xml:space="preserve"> v </w:t>
      </w:r>
      <w:r w:rsidR="2D42B455" w:rsidRPr="002D52A1">
        <w:rPr>
          <w:noProof/>
        </w:rPr>
        <w:t>celkovej výške tvorby rezerv 540 mil. EUR. Táto suma by mala byť viazaná</w:t>
      </w:r>
      <w:r w:rsidR="002D52A1" w:rsidRPr="002D52A1">
        <w:rPr>
          <w:noProof/>
        </w:rPr>
        <w:t xml:space="preserve"> a </w:t>
      </w:r>
      <w:r w:rsidR="2D42B455" w:rsidRPr="002D52A1">
        <w:rPr>
          <w:noProof/>
        </w:rPr>
        <w:t>vyplatená do spoločného rezervného fondu</w:t>
      </w:r>
      <w:r w:rsidR="002D52A1" w:rsidRPr="002D52A1">
        <w:rPr>
          <w:noProof/>
        </w:rPr>
        <w:t xml:space="preserve"> v </w:t>
      </w:r>
      <w:r w:rsidR="2D42B455" w:rsidRPr="002D52A1">
        <w:rPr>
          <w:noProof/>
        </w:rPr>
        <w:t>rámci VFR na roky 2021 – 2027</w:t>
      </w:r>
      <w:r w:rsidR="002D52A1" w:rsidRPr="002D52A1">
        <w:rPr>
          <w:noProof/>
        </w:rPr>
        <w:t>.</w:t>
      </w:r>
    </w:p>
    <w:p w14:paraId="0CDA89A6" w14:textId="3B064424" w:rsidR="002D52A1" w:rsidRPr="002D52A1" w:rsidRDefault="00D05784" w:rsidP="00D05784">
      <w:pPr>
        <w:pStyle w:val="ManualConsidrant"/>
        <w:rPr>
          <w:noProof/>
        </w:rPr>
      </w:pPr>
      <w:r w:rsidRPr="00D05784">
        <w:t>(13)</w:t>
      </w:r>
      <w:r w:rsidRPr="00D05784">
        <w:tab/>
      </w:r>
      <w:r w:rsidR="2D42B455" w:rsidRPr="002D52A1">
        <w:rPr>
          <w:noProof/>
        </w:rPr>
        <w:t>V súlade</w:t>
      </w:r>
      <w:r w:rsidR="002D52A1">
        <w:rPr>
          <w:noProof/>
        </w:rPr>
        <w:t xml:space="preserve"> s </w:t>
      </w:r>
      <w:r w:rsidR="2D42B455" w:rsidRPr="002D52A1">
        <w:rPr>
          <w:noProof/>
        </w:rPr>
        <w:t>článkom 210 ods. 3 nariadenia Európskeho parlamentu</w:t>
      </w:r>
      <w:r w:rsidR="002D52A1">
        <w:rPr>
          <w:noProof/>
        </w:rPr>
        <w:t xml:space="preserve"> a </w:t>
      </w:r>
      <w:r w:rsidR="2D42B455" w:rsidRPr="002D52A1">
        <w:rPr>
          <w:noProof/>
        </w:rPr>
        <w:t>Rady (EÚ, Euratom) 2018/1046 (ďalej len „nariadenie</w:t>
      </w:r>
      <w:r w:rsidR="002D52A1">
        <w:rPr>
          <w:noProof/>
        </w:rPr>
        <w:t xml:space="preserve"> o </w:t>
      </w:r>
      <w:r w:rsidR="2D42B455" w:rsidRPr="002D52A1">
        <w:rPr>
          <w:noProof/>
        </w:rPr>
        <w:t>rozpočtových pravidlách“) sa podmienené záväzky vyplývajúce</w:t>
      </w:r>
      <w:r w:rsidR="002D52A1">
        <w:rPr>
          <w:noProof/>
        </w:rPr>
        <w:t xml:space="preserve"> z </w:t>
      </w:r>
      <w:r w:rsidR="2D42B455" w:rsidRPr="002D52A1">
        <w:rPr>
          <w:noProof/>
        </w:rPr>
        <w:t>rozpočtových záruk alebo finančnej pomoci na ťarchu rozpočtu majú považovať za udržateľné, ak je ich predpokladaný viacročný vývoj</w:t>
      </w:r>
      <w:r w:rsidR="002D52A1">
        <w:rPr>
          <w:noProof/>
        </w:rPr>
        <w:t xml:space="preserve"> v </w:t>
      </w:r>
      <w:r w:rsidR="2D42B455" w:rsidRPr="002D52A1">
        <w:rPr>
          <w:noProof/>
        </w:rPr>
        <w:t>súlade</w:t>
      </w:r>
      <w:r w:rsidR="002D52A1">
        <w:rPr>
          <w:noProof/>
        </w:rPr>
        <w:t xml:space="preserve"> s </w:t>
      </w:r>
      <w:r w:rsidR="2D42B455" w:rsidRPr="002D52A1">
        <w:rPr>
          <w:noProof/>
        </w:rPr>
        <w:t>limitmi stanovenými</w:t>
      </w:r>
      <w:r w:rsidR="002D52A1">
        <w:rPr>
          <w:noProof/>
        </w:rPr>
        <w:t xml:space="preserve"> v </w:t>
      </w:r>
      <w:r w:rsidR="2D42B455" w:rsidRPr="002D52A1">
        <w:rPr>
          <w:noProof/>
        </w:rPr>
        <w:t>nariadení Rady (EÚ, Euratom) 2020/2093</w:t>
      </w:r>
      <w:r w:rsidR="2D42B455" w:rsidRPr="002D52A1">
        <w:rPr>
          <w:rStyle w:val="FootnoteReference"/>
          <w:noProof/>
        </w:rPr>
        <w:footnoteReference w:id="22"/>
      </w:r>
      <w:r w:rsidR="2D42B455" w:rsidRPr="002D52A1">
        <w:rPr>
          <w:noProof/>
        </w:rPr>
        <w:t>, ktorým sa určí viacročný finančný rámec, uvedenom</w:t>
      </w:r>
      <w:r w:rsidR="002D52A1">
        <w:rPr>
          <w:noProof/>
        </w:rPr>
        <w:t xml:space="preserve"> v </w:t>
      </w:r>
      <w:r w:rsidR="2D42B455" w:rsidRPr="002D52A1">
        <w:rPr>
          <w:noProof/>
        </w:rPr>
        <w:t>článku 312 ods. 2 ZFEÚ</w:t>
      </w:r>
      <w:r w:rsidR="002D52A1">
        <w:rPr>
          <w:noProof/>
        </w:rPr>
        <w:t xml:space="preserve"> a </w:t>
      </w:r>
      <w:r w:rsidR="2D42B455" w:rsidRPr="002D52A1">
        <w:rPr>
          <w:noProof/>
        </w:rPr>
        <w:t>so stropom ročných platobných rozpočtových prostriedkov stanoveným</w:t>
      </w:r>
      <w:r w:rsidR="002D52A1">
        <w:rPr>
          <w:noProof/>
        </w:rPr>
        <w:t xml:space="preserve"> v </w:t>
      </w:r>
      <w:r w:rsidR="2D42B455" w:rsidRPr="002D52A1">
        <w:rPr>
          <w:noProof/>
        </w:rPr>
        <w:t>článku 3 ods. 1 rozhodnutia 2014/335/EÚ, Euratom</w:t>
      </w:r>
      <w:r w:rsidR="2D42B455" w:rsidRPr="002D52A1">
        <w:rPr>
          <w:rStyle w:val="FootnoteReference"/>
          <w:noProof/>
        </w:rPr>
        <w:footnoteReference w:id="23"/>
      </w:r>
      <w:r w:rsidR="2D42B455" w:rsidRPr="002D52A1">
        <w:rPr>
          <w:noProof/>
        </w:rPr>
        <w:t>. Na to, aby mohla Únia finančne bezpečným spôsobom poskytnúť Ukrajine značnú podporu</w:t>
      </w:r>
      <w:r w:rsidR="002D52A1">
        <w:rPr>
          <w:noProof/>
        </w:rPr>
        <w:t xml:space="preserve"> v </w:t>
      </w:r>
      <w:r w:rsidR="2D42B455" w:rsidRPr="002D52A1">
        <w:rPr>
          <w:noProof/>
        </w:rPr>
        <w:t>bezprecedentných sumách prostredníctvom makrofinančnej pomoci pri súčasnom zachovaní vysokého kreditu Únie,</w:t>
      </w:r>
      <w:r w:rsidR="002D52A1">
        <w:rPr>
          <w:noProof/>
        </w:rPr>
        <w:t xml:space="preserve"> a </w:t>
      </w:r>
      <w:r w:rsidR="2D42B455" w:rsidRPr="002D52A1">
        <w:rPr>
          <w:noProof/>
        </w:rPr>
        <w:t>teda jej schopnosti zabezpečiť účinné financovanie</w:t>
      </w:r>
      <w:r w:rsidR="002D52A1">
        <w:rPr>
          <w:noProof/>
        </w:rPr>
        <w:t xml:space="preserve"> v </w:t>
      </w:r>
      <w:r w:rsidR="2D42B455" w:rsidRPr="002D52A1">
        <w:rPr>
          <w:noProof/>
        </w:rPr>
        <w:t>kontexte jej vnútornej aj vonkajšej politiky, je nevyhnutné primerane chrániť rozpočet Únie pred vznikom uvedených podmienených záväzkov</w:t>
      </w:r>
      <w:r w:rsidR="002D52A1">
        <w:rPr>
          <w:noProof/>
        </w:rPr>
        <w:t xml:space="preserve"> a </w:t>
      </w:r>
      <w:r w:rsidR="2D42B455" w:rsidRPr="002D52A1">
        <w:rPr>
          <w:noProof/>
        </w:rPr>
        <w:t>zaistiť, aby boli finančne udržateľné</w:t>
      </w:r>
      <w:r w:rsidR="002D52A1">
        <w:rPr>
          <w:noProof/>
        </w:rPr>
        <w:t xml:space="preserve"> v </w:t>
      </w:r>
      <w:r w:rsidR="2D42B455" w:rsidRPr="002D52A1">
        <w:rPr>
          <w:noProof/>
        </w:rPr>
        <w:t>zmysle článku 210 ods. 3 nariadenia</w:t>
      </w:r>
      <w:r w:rsidR="002D52A1">
        <w:rPr>
          <w:noProof/>
        </w:rPr>
        <w:t xml:space="preserve"> o </w:t>
      </w:r>
      <w:r w:rsidR="2D42B455" w:rsidRPr="002D52A1">
        <w:rPr>
          <w:noProof/>
        </w:rPr>
        <w:t>rozpočtových pravidlách</w:t>
      </w:r>
      <w:r w:rsidR="002D52A1" w:rsidRPr="002D52A1">
        <w:rPr>
          <w:noProof/>
        </w:rPr>
        <w:t>.</w:t>
      </w:r>
    </w:p>
    <w:p w14:paraId="22D5E4A6" w14:textId="7989EAEB" w:rsidR="00681971" w:rsidRPr="002D52A1" w:rsidRDefault="00D05784" w:rsidP="00D05784">
      <w:pPr>
        <w:pStyle w:val="ManualConsidrant"/>
        <w:rPr>
          <w:noProof/>
        </w:rPr>
      </w:pPr>
      <w:r w:rsidRPr="00D05784">
        <w:t>(14)</w:t>
      </w:r>
      <w:r w:rsidRPr="00D05784">
        <w:tab/>
      </w:r>
      <w:r w:rsidR="0420B2CC" w:rsidRPr="002D52A1">
        <w:rPr>
          <w:noProof/>
        </w:rPr>
        <w:t>V súlade so zásadou správneho finančného riadenia by sa mal spoločný rezervný fond posilniť prostriedkami úmernými rizikám vyplývajúcim</w:t>
      </w:r>
      <w:r w:rsidR="002D52A1">
        <w:rPr>
          <w:noProof/>
        </w:rPr>
        <w:t xml:space="preserve"> z </w:t>
      </w:r>
      <w:r w:rsidR="0420B2CC" w:rsidRPr="002D52A1">
        <w:rPr>
          <w:noProof/>
        </w:rPr>
        <w:t>podmienených záväzkov, ktoré sú spojené</w:t>
      </w:r>
      <w:r w:rsidR="002D52A1">
        <w:rPr>
          <w:noProof/>
        </w:rPr>
        <w:t xml:space="preserve"> s </w:t>
      </w:r>
      <w:r w:rsidR="0420B2CC" w:rsidRPr="002D52A1">
        <w:rPr>
          <w:noProof/>
        </w:rPr>
        <w:t>touto bezprecedentne veľkou makrofinančnou pomocou jedinému prijímateľovi. Bez takéhoto posilnenia by nebolo možné</w:t>
      </w:r>
      <w:r w:rsidR="002D52A1">
        <w:rPr>
          <w:noProof/>
        </w:rPr>
        <w:t xml:space="preserve"> z </w:t>
      </w:r>
      <w:r w:rsidR="0420B2CC" w:rsidRPr="002D52A1">
        <w:rPr>
          <w:noProof/>
        </w:rPr>
        <w:t>rozpočtu Únie poskytnúť na finančne bezpečnom základe bezprecedentne veľkú pomoc, ktorú si vyžadujú</w:t>
      </w:r>
      <w:r w:rsidR="002D52A1">
        <w:rPr>
          <w:noProof/>
        </w:rPr>
        <w:t xml:space="preserve"> s </w:t>
      </w:r>
      <w:r w:rsidR="0420B2CC" w:rsidRPr="002D52A1">
        <w:rPr>
          <w:noProof/>
        </w:rPr>
        <w:t>vojnou súvisiace potreby Ukrajiny.</w:t>
      </w:r>
      <w:r w:rsidR="002D52A1">
        <w:rPr>
          <w:noProof/>
        </w:rPr>
        <w:t xml:space="preserve"> V </w:t>
      </w:r>
      <w:r w:rsidR="0420B2CC" w:rsidRPr="002D52A1">
        <w:rPr>
          <w:noProof/>
        </w:rPr>
        <w:t>záujme ochrany rozpočtu Únie by sa na úvery výnimočnej makrofinančnej pomoci Ukrajine vo výške 6 mld. EUR malo vzťahovať 70</w:t>
      </w:r>
      <w:r w:rsidR="002D52A1">
        <w:rPr>
          <w:noProof/>
        </w:rPr>
        <w:t> %</w:t>
      </w:r>
      <w:r w:rsidR="0420B2CC" w:rsidRPr="002D52A1">
        <w:rPr>
          <w:noProof/>
        </w:rPr>
        <w:t xml:space="preserve"> krytie prostredníctvom splatených rezerv (na úrovni 9</w:t>
      </w:r>
      <w:r w:rsidR="002D52A1">
        <w:rPr>
          <w:noProof/>
        </w:rPr>
        <w:t> %</w:t>
      </w:r>
      <w:r w:rsidR="0420B2CC" w:rsidRPr="002D52A1">
        <w:rPr>
          <w:noProof/>
        </w:rPr>
        <w:t>) doplnených vnútroštátnymi zárukami</w:t>
      </w:r>
      <w:r w:rsidR="002D52A1">
        <w:rPr>
          <w:noProof/>
        </w:rPr>
        <w:t xml:space="preserve"> s </w:t>
      </w:r>
      <w:r w:rsidR="0420B2CC" w:rsidRPr="002D52A1">
        <w:rPr>
          <w:noProof/>
        </w:rPr>
        <w:t>cieľom zabezpečiť rozpočtové krytie strát do výšky ďalších 61</w:t>
      </w:r>
      <w:r w:rsidR="002D52A1">
        <w:rPr>
          <w:noProof/>
        </w:rPr>
        <w:t> %</w:t>
      </w:r>
      <w:r w:rsidR="0420B2CC" w:rsidRPr="002D52A1">
        <w:rPr>
          <w:noProof/>
        </w:rPr>
        <w:t xml:space="preserve"> hodnoty úverov.</w:t>
      </w:r>
    </w:p>
    <w:p w14:paraId="323558A1" w14:textId="0EDAC37A" w:rsidR="002D52A1" w:rsidRPr="002D52A1" w:rsidRDefault="00D05784" w:rsidP="00D05784">
      <w:pPr>
        <w:pStyle w:val="ManualConsidrant"/>
        <w:rPr>
          <w:noProof/>
        </w:rPr>
      </w:pPr>
      <w:r w:rsidRPr="00D05784">
        <w:t>(15)</w:t>
      </w:r>
      <w:r w:rsidRPr="00D05784">
        <w:tab/>
      </w:r>
      <w:r w:rsidR="0420B2CC" w:rsidRPr="002D52A1">
        <w:rPr>
          <w:noProof/>
        </w:rPr>
        <w:t>Zdroje podľa nariadenia (EÚ, Euratom) 2020/2093 sú vzhľadom na celkové priority Únie</w:t>
      </w:r>
      <w:r w:rsidR="002D52A1">
        <w:rPr>
          <w:noProof/>
        </w:rPr>
        <w:t xml:space="preserve"> v </w:t>
      </w:r>
      <w:r w:rsidR="0420B2CC" w:rsidRPr="002D52A1">
        <w:rPr>
          <w:noProof/>
        </w:rPr>
        <w:t>oblasti výdavkov pod vysokým tlakom. Je preto vhodné hľadať alternatívne riešenie pre dodatočné zdroje, ktoré neovplyvnia pravidelné výdavky predpokladané vo finančnom pláne VFR na roky 2021 – 2027</w:t>
      </w:r>
      <w:r w:rsidR="002D52A1" w:rsidRPr="002D52A1">
        <w:rPr>
          <w:noProof/>
        </w:rPr>
        <w:t>.</w:t>
      </w:r>
    </w:p>
    <w:p w14:paraId="6A19B6B6" w14:textId="27C01462" w:rsidR="002D52A1" w:rsidRPr="002D52A1" w:rsidRDefault="00D05784" w:rsidP="00D05784">
      <w:pPr>
        <w:pStyle w:val="ManualConsidrant"/>
        <w:rPr>
          <w:rStyle w:val="normaltextrun"/>
          <w:noProof/>
          <w:color w:val="000000"/>
          <w:shd w:val="clear" w:color="auto" w:fill="FFFFFF"/>
        </w:rPr>
      </w:pPr>
      <w:r w:rsidRPr="00D05784">
        <w:rPr>
          <w:rStyle w:val="normaltextrun"/>
        </w:rPr>
        <w:t>(16)</w:t>
      </w:r>
      <w:r w:rsidRPr="00D05784">
        <w:rPr>
          <w:rStyle w:val="normaltextrun"/>
        </w:rPr>
        <w:tab/>
      </w:r>
      <w:r w:rsidR="00917643" w:rsidRPr="002D52A1">
        <w:rPr>
          <w:rStyle w:val="normaltextrun"/>
          <w:noProof/>
          <w:color w:val="000000"/>
          <w:shd w:val="clear" w:color="auto" w:fill="FFFFFF"/>
        </w:rPr>
        <w:t xml:space="preserve">Ako vhodný nástroj na zabezpečenie ochrany nad rámec počiatočne splatených rezerv boli identifikované príspevky členských štátov vo forme záruk. Záruky členských štátov </w:t>
      </w:r>
      <w:r w:rsidR="00917643" w:rsidRPr="002D52A1">
        <w:rPr>
          <w:rStyle w:val="normaltextrun"/>
          <w:noProof/>
          <w:color w:val="000000" w:themeColor="text1"/>
        </w:rPr>
        <w:t>by sa mali poskytovať dobrovoľne</w:t>
      </w:r>
      <w:r w:rsidR="002D52A1">
        <w:rPr>
          <w:rStyle w:val="normaltextrun"/>
          <w:noProof/>
          <w:color w:val="000000" w:themeColor="text1"/>
        </w:rPr>
        <w:t xml:space="preserve"> a </w:t>
      </w:r>
      <w:r w:rsidR="00917643" w:rsidRPr="002D52A1">
        <w:rPr>
          <w:rStyle w:val="normaltextrun"/>
          <w:noProof/>
          <w:color w:val="000000" w:themeColor="text1"/>
        </w:rPr>
        <w:t xml:space="preserve">mali by </w:t>
      </w:r>
      <w:r w:rsidR="00917643" w:rsidRPr="002D52A1">
        <w:rPr>
          <w:rStyle w:val="normaltextrun"/>
          <w:noProof/>
          <w:color w:val="000000"/>
          <w:shd w:val="clear" w:color="auto" w:fill="FFFFFF"/>
        </w:rPr>
        <w:t>predstavovať vhodný zabezpečovací mechanizmus podporujúci rozpočet Únie, ak by sa</w:t>
      </w:r>
      <w:r w:rsidR="002D52A1">
        <w:rPr>
          <w:rStyle w:val="normaltextrun"/>
          <w:noProof/>
          <w:color w:val="000000"/>
          <w:shd w:val="clear" w:color="auto" w:fill="FFFFFF"/>
        </w:rPr>
        <w:t xml:space="preserve"> v </w:t>
      </w:r>
      <w:r w:rsidR="00917643" w:rsidRPr="002D52A1">
        <w:rPr>
          <w:noProof/>
          <w:color w:val="000000" w:themeColor="text1"/>
        </w:rPr>
        <w:t>súvislosti</w:t>
      </w:r>
      <w:r w:rsidR="002D52A1">
        <w:rPr>
          <w:noProof/>
          <w:color w:val="000000" w:themeColor="text1"/>
        </w:rPr>
        <w:t xml:space="preserve"> s </w:t>
      </w:r>
      <w:r w:rsidR="00917643" w:rsidRPr="002D52A1">
        <w:rPr>
          <w:noProof/>
          <w:color w:val="000000" w:themeColor="text1"/>
        </w:rPr>
        <w:t>finančnými záväzkami podľa tohto rozhodnutia</w:t>
      </w:r>
      <w:r w:rsidR="002D52A1">
        <w:rPr>
          <w:noProof/>
          <w:color w:val="000000" w:themeColor="text1"/>
        </w:rPr>
        <w:t xml:space="preserve"> a </w:t>
      </w:r>
      <w:r w:rsidR="00917643" w:rsidRPr="002D52A1">
        <w:rPr>
          <w:noProof/>
          <w:color w:val="000000" w:themeColor="text1"/>
        </w:rPr>
        <w:t>rozhodnutia (EÚ) 2022/1201 vyčerpali rezervy</w:t>
      </w:r>
      <w:r w:rsidR="002D52A1">
        <w:rPr>
          <w:noProof/>
          <w:color w:val="000000" w:themeColor="text1"/>
        </w:rPr>
        <w:t xml:space="preserve"> v </w:t>
      </w:r>
      <w:r w:rsidR="00917643" w:rsidRPr="002D52A1">
        <w:rPr>
          <w:noProof/>
          <w:color w:val="000000" w:themeColor="text1"/>
        </w:rPr>
        <w:t>spoločnom rezervnom fonde (SRF)</w:t>
      </w:r>
      <w:r w:rsidR="00917643" w:rsidRPr="002D52A1">
        <w:rPr>
          <w:rStyle w:val="normaltextrun"/>
          <w:noProof/>
          <w:color w:val="000000"/>
          <w:shd w:val="clear" w:color="auto" w:fill="FFFFFF"/>
        </w:rPr>
        <w:t>. Odchylne od článku 211 ods. 1 prvého pododseku nariadenia</w:t>
      </w:r>
      <w:r w:rsidR="002D52A1">
        <w:rPr>
          <w:rStyle w:val="normaltextrun"/>
          <w:noProof/>
          <w:color w:val="000000"/>
          <w:shd w:val="clear" w:color="auto" w:fill="FFFFFF"/>
        </w:rPr>
        <w:t xml:space="preserve"> o </w:t>
      </w:r>
      <w:r w:rsidR="00917643" w:rsidRPr="002D52A1">
        <w:rPr>
          <w:rStyle w:val="normaltextrun"/>
          <w:noProof/>
          <w:color w:val="000000"/>
          <w:shd w:val="clear" w:color="auto" w:fill="FFFFFF"/>
        </w:rPr>
        <w:t>rozpočtových pravidlách by sa príspevky</w:t>
      </w:r>
      <w:r w:rsidR="002D52A1">
        <w:rPr>
          <w:rStyle w:val="normaltextrun"/>
          <w:noProof/>
          <w:color w:val="000000"/>
          <w:shd w:val="clear" w:color="auto" w:fill="FFFFFF"/>
        </w:rPr>
        <w:t xml:space="preserve"> v </w:t>
      </w:r>
      <w:r w:rsidR="00917643" w:rsidRPr="002D52A1">
        <w:rPr>
          <w:rStyle w:val="normaltextrun"/>
          <w:noProof/>
          <w:color w:val="000000"/>
          <w:shd w:val="clear" w:color="auto" w:fill="FFFFFF"/>
        </w:rPr>
        <w:t>rámci týchto záruk mali zahrnúť do sumy schváleného finančného záväzku. Uvedené sumy by sa mali zohľadniť pri výpočte tvorby rezerv vyplývajúcej</w:t>
      </w:r>
      <w:r w:rsidR="002D52A1">
        <w:rPr>
          <w:rStyle w:val="normaltextrun"/>
          <w:noProof/>
          <w:color w:val="000000"/>
          <w:shd w:val="clear" w:color="auto" w:fill="FFFFFF"/>
        </w:rPr>
        <w:t xml:space="preserve"> z </w:t>
      </w:r>
      <w:r w:rsidR="00917643" w:rsidRPr="002D52A1">
        <w:rPr>
          <w:rStyle w:val="normaltextrun"/>
          <w:noProof/>
          <w:color w:val="000000"/>
          <w:shd w:val="clear" w:color="auto" w:fill="FFFFFF"/>
        </w:rPr>
        <w:t>miery tvorby rezerv uvedenej</w:t>
      </w:r>
      <w:r w:rsidR="002D52A1">
        <w:rPr>
          <w:rStyle w:val="normaltextrun"/>
          <w:noProof/>
          <w:color w:val="000000"/>
          <w:shd w:val="clear" w:color="auto" w:fill="FFFFFF"/>
        </w:rPr>
        <w:t xml:space="preserve"> v </w:t>
      </w:r>
      <w:r w:rsidR="00917643" w:rsidRPr="002D52A1">
        <w:rPr>
          <w:rStyle w:val="normaltextrun"/>
          <w:noProof/>
          <w:color w:val="000000"/>
          <w:shd w:val="clear" w:color="auto" w:fill="FFFFFF"/>
        </w:rPr>
        <w:t>článku 211 ods. 1 nariadenia</w:t>
      </w:r>
      <w:r w:rsidR="002D52A1">
        <w:rPr>
          <w:rStyle w:val="normaltextrun"/>
          <w:noProof/>
          <w:color w:val="000000"/>
          <w:shd w:val="clear" w:color="auto" w:fill="FFFFFF"/>
        </w:rPr>
        <w:t xml:space="preserve"> o </w:t>
      </w:r>
      <w:r w:rsidR="00917643" w:rsidRPr="002D52A1">
        <w:rPr>
          <w:rStyle w:val="normaltextrun"/>
          <w:noProof/>
          <w:color w:val="000000"/>
          <w:shd w:val="clear" w:color="auto" w:fill="FFFFFF"/>
        </w:rPr>
        <w:t>rozpočtových pravidlách, odchylne od článku 211 ods. 4 druhého pododseku nariadenia</w:t>
      </w:r>
      <w:r w:rsidR="002D52A1">
        <w:rPr>
          <w:rStyle w:val="normaltextrun"/>
          <w:noProof/>
          <w:color w:val="000000"/>
          <w:shd w:val="clear" w:color="auto" w:fill="FFFFFF"/>
        </w:rPr>
        <w:t xml:space="preserve"> o </w:t>
      </w:r>
      <w:r w:rsidR="00917643" w:rsidRPr="002D52A1">
        <w:rPr>
          <w:rStyle w:val="normaltextrun"/>
          <w:noProof/>
          <w:color w:val="000000"/>
          <w:shd w:val="clear" w:color="auto" w:fill="FFFFFF"/>
        </w:rPr>
        <w:t>rozpočtových pravidlách</w:t>
      </w:r>
      <w:r w:rsidR="002D52A1" w:rsidRPr="002D52A1">
        <w:rPr>
          <w:rStyle w:val="normaltextrun"/>
          <w:noProof/>
          <w:color w:val="000000"/>
          <w:shd w:val="clear" w:color="auto" w:fill="FFFFFF"/>
        </w:rPr>
        <w:t>.</w:t>
      </w:r>
    </w:p>
    <w:p w14:paraId="5C4AD745" w14:textId="1A4D6FA0" w:rsidR="00681971" w:rsidRPr="002D52A1" w:rsidRDefault="00D05784" w:rsidP="00D05784">
      <w:pPr>
        <w:pStyle w:val="ManualConsidrant"/>
        <w:rPr>
          <w:rFonts w:eastAsiaTheme="minorEastAsia"/>
          <w:noProof/>
        </w:rPr>
      </w:pPr>
      <w:r w:rsidRPr="00D05784">
        <w:t>(17)</w:t>
      </w:r>
      <w:r w:rsidRPr="00D05784">
        <w:tab/>
      </w:r>
      <w:r w:rsidR="4C1E1A58" w:rsidRPr="002D52A1">
        <w:rPr>
          <w:noProof/>
        </w:rPr>
        <w:t>Záruky poskytované členskými štátmi by mali pokryť úver výnimočnej makrofinančnej pomoci podľa tohto rozhodnutia</w:t>
      </w:r>
      <w:r w:rsidR="002D52A1" w:rsidRPr="002D52A1">
        <w:rPr>
          <w:noProof/>
        </w:rPr>
        <w:t xml:space="preserve"> a </w:t>
      </w:r>
      <w:r w:rsidR="4C1E1A58" w:rsidRPr="002D52A1">
        <w:rPr>
          <w:noProof/>
        </w:rPr>
        <w:t>úver výnimočnej makrofinančnej pomoci vo výške 1 mld. EUR podľa rozhodnutia (EÚ) 2022/1201. Mali by byť neodvolateľné, bezpodmienečné</w:t>
      </w:r>
      <w:r w:rsidR="002D52A1" w:rsidRPr="002D52A1">
        <w:rPr>
          <w:noProof/>
        </w:rPr>
        <w:t xml:space="preserve"> a </w:t>
      </w:r>
      <w:r w:rsidR="4C1E1A58" w:rsidRPr="002D52A1">
        <w:rPr>
          <w:noProof/>
        </w:rPr>
        <w:t>dostupné na požiadanie. Týmito zárukami by sa mala zabezpečiť schopnosť Únie splácať finančné prostriedky vypožičané na kapitálových trhoch alebo od finančných inštitúcií.</w:t>
      </w:r>
      <w:r w:rsidR="002D52A1" w:rsidRPr="002D52A1">
        <w:rPr>
          <w:noProof/>
        </w:rPr>
        <w:t xml:space="preserve"> K </w:t>
      </w:r>
      <w:r w:rsidR="4C1E1A58" w:rsidRPr="002D52A1">
        <w:rPr>
          <w:noProof/>
        </w:rPr>
        <w:t>výzvam na plnenie</w:t>
      </w:r>
      <w:r w:rsidR="002D52A1" w:rsidRPr="002D52A1">
        <w:rPr>
          <w:noProof/>
        </w:rPr>
        <w:t xml:space="preserve"> z </w:t>
      </w:r>
      <w:r w:rsidR="4C1E1A58" w:rsidRPr="002D52A1">
        <w:rPr>
          <w:noProof/>
        </w:rPr>
        <w:t>nich by malo dôjsť len vtedy, keď sa splnia prísne podmienky</w:t>
      </w:r>
      <w:r w:rsidR="002D52A1" w:rsidRPr="002D52A1">
        <w:rPr>
          <w:noProof/>
        </w:rPr>
        <w:t xml:space="preserve"> v </w:t>
      </w:r>
      <w:r w:rsidR="4C1E1A58" w:rsidRPr="002D52A1">
        <w:rPr>
          <w:noProof/>
        </w:rPr>
        <w:t>súvislosti</w:t>
      </w:r>
      <w:r w:rsidR="002D52A1" w:rsidRPr="002D52A1">
        <w:rPr>
          <w:noProof/>
        </w:rPr>
        <w:t xml:space="preserve"> s </w:t>
      </w:r>
      <w:r w:rsidR="4C1E1A58" w:rsidRPr="002D52A1">
        <w:rPr>
          <w:noProof/>
        </w:rPr>
        <w:t>adekvátnosťou dostupných rezerv,</w:t>
      </w:r>
      <w:r w:rsidR="002D52A1" w:rsidRPr="002D52A1">
        <w:rPr>
          <w:noProof/>
        </w:rPr>
        <w:t xml:space="preserve"> a v </w:t>
      </w:r>
      <w:r w:rsidR="4C1E1A58" w:rsidRPr="002D52A1">
        <w:rPr>
          <w:noProof/>
        </w:rPr>
        <w:t>prípade, že by Ukrajina nesplácala Únii splátky úverov makrofinančnej pomoci poskytnutých podľa tohto rozhodnutia</w:t>
      </w:r>
      <w:r w:rsidR="002D52A1" w:rsidRPr="002D52A1">
        <w:rPr>
          <w:noProof/>
        </w:rPr>
        <w:t xml:space="preserve"> a </w:t>
      </w:r>
      <w:r w:rsidR="4C1E1A58" w:rsidRPr="002D52A1">
        <w:rPr>
          <w:noProof/>
        </w:rPr>
        <w:t>rozhodnutia (EÚ) 2022/1201 včas na to, aby si mohla Únia splniť svoje finančné záväzky</w:t>
      </w:r>
      <w:r w:rsidR="002D52A1" w:rsidRPr="002D52A1">
        <w:rPr>
          <w:noProof/>
        </w:rPr>
        <w:t xml:space="preserve"> z </w:t>
      </w:r>
      <w:r w:rsidR="4C1E1A58" w:rsidRPr="002D52A1">
        <w:rPr>
          <w:noProof/>
        </w:rPr>
        <w:t>dlhopisov, alebo</w:t>
      </w:r>
      <w:r w:rsidR="002D52A1" w:rsidRPr="002D52A1">
        <w:rPr>
          <w:noProof/>
        </w:rPr>
        <w:t xml:space="preserve"> v </w:t>
      </w:r>
      <w:r w:rsidR="4C1E1A58" w:rsidRPr="002D52A1">
        <w:rPr>
          <w:noProof/>
        </w:rPr>
        <w:t>prípade, že by sa mal upraviť harmonogram splácania úverov poskytnutých podľa tohto rozhodnutia</w:t>
      </w:r>
      <w:r w:rsidR="002D52A1" w:rsidRPr="002D52A1">
        <w:rPr>
          <w:noProof/>
        </w:rPr>
        <w:t xml:space="preserve"> a </w:t>
      </w:r>
      <w:r w:rsidR="4C1E1A58" w:rsidRPr="002D52A1">
        <w:rPr>
          <w:noProof/>
        </w:rPr>
        <w:t>rozhodnutia (EÚ) 2022/1201. Výzva na plnenie zo záruky členských štátov by sa mala vzťahovať na sumu zodpovedajúcu sume vyplývajúcej zo strát</w:t>
      </w:r>
      <w:r w:rsidR="002D52A1" w:rsidRPr="002D52A1">
        <w:rPr>
          <w:noProof/>
        </w:rPr>
        <w:t xml:space="preserve"> z </w:t>
      </w:r>
      <w:r w:rsidR="4C1E1A58" w:rsidRPr="002D52A1">
        <w:rPr>
          <w:noProof/>
        </w:rPr>
        <w:t>finančnej pomoci Ukrajine podľa tohto rozhodnutia</w:t>
      </w:r>
      <w:r w:rsidR="002D52A1" w:rsidRPr="002D52A1">
        <w:rPr>
          <w:noProof/>
        </w:rPr>
        <w:t xml:space="preserve"> a </w:t>
      </w:r>
      <w:r w:rsidR="4C1E1A58" w:rsidRPr="002D52A1">
        <w:rPr>
          <w:noProof/>
        </w:rPr>
        <w:t>rozhodnutia (EÚ) 2022/1201</w:t>
      </w:r>
      <w:r w:rsidR="002D52A1" w:rsidRPr="002D52A1">
        <w:rPr>
          <w:noProof/>
        </w:rPr>
        <w:t xml:space="preserve"> a </w:t>
      </w:r>
      <w:r w:rsidR="4C1E1A58" w:rsidRPr="002D52A1">
        <w:rPr>
          <w:noProof/>
        </w:rPr>
        <w:t>potrebnej na doplnenie spoločného rezervného fondu na požadovanú úroveň splatených rezerv. Výzvy na plnenie zo záruky členských štátov by sa mali uplatniť až potom, čo bola alebo má byť vyčerpaná suma počiatočnej tvorby rezerv vyčlenená</w:t>
      </w:r>
      <w:r w:rsidR="002D52A1" w:rsidRPr="002D52A1">
        <w:rPr>
          <w:noProof/>
        </w:rPr>
        <w:t xml:space="preserve"> v </w:t>
      </w:r>
      <w:r w:rsidR="4C1E1A58" w:rsidRPr="002D52A1">
        <w:rPr>
          <w:noProof/>
        </w:rPr>
        <w:t>súvislosti</w:t>
      </w:r>
      <w:r w:rsidR="002D52A1" w:rsidRPr="002D52A1">
        <w:rPr>
          <w:noProof/>
        </w:rPr>
        <w:t xml:space="preserve"> s </w:t>
      </w:r>
      <w:r w:rsidR="4C1E1A58" w:rsidRPr="002D52A1">
        <w:rPr>
          <w:noProof/>
        </w:rPr>
        <w:t>makrofinančnou pomocou podľa tohto rozhodnutia</w:t>
      </w:r>
      <w:r w:rsidR="002D52A1" w:rsidRPr="002D52A1">
        <w:rPr>
          <w:noProof/>
        </w:rPr>
        <w:t xml:space="preserve"> a </w:t>
      </w:r>
      <w:r w:rsidR="4C1E1A58" w:rsidRPr="002D52A1">
        <w:rPr>
          <w:noProof/>
        </w:rPr>
        <w:t>rozhodnutia (EÚ) 2022/1201. Sumy vymožené</w:t>
      </w:r>
      <w:r w:rsidR="002D52A1" w:rsidRPr="002D52A1">
        <w:rPr>
          <w:noProof/>
        </w:rPr>
        <w:t xml:space="preserve"> v </w:t>
      </w:r>
      <w:r w:rsidR="4C1E1A58" w:rsidRPr="002D52A1">
        <w:rPr>
          <w:noProof/>
        </w:rPr>
        <w:t>rámci dohôd</w:t>
      </w:r>
      <w:r w:rsidR="002D52A1" w:rsidRPr="002D52A1">
        <w:rPr>
          <w:noProof/>
        </w:rPr>
        <w:t xml:space="preserve"> o </w:t>
      </w:r>
      <w:r w:rsidR="4C1E1A58" w:rsidRPr="002D52A1">
        <w:rPr>
          <w:noProof/>
        </w:rPr>
        <w:t>úvere</w:t>
      </w:r>
      <w:r w:rsidR="002D52A1" w:rsidRPr="002D52A1">
        <w:rPr>
          <w:noProof/>
        </w:rPr>
        <w:t xml:space="preserve"> v </w:t>
      </w:r>
      <w:r w:rsidR="4C1E1A58" w:rsidRPr="002D52A1">
        <w:rPr>
          <w:noProof/>
        </w:rPr>
        <w:t>súvislosti</w:t>
      </w:r>
      <w:r w:rsidR="002D52A1" w:rsidRPr="002D52A1">
        <w:rPr>
          <w:noProof/>
        </w:rPr>
        <w:t xml:space="preserve"> s </w:t>
      </w:r>
      <w:r w:rsidR="4C1E1A58" w:rsidRPr="002D52A1">
        <w:rPr>
          <w:noProof/>
        </w:rPr>
        <w:t>finančnou pomocou Ukrajine podľa tohto rozhodnutia</w:t>
      </w:r>
      <w:r w:rsidR="002D52A1" w:rsidRPr="002D52A1">
        <w:rPr>
          <w:noProof/>
        </w:rPr>
        <w:t xml:space="preserve"> a </w:t>
      </w:r>
      <w:r w:rsidR="4C1E1A58" w:rsidRPr="002D52A1">
        <w:rPr>
          <w:noProof/>
        </w:rPr>
        <w:t>rozhodnutia (EÚ) 2022/1201 by sa mali odchylne od článku 211 ods. 4 písm. c) nariadenia</w:t>
      </w:r>
      <w:r w:rsidR="002D52A1" w:rsidRPr="002D52A1">
        <w:rPr>
          <w:noProof/>
        </w:rPr>
        <w:t xml:space="preserve"> o </w:t>
      </w:r>
      <w:r w:rsidR="4C1E1A58" w:rsidRPr="002D52A1">
        <w:rPr>
          <w:noProof/>
        </w:rPr>
        <w:t>rozpočtových pravidlách vrátiť členským štátom, ktoré splnili výzvy na plnenie zo záruky.</w:t>
      </w:r>
    </w:p>
    <w:p w14:paraId="0539A026" w14:textId="43010C9B" w:rsidR="002D52A1" w:rsidRPr="002D52A1" w:rsidRDefault="00D05784" w:rsidP="00D05784">
      <w:pPr>
        <w:pStyle w:val="ManualConsidrant"/>
        <w:rPr>
          <w:noProof/>
        </w:rPr>
      </w:pPr>
      <w:r w:rsidRPr="00D05784">
        <w:t>(18)</w:t>
      </w:r>
      <w:r w:rsidRPr="00D05784">
        <w:tab/>
      </w:r>
      <w:r w:rsidR="0420B2CC" w:rsidRPr="002D52A1">
        <w:rPr>
          <w:noProof/>
        </w:rPr>
        <w:t>V prípade, že sa na vyplatenie finančných záväzkov Únie vyplývajúcich</w:t>
      </w:r>
      <w:r w:rsidR="002D52A1">
        <w:rPr>
          <w:noProof/>
        </w:rPr>
        <w:t xml:space="preserve"> z </w:t>
      </w:r>
      <w:r w:rsidR="0420B2CC" w:rsidRPr="002D52A1">
        <w:rPr>
          <w:noProof/>
        </w:rPr>
        <w:t>dlhopisov na makrofinančnú pomoc Ukrajine podľa tohto rozhodnutia</w:t>
      </w:r>
      <w:r w:rsidR="002D52A1">
        <w:rPr>
          <w:noProof/>
        </w:rPr>
        <w:t xml:space="preserve"> a </w:t>
      </w:r>
      <w:r w:rsidR="0420B2CC" w:rsidRPr="002D52A1">
        <w:rPr>
          <w:noProof/>
        </w:rPr>
        <w:t>rozhodnutia (EÚ) 2022/1201 dočasne čerpalo</w:t>
      </w:r>
      <w:r w:rsidR="002D52A1">
        <w:rPr>
          <w:noProof/>
        </w:rPr>
        <w:t xml:space="preserve"> z </w:t>
      </w:r>
      <w:r w:rsidR="0420B2CC" w:rsidRPr="002D52A1">
        <w:rPr>
          <w:noProof/>
        </w:rPr>
        <w:t>rezerv vyčlenených</w:t>
      </w:r>
      <w:r w:rsidR="002D52A1">
        <w:rPr>
          <w:noProof/>
        </w:rPr>
        <w:t xml:space="preserve"> v </w:t>
      </w:r>
      <w:r w:rsidR="0420B2CC" w:rsidRPr="002D52A1">
        <w:rPr>
          <w:noProof/>
        </w:rPr>
        <w:t>spoločnom rezervnom fonde na krytie iných finančných záväzkov Únie, mohla by sa využiť výzva na plnenie zo záruky členských štátov</w:t>
      </w:r>
      <w:r w:rsidR="002D52A1">
        <w:rPr>
          <w:noProof/>
        </w:rPr>
        <w:t xml:space="preserve"> s </w:t>
      </w:r>
      <w:r w:rsidR="0420B2CC" w:rsidRPr="002D52A1">
        <w:rPr>
          <w:noProof/>
        </w:rPr>
        <w:t>cieľom doplniť tvorbu rezerv na uvedené finančné záväzky</w:t>
      </w:r>
      <w:r w:rsidR="002D52A1" w:rsidRPr="002D52A1">
        <w:rPr>
          <w:noProof/>
        </w:rPr>
        <w:t>.</w:t>
      </w:r>
    </w:p>
    <w:p w14:paraId="1396AF1C" w14:textId="3981C8CC" w:rsidR="00681971" w:rsidRPr="002D52A1" w:rsidRDefault="00D05784" w:rsidP="00D05784">
      <w:pPr>
        <w:pStyle w:val="ManualConsidrant"/>
        <w:rPr>
          <w:rFonts w:eastAsiaTheme="minorEastAsia"/>
          <w:noProof/>
          <w:szCs w:val="24"/>
        </w:rPr>
      </w:pPr>
      <w:r w:rsidRPr="00D05784">
        <w:t>(19)</w:t>
      </w:r>
      <w:r w:rsidRPr="00D05784">
        <w:tab/>
      </w:r>
      <w:r w:rsidR="2E51F5CD" w:rsidRPr="002D52A1">
        <w:rPr>
          <w:noProof/>
        </w:rPr>
        <w:t>Vzhľadom na výnimočnú povahu makrofinančnej pomoci krytej zárukami je vhodné spravovať rezervy držané na finančné záväzky vyplývajúce</w:t>
      </w:r>
      <w:r w:rsidR="002D52A1" w:rsidRPr="002D52A1">
        <w:rPr>
          <w:noProof/>
        </w:rPr>
        <w:t xml:space="preserve"> z </w:t>
      </w:r>
      <w:r w:rsidR="2E51F5CD" w:rsidRPr="002D52A1">
        <w:rPr>
          <w:noProof/>
        </w:rPr>
        <w:t>makrofinančnej pomoci podľa tohto rozhodnutia</w:t>
      </w:r>
      <w:r w:rsidR="002D52A1" w:rsidRPr="002D52A1">
        <w:rPr>
          <w:noProof/>
        </w:rPr>
        <w:t xml:space="preserve"> a </w:t>
      </w:r>
      <w:r w:rsidR="2E51F5CD" w:rsidRPr="002D52A1">
        <w:rPr>
          <w:noProof/>
        </w:rPr>
        <w:t>rozhodnutia (EÚ) 2022/1201</w:t>
      </w:r>
      <w:r w:rsidR="002D52A1" w:rsidRPr="002D52A1">
        <w:rPr>
          <w:noProof/>
        </w:rPr>
        <w:t xml:space="preserve"> a </w:t>
      </w:r>
      <w:r w:rsidR="2E51F5CD" w:rsidRPr="002D52A1">
        <w:rPr>
          <w:noProof/>
        </w:rPr>
        <w:t>na akékoľvek vyplatenie úverov zaručených podľa rozhodnutia Európskeho parlamentu</w:t>
      </w:r>
      <w:r w:rsidR="002D52A1" w:rsidRPr="002D52A1">
        <w:rPr>
          <w:noProof/>
        </w:rPr>
        <w:t xml:space="preserve"> a </w:t>
      </w:r>
      <w:r w:rsidR="2E51F5CD" w:rsidRPr="002D52A1">
        <w:rPr>
          <w:noProof/>
        </w:rPr>
        <w:t xml:space="preserve">Rady </w:t>
      </w:r>
      <w:r w:rsidR="002D52A1" w:rsidRPr="002D52A1">
        <w:rPr>
          <w:noProof/>
        </w:rPr>
        <w:t>č. </w:t>
      </w:r>
      <w:r w:rsidR="2E51F5CD" w:rsidRPr="002D52A1">
        <w:rPr>
          <w:noProof/>
        </w:rPr>
        <w:t>466/2014/EÚ</w:t>
      </w:r>
      <w:r w:rsidR="2E51F5CD" w:rsidRPr="002D52A1">
        <w:rPr>
          <w:rStyle w:val="FootnoteReference"/>
          <w:noProof/>
          <w:spacing w:val="-4"/>
        </w:rPr>
        <w:footnoteReference w:id="24"/>
      </w:r>
      <w:r w:rsidR="2E51F5CD" w:rsidRPr="002D52A1">
        <w:rPr>
          <w:noProof/>
        </w:rPr>
        <w:t xml:space="preserve"> po 15. júli 2022 oddelene od ostatných finančných záväzkov</w:t>
      </w:r>
      <w:r w:rsidR="002D52A1" w:rsidRPr="002D52A1">
        <w:rPr>
          <w:noProof/>
        </w:rPr>
        <w:t xml:space="preserve"> v </w:t>
      </w:r>
      <w:r w:rsidR="2E51F5CD" w:rsidRPr="002D52A1">
        <w:rPr>
          <w:noProof/>
        </w:rPr>
        <w:t>rámci záruky pre vonkajšiu činnosť</w:t>
      </w:r>
      <w:r w:rsidR="002D52A1" w:rsidRPr="002D52A1">
        <w:rPr>
          <w:noProof/>
        </w:rPr>
        <w:t xml:space="preserve"> a </w:t>
      </w:r>
      <w:r w:rsidR="2E51F5CD" w:rsidRPr="002D52A1">
        <w:rPr>
          <w:noProof/>
        </w:rPr>
        <w:t>Garančného fondu pre vonkajšie opatrenia. Navrhuje sa preto namiesto uplatnenia všeobecného pravidla stanoveného</w:t>
      </w:r>
      <w:r w:rsidR="002D52A1" w:rsidRPr="002D52A1">
        <w:rPr>
          <w:noProof/>
        </w:rPr>
        <w:t xml:space="preserve"> v </w:t>
      </w:r>
      <w:r w:rsidR="2E51F5CD" w:rsidRPr="002D52A1">
        <w:rPr>
          <w:noProof/>
        </w:rPr>
        <w:t>článku 31 ods. 6 nariadenia</w:t>
      </w:r>
      <w:r w:rsidR="002D52A1" w:rsidRPr="002D52A1">
        <w:rPr>
          <w:noProof/>
        </w:rPr>
        <w:t xml:space="preserve"> o </w:t>
      </w:r>
      <w:r w:rsidR="2E51F5CD" w:rsidRPr="002D52A1">
        <w:rPr>
          <w:noProof/>
        </w:rPr>
        <w:t>NDICI – Globálna Európa</w:t>
      </w:r>
      <w:r w:rsidR="2E51F5CD" w:rsidRPr="002D52A1">
        <w:rPr>
          <w:rStyle w:val="FootnoteReference"/>
          <w:noProof/>
          <w:spacing w:val="-4"/>
        </w:rPr>
        <w:footnoteReference w:id="25"/>
      </w:r>
      <w:r w:rsidR="2E51F5CD" w:rsidRPr="002D52A1">
        <w:rPr>
          <w:noProof/>
        </w:rPr>
        <w:t xml:space="preserve"> použiť rezervy vyčlenené</w:t>
      </w:r>
      <w:r w:rsidR="002D52A1" w:rsidRPr="002D52A1">
        <w:rPr>
          <w:noProof/>
        </w:rPr>
        <w:t xml:space="preserve"> v </w:t>
      </w:r>
      <w:r w:rsidR="2E51F5CD" w:rsidRPr="002D52A1">
        <w:rPr>
          <w:noProof/>
        </w:rPr>
        <w:t>spoločnom rezervnom fonde výlučne na finančné záväzky</w:t>
      </w:r>
      <w:r w:rsidR="002D52A1" w:rsidRPr="002D52A1">
        <w:rPr>
          <w:noProof/>
        </w:rPr>
        <w:t xml:space="preserve"> z </w:t>
      </w:r>
      <w:r w:rsidR="2E51F5CD" w:rsidRPr="002D52A1">
        <w:rPr>
          <w:noProof/>
        </w:rPr>
        <w:t>makrofinančnej pomoci, na ktorú sa vzťahuje toto rozhodnutie</w:t>
      </w:r>
      <w:r w:rsidR="002D52A1" w:rsidRPr="002D52A1">
        <w:rPr>
          <w:noProof/>
        </w:rPr>
        <w:t xml:space="preserve"> a </w:t>
      </w:r>
      <w:r w:rsidR="2E51F5CD" w:rsidRPr="002D52A1">
        <w:rPr>
          <w:noProof/>
        </w:rPr>
        <w:t>rozhodnutie (EÚ) 2022/1201. Takisto sa navrhuje použiť rezervy vyčlenené</w:t>
      </w:r>
      <w:r w:rsidR="002D52A1" w:rsidRPr="002D52A1">
        <w:rPr>
          <w:noProof/>
        </w:rPr>
        <w:t xml:space="preserve"> v </w:t>
      </w:r>
      <w:r w:rsidR="2E51F5CD" w:rsidRPr="002D52A1">
        <w:rPr>
          <w:noProof/>
        </w:rPr>
        <w:t>spoločnom rezervnom fonde</w:t>
      </w:r>
      <w:r w:rsidR="002D52A1" w:rsidRPr="002D52A1">
        <w:rPr>
          <w:noProof/>
        </w:rPr>
        <w:t xml:space="preserve"> v </w:t>
      </w:r>
      <w:r w:rsidR="2E51F5CD" w:rsidRPr="002D52A1">
        <w:rPr>
          <w:noProof/>
        </w:rPr>
        <w:t>súvislosti</w:t>
      </w:r>
      <w:r w:rsidR="002D52A1" w:rsidRPr="002D52A1">
        <w:rPr>
          <w:noProof/>
        </w:rPr>
        <w:t xml:space="preserve"> s </w:t>
      </w:r>
      <w:r w:rsidR="2E51F5CD" w:rsidRPr="002D52A1">
        <w:rPr>
          <w:noProof/>
        </w:rPr>
        <w:t xml:space="preserve">úvermi zaručenými podľa rozhodnutia </w:t>
      </w:r>
      <w:r w:rsidR="002D52A1" w:rsidRPr="002D52A1">
        <w:rPr>
          <w:noProof/>
        </w:rPr>
        <w:t>č. </w:t>
      </w:r>
      <w:r w:rsidR="2E51F5CD" w:rsidRPr="002D52A1">
        <w:rPr>
          <w:noProof/>
        </w:rPr>
        <w:t>466/2014/EÚ vyplatenými po 15. júli 2022 výlučne na finančné záväzky</w:t>
      </w:r>
      <w:r w:rsidR="002D52A1" w:rsidRPr="002D52A1">
        <w:rPr>
          <w:noProof/>
        </w:rPr>
        <w:t xml:space="preserve"> z </w:t>
      </w:r>
      <w:r w:rsidR="2E51F5CD" w:rsidRPr="002D52A1">
        <w:rPr>
          <w:noProof/>
        </w:rPr>
        <w:t>uvedených úverov</w:t>
      </w:r>
      <w:r w:rsidR="002D52A1" w:rsidRPr="002D52A1">
        <w:rPr>
          <w:noProof/>
        </w:rPr>
        <w:t xml:space="preserve"> a </w:t>
      </w:r>
      <w:r w:rsidR="2E51F5CD" w:rsidRPr="002D52A1">
        <w:rPr>
          <w:noProof/>
        </w:rPr>
        <w:t>namiesto uplatnenia všeobecného pravidla stanoveného</w:t>
      </w:r>
      <w:r w:rsidR="002D52A1" w:rsidRPr="002D52A1">
        <w:rPr>
          <w:noProof/>
        </w:rPr>
        <w:t xml:space="preserve"> v </w:t>
      </w:r>
      <w:r w:rsidR="2E51F5CD" w:rsidRPr="002D52A1">
        <w:rPr>
          <w:noProof/>
        </w:rPr>
        <w:t>článku 31 ods. 8 nariadenia</w:t>
      </w:r>
      <w:r w:rsidR="002D52A1" w:rsidRPr="002D52A1">
        <w:rPr>
          <w:noProof/>
        </w:rPr>
        <w:t xml:space="preserve"> o </w:t>
      </w:r>
      <w:r w:rsidR="2E51F5CD" w:rsidRPr="002D52A1">
        <w:rPr>
          <w:noProof/>
        </w:rPr>
        <w:t>NDICI – Globálna Európa uplatňovať na tvorbu rezerv pravidlá nariadenia</w:t>
      </w:r>
      <w:r w:rsidR="002D52A1" w:rsidRPr="002D52A1">
        <w:rPr>
          <w:noProof/>
        </w:rPr>
        <w:t xml:space="preserve"> o </w:t>
      </w:r>
      <w:r w:rsidR="2E51F5CD" w:rsidRPr="002D52A1">
        <w:rPr>
          <w:noProof/>
        </w:rPr>
        <w:t>rozpočtových pravidlách. Toto by sa malo doplniť</w:t>
      </w:r>
      <w:r w:rsidR="002D52A1" w:rsidRPr="002D52A1">
        <w:rPr>
          <w:noProof/>
        </w:rPr>
        <w:t xml:space="preserve"> o </w:t>
      </w:r>
      <w:r w:rsidR="2E51F5CD" w:rsidRPr="002D52A1">
        <w:rPr>
          <w:noProof/>
        </w:rPr>
        <w:t>vylúčenie rezerv vyčlenených</w:t>
      </w:r>
      <w:r w:rsidR="002D52A1" w:rsidRPr="002D52A1">
        <w:rPr>
          <w:noProof/>
        </w:rPr>
        <w:t xml:space="preserve"> v </w:t>
      </w:r>
      <w:r w:rsidR="2E51F5CD" w:rsidRPr="002D52A1">
        <w:rPr>
          <w:noProof/>
        </w:rPr>
        <w:t>súvislosti</w:t>
      </w:r>
      <w:r w:rsidR="002D52A1" w:rsidRPr="002D52A1">
        <w:rPr>
          <w:noProof/>
        </w:rPr>
        <w:t xml:space="preserve"> s </w:t>
      </w:r>
      <w:r w:rsidR="2E51F5CD" w:rsidRPr="002D52A1">
        <w:rPr>
          <w:noProof/>
        </w:rPr>
        <w:t>touto makrofinančnou pomocou</w:t>
      </w:r>
      <w:r w:rsidR="002D52A1" w:rsidRPr="002D52A1">
        <w:rPr>
          <w:noProof/>
        </w:rPr>
        <w:t xml:space="preserve"> z </w:t>
      </w:r>
      <w:r w:rsidR="2E51F5CD" w:rsidRPr="002D52A1">
        <w:rPr>
          <w:noProof/>
        </w:rPr>
        <w:t>uplatňovania efektívnej miery tvorby rezerv odchylne od článku 213 nariadenia</w:t>
      </w:r>
      <w:r w:rsidR="002D52A1" w:rsidRPr="002D52A1">
        <w:rPr>
          <w:noProof/>
        </w:rPr>
        <w:t xml:space="preserve"> o </w:t>
      </w:r>
      <w:r w:rsidR="2E51F5CD" w:rsidRPr="002D52A1">
        <w:rPr>
          <w:noProof/>
        </w:rPr>
        <w:t>rozpočtových pravidlách.</w:t>
      </w:r>
    </w:p>
    <w:p w14:paraId="3042B6EB" w14:textId="6C2A9ACE" w:rsidR="002D52A1" w:rsidRPr="002D52A1" w:rsidRDefault="00D05784" w:rsidP="00D05784">
      <w:pPr>
        <w:pStyle w:val="ManualConsidrant"/>
        <w:rPr>
          <w:noProof/>
        </w:rPr>
      </w:pPr>
      <w:r w:rsidRPr="00D05784">
        <w:t>(20)</w:t>
      </w:r>
      <w:r w:rsidRPr="00D05784">
        <w:tab/>
      </w:r>
      <w:r w:rsidR="75AC9127" w:rsidRPr="002D52A1">
        <w:rPr>
          <w:noProof/>
        </w:rPr>
        <w:t>Pomerný podiel príspevkov jednotlivých členských štátov (kľúč na určenie príspevkov)</w:t>
      </w:r>
      <w:r w:rsidR="002D52A1">
        <w:rPr>
          <w:noProof/>
        </w:rPr>
        <w:t xml:space="preserve"> k </w:t>
      </w:r>
      <w:r w:rsidR="75AC9127" w:rsidRPr="002D52A1">
        <w:rPr>
          <w:noProof/>
        </w:rPr>
        <w:t>celkovej zaručenej sume by mal zodpovedať pomerným podielom členských štátov na celkovom hrubom národnom dôchodku Únie. Výzva na plnenie zo záruky by sa mala uplatniť pomerným dielom</w:t>
      </w:r>
      <w:r w:rsidR="002D52A1">
        <w:rPr>
          <w:noProof/>
        </w:rPr>
        <w:t xml:space="preserve"> a </w:t>
      </w:r>
      <w:r w:rsidR="75AC9127" w:rsidRPr="002D52A1">
        <w:rPr>
          <w:noProof/>
        </w:rPr>
        <w:t>na základe uvedeného kľúča na určenie príspevkov</w:t>
      </w:r>
      <w:r w:rsidR="002D52A1" w:rsidRPr="002D52A1">
        <w:rPr>
          <w:noProof/>
        </w:rPr>
        <w:t>.</w:t>
      </w:r>
    </w:p>
    <w:p w14:paraId="092CA632" w14:textId="2FDDD469" w:rsidR="002D52A1" w:rsidRPr="002D52A1" w:rsidRDefault="00D05784" w:rsidP="00D05784">
      <w:pPr>
        <w:pStyle w:val="ManualConsidrant"/>
        <w:rPr>
          <w:noProof/>
        </w:rPr>
      </w:pPr>
      <w:r w:rsidRPr="00D05784">
        <w:t>(21)</w:t>
      </w:r>
      <w:r w:rsidRPr="00D05784">
        <w:tab/>
      </w:r>
      <w:r w:rsidR="0E7EC911" w:rsidRPr="002D52A1">
        <w:rPr>
          <w:noProof/>
        </w:rPr>
        <w:t>Členské štáty by mali dokončiť svoje vnútroštátne postupy, aby mohli záruky nadobudnúť platnosť čo najskôr. Vzhľadom na naliehavosť situácie by čas potrebný na dokončenie týchto postupov nemal spôsobiť oneskorenie vyplatenia naliehavo potrebnej výnimočnej makrofinančnej pomoci Ukrajine podľa tohto rozhodnutia. Ďalšie úvery makrofinančnej pomoci podľa tohto rozhodnutia sa vybavia urýchlene po nadobudnutí účinnosti tohto rozhodnutia, prijatí memoranda</w:t>
      </w:r>
      <w:r w:rsidR="002D52A1">
        <w:rPr>
          <w:noProof/>
        </w:rPr>
        <w:t xml:space="preserve"> o </w:t>
      </w:r>
      <w:r w:rsidR="0E7EC911" w:rsidRPr="002D52A1">
        <w:rPr>
          <w:noProof/>
        </w:rPr>
        <w:t>porozumení</w:t>
      </w:r>
      <w:r w:rsidR="002D52A1">
        <w:rPr>
          <w:noProof/>
        </w:rPr>
        <w:t xml:space="preserve"> a </w:t>
      </w:r>
      <w:r w:rsidR="0E7EC911" w:rsidRPr="002D52A1">
        <w:rPr>
          <w:noProof/>
        </w:rPr>
        <w:t>podpísaní dohody</w:t>
      </w:r>
      <w:r w:rsidR="002D52A1">
        <w:rPr>
          <w:noProof/>
        </w:rPr>
        <w:t xml:space="preserve"> o </w:t>
      </w:r>
      <w:r w:rsidR="0E7EC911" w:rsidRPr="002D52A1">
        <w:rPr>
          <w:noProof/>
        </w:rPr>
        <w:t>úvere</w:t>
      </w:r>
      <w:r w:rsidR="002D52A1" w:rsidRPr="002D52A1">
        <w:rPr>
          <w:noProof/>
        </w:rPr>
        <w:t>.</w:t>
      </w:r>
    </w:p>
    <w:p w14:paraId="742CD5F5" w14:textId="604AC7BF" w:rsidR="002D52A1" w:rsidRPr="002D52A1" w:rsidRDefault="00D05784" w:rsidP="00D05784">
      <w:pPr>
        <w:pStyle w:val="ManualConsidrant"/>
        <w:rPr>
          <w:noProof/>
        </w:rPr>
      </w:pPr>
      <w:r w:rsidRPr="00D05784">
        <w:t>(22)</w:t>
      </w:r>
      <w:r w:rsidRPr="00D05784">
        <w:tab/>
      </w:r>
      <w:r w:rsidR="6F0B73B1" w:rsidRPr="002D52A1">
        <w:rPr>
          <w:noProof/>
        </w:rPr>
        <w:t>Vzhľadom na ťažkú situáciu Ukrajiny</w:t>
      </w:r>
      <w:r w:rsidR="002D52A1">
        <w:rPr>
          <w:noProof/>
        </w:rPr>
        <w:t xml:space="preserve"> v </w:t>
      </w:r>
      <w:r w:rsidR="6F0B73B1" w:rsidRPr="002D52A1">
        <w:rPr>
          <w:noProof/>
        </w:rPr>
        <w:t>dôsledku ruskej vojenskej agresie</w:t>
      </w:r>
      <w:r w:rsidR="002D52A1">
        <w:rPr>
          <w:noProof/>
        </w:rPr>
        <w:t xml:space="preserve"> a s </w:t>
      </w:r>
      <w:r w:rsidR="6F0B73B1" w:rsidRPr="002D52A1">
        <w:rPr>
          <w:noProof/>
        </w:rPr>
        <w:t>cieľom podporiť ju na ceste dlhodobej stability je vhodné odchýliť sa od článku 220 ods. 5 písm. e) nariadenia</w:t>
      </w:r>
      <w:r w:rsidR="002D52A1">
        <w:rPr>
          <w:noProof/>
        </w:rPr>
        <w:t xml:space="preserve"> o </w:t>
      </w:r>
      <w:r w:rsidR="6F0B73B1" w:rsidRPr="002D52A1">
        <w:rPr>
          <w:noProof/>
        </w:rPr>
        <w:t>rozpočtových pravidlách</w:t>
      </w:r>
      <w:r w:rsidR="002D52A1">
        <w:rPr>
          <w:noProof/>
        </w:rPr>
        <w:t xml:space="preserve"> a </w:t>
      </w:r>
      <w:r w:rsidR="6F0B73B1" w:rsidRPr="002D52A1">
        <w:rPr>
          <w:noProof/>
        </w:rPr>
        <w:t>umožniť, aby Únia mala možnosť kryť náklady na úrokovú sadzbu</w:t>
      </w:r>
      <w:r w:rsidR="002D52A1">
        <w:rPr>
          <w:noProof/>
        </w:rPr>
        <w:t xml:space="preserve"> a </w:t>
      </w:r>
      <w:r w:rsidR="6F0B73B1" w:rsidRPr="002D52A1">
        <w:rPr>
          <w:noProof/>
        </w:rPr>
        <w:t>odpustiť Ukrajine administratívne náklady. Bonifikácia úrokov by sa mala poskytnúť ako nástroj, ktorý sa považuje za vhodný na zabezpečenie účinnosti podpory</w:t>
      </w:r>
      <w:r w:rsidR="002D52A1">
        <w:rPr>
          <w:noProof/>
        </w:rPr>
        <w:t xml:space="preserve"> v </w:t>
      </w:r>
      <w:r w:rsidR="6F0B73B1" w:rsidRPr="002D52A1">
        <w:rPr>
          <w:noProof/>
        </w:rPr>
        <w:t>zmysle článku 220 ods. 1 nariadenia</w:t>
      </w:r>
      <w:r w:rsidR="002D52A1">
        <w:rPr>
          <w:noProof/>
        </w:rPr>
        <w:t xml:space="preserve"> o </w:t>
      </w:r>
      <w:r w:rsidR="6F0B73B1" w:rsidRPr="002D52A1">
        <w:rPr>
          <w:noProof/>
        </w:rPr>
        <w:t>rozpočtových pravidlách,</w:t>
      </w:r>
      <w:r w:rsidR="002D52A1">
        <w:rPr>
          <w:noProof/>
        </w:rPr>
        <w:t xml:space="preserve"> a </w:t>
      </w:r>
      <w:r w:rsidR="6F0B73B1" w:rsidRPr="002D52A1">
        <w:rPr>
          <w:noProof/>
        </w:rPr>
        <w:t>mala by sa hradiť</w:t>
      </w:r>
      <w:r w:rsidR="002D52A1">
        <w:rPr>
          <w:noProof/>
        </w:rPr>
        <w:t xml:space="preserve"> z </w:t>
      </w:r>
      <w:r w:rsidR="6F0B73B1" w:rsidRPr="002D52A1">
        <w:rPr>
          <w:noProof/>
        </w:rPr>
        <w:t>rozpočtu Únie aspoň počas súčasného cyklu VFR. Počas rokov 2021 až 2027 by sa bonifikácia úrokov mala hradiť</w:t>
      </w:r>
      <w:r w:rsidR="002D52A1">
        <w:rPr>
          <w:noProof/>
        </w:rPr>
        <w:t xml:space="preserve"> z </w:t>
      </w:r>
      <w:r w:rsidR="6F0B73B1" w:rsidRPr="002D52A1">
        <w:rPr>
          <w:noProof/>
        </w:rPr>
        <w:t>finančného krytia uvedeného</w:t>
      </w:r>
      <w:r w:rsidR="002D52A1">
        <w:rPr>
          <w:noProof/>
        </w:rPr>
        <w:t xml:space="preserve"> v </w:t>
      </w:r>
      <w:r w:rsidR="6F0B73B1" w:rsidRPr="002D52A1">
        <w:rPr>
          <w:noProof/>
        </w:rPr>
        <w:t>článku 6 ods. 2 písm. a) prvej zarážke nariadenia (EÚ) 2021/947</w:t>
      </w:r>
      <w:r w:rsidR="002D52A1" w:rsidRPr="002D52A1">
        <w:rPr>
          <w:noProof/>
        </w:rPr>
        <w:t>.</w:t>
      </w:r>
    </w:p>
    <w:p w14:paraId="28347810" w14:textId="2FCCD66C" w:rsidR="00681971" w:rsidRPr="002D52A1" w:rsidRDefault="00D05784" w:rsidP="00D05784">
      <w:pPr>
        <w:pStyle w:val="ManualConsidrant"/>
        <w:rPr>
          <w:noProof/>
        </w:rPr>
      </w:pPr>
      <w:r w:rsidRPr="00D05784">
        <w:t>(23)</w:t>
      </w:r>
      <w:r w:rsidRPr="00D05784">
        <w:tab/>
      </w:r>
      <w:r w:rsidR="1D20160F" w:rsidRPr="002D52A1">
        <w:rPr>
          <w:noProof/>
        </w:rPr>
        <w:t>O bonifikáciu úrokov</w:t>
      </w:r>
      <w:r w:rsidR="002D52A1">
        <w:rPr>
          <w:noProof/>
        </w:rPr>
        <w:t xml:space="preserve"> a </w:t>
      </w:r>
      <w:r w:rsidR="1D20160F" w:rsidRPr="002D52A1">
        <w:rPr>
          <w:noProof/>
        </w:rPr>
        <w:t>oslobodenie od administratívnych nákladov by Ukrajina mohla každoročne požiadať do konca marca.</w:t>
      </w:r>
      <w:r w:rsidR="002D52A1">
        <w:rPr>
          <w:noProof/>
        </w:rPr>
        <w:t xml:space="preserve"> S </w:t>
      </w:r>
      <w:r w:rsidR="1D20160F" w:rsidRPr="002D52A1">
        <w:rPr>
          <w:noProof/>
        </w:rPr>
        <w:t>cieľom umožniť flexibilitu pri splácaní istiny by malo byť takisto možné obnoviť súvisiace zmluvy</w:t>
      </w:r>
      <w:r w:rsidR="002D52A1">
        <w:rPr>
          <w:noProof/>
        </w:rPr>
        <w:t xml:space="preserve"> o </w:t>
      </w:r>
      <w:r w:rsidR="1D20160F" w:rsidRPr="002D52A1">
        <w:rPr>
          <w:noProof/>
        </w:rPr>
        <w:t>pôžičkách uzavreté</w:t>
      </w:r>
      <w:r w:rsidR="002D52A1">
        <w:rPr>
          <w:noProof/>
        </w:rPr>
        <w:t xml:space="preserve"> v </w:t>
      </w:r>
      <w:r w:rsidR="1D20160F" w:rsidRPr="002D52A1">
        <w:rPr>
          <w:noProof/>
        </w:rPr>
        <w:t>mene Únie odchylne od článku 220 ods. 2 nariadenia</w:t>
      </w:r>
      <w:r w:rsidR="002D52A1">
        <w:rPr>
          <w:noProof/>
        </w:rPr>
        <w:t xml:space="preserve"> o </w:t>
      </w:r>
      <w:r w:rsidR="1D20160F" w:rsidRPr="002D52A1">
        <w:rPr>
          <w:noProof/>
        </w:rPr>
        <w:t>rozpočtových pravidlách.</w:t>
      </w:r>
    </w:p>
    <w:p w14:paraId="152AA463" w14:textId="1C1369C1" w:rsidR="002D52A1" w:rsidRPr="002D52A1" w:rsidRDefault="00D05784" w:rsidP="00D05784">
      <w:pPr>
        <w:pStyle w:val="ManualConsidrant"/>
        <w:rPr>
          <w:noProof/>
        </w:rPr>
      </w:pPr>
      <w:r w:rsidRPr="00D05784">
        <w:t>(24)</w:t>
      </w:r>
      <w:r w:rsidRPr="00D05784">
        <w:tab/>
      </w:r>
      <w:r w:rsidR="7E8BFBB6" w:rsidRPr="002D52A1">
        <w:rPr>
          <w:noProof/>
        </w:rPr>
        <w:t>Vzhľadom na naliehavé finančné potreby Ukrajiny Európska komisia</w:t>
      </w:r>
      <w:r w:rsidR="002D52A1">
        <w:rPr>
          <w:noProof/>
        </w:rPr>
        <w:t xml:space="preserve"> v </w:t>
      </w:r>
      <w:r w:rsidR="7E8BFBB6" w:rsidRPr="002D52A1">
        <w:rPr>
          <w:noProof/>
        </w:rPr>
        <w:t>júli 2022 odsúhlasila zmenu účelu</w:t>
      </w:r>
      <w:r w:rsidR="002D52A1">
        <w:rPr>
          <w:noProof/>
        </w:rPr>
        <w:t xml:space="preserve"> a </w:t>
      </w:r>
      <w:r w:rsidR="7E8BFBB6" w:rsidRPr="002D52A1">
        <w:rPr>
          <w:noProof/>
        </w:rPr>
        <w:t>vyplatenie ďalších úverov EIB pre Ukrajinu vo výške 1,59 mld. EUR zaručených</w:t>
      </w:r>
      <w:r w:rsidR="002D52A1">
        <w:rPr>
          <w:noProof/>
        </w:rPr>
        <w:t xml:space="preserve"> v </w:t>
      </w:r>
      <w:r w:rsidR="7E8BFBB6" w:rsidRPr="002D52A1">
        <w:rPr>
          <w:noProof/>
        </w:rPr>
        <w:t>rámci mandátu na poskytovanie vonkajších úverov (ELM) na roky 2014 – 2020. Keďže však ide</w:t>
      </w:r>
      <w:r w:rsidR="002D52A1">
        <w:rPr>
          <w:noProof/>
        </w:rPr>
        <w:t xml:space="preserve"> o </w:t>
      </w:r>
      <w:r w:rsidR="7E8BFBB6" w:rsidRPr="002D52A1">
        <w:rPr>
          <w:noProof/>
        </w:rPr>
        <w:t>úvery pre ukrajinské štátne</w:t>
      </w:r>
      <w:r w:rsidR="002D52A1">
        <w:rPr>
          <w:noProof/>
        </w:rPr>
        <w:t xml:space="preserve"> a </w:t>
      </w:r>
      <w:r w:rsidR="7E8BFBB6" w:rsidRPr="002D52A1">
        <w:rPr>
          <w:noProof/>
        </w:rPr>
        <w:t>štátom vlastnené subjekty, predstavujú pre rozpočet EÚ rovnakú úroveň rizika ako úvery makrofinančnej pomoci. Rozpočet EÚ by mal teda na tieto expozície uplatňovať rovnaký prístup predbežnej opatrnosti ako na nové úvery makrofinančnej pomoci.</w:t>
      </w:r>
      <w:r w:rsidR="002D52A1">
        <w:rPr>
          <w:noProof/>
        </w:rPr>
        <w:t xml:space="preserve"> V </w:t>
      </w:r>
      <w:r w:rsidR="7E8BFBB6" w:rsidRPr="002D52A1">
        <w:rPr>
          <w:noProof/>
        </w:rPr>
        <w:t>tomto rozhodnutí sa preto na úvery</w:t>
      </w:r>
      <w:r w:rsidR="002D52A1">
        <w:rPr>
          <w:noProof/>
        </w:rPr>
        <w:t xml:space="preserve"> v </w:t>
      </w:r>
      <w:r w:rsidR="7E8BFBB6" w:rsidRPr="002D52A1">
        <w:rPr>
          <w:noProof/>
        </w:rPr>
        <w:t>rámci ELM so zmeneným účelom vo výške 1,59 mld. EUR, ako aj na akékoľvek ďalšie vyplácanie úverov</w:t>
      </w:r>
      <w:r w:rsidR="002D52A1">
        <w:rPr>
          <w:noProof/>
        </w:rPr>
        <w:t xml:space="preserve"> v </w:t>
      </w:r>
      <w:r w:rsidR="7E8BFBB6" w:rsidRPr="002D52A1">
        <w:rPr>
          <w:noProof/>
        </w:rPr>
        <w:t>rámci ELM Ukrajine uplatňuje miera tvorby rezerv na úrovni 70</w:t>
      </w:r>
      <w:r w:rsidR="002D52A1">
        <w:rPr>
          <w:noProof/>
        </w:rPr>
        <w:t> %</w:t>
      </w:r>
      <w:r w:rsidR="7E8BFBB6" w:rsidRPr="002D52A1">
        <w:rPr>
          <w:noProof/>
        </w:rPr>
        <w:t>. Uvedená miera tvorby rezerv by sa mala uplatniť namiesto miery tvorby rezerv vyplývajúcej</w:t>
      </w:r>
      <w:r w:rsidR="002D52A1">
        <w:rPr>
          <w:noProof/>
        </w:rPr>
        <w:t xml:space="preserve"> z </w:t>
      </w:r>
      <w:r w:rsidR="7E8BFBB6" w:rsidRPr="002D52A1">
        <w:rPr>
          <w:noProof/>
        </w:rPr>
        <w:t>článku 31 ods. 8 tretej vety nariadenia (EÚ) 2021/947. Tvorba rezerv na úrovni 70</w:t>
      </w:r>
      <w:r w:rsidR="002D52A1">
        <w:rPr>
          <w:noProof/>
        </w:rPr>
        <w:t> %</w:t>
      </w:r>
      <w:r w:rsidR="7E8BFBB6" w:rsidRPr="002D52A1">
        <w:rPr>
          <w:noProof/>
        </w:rPr>
        <w:t xml:space="preserve"> na vyplácanie úverov</w:t>
      </w:r>
      <w:r w:rsidR="002D52A1">
        <w:rPr>
          <w:noProof/>
        </w:rPr>
        <w:t xml:space="preserve"> v </w:t>
      </w:r>
      <w:r w:rsidR="7E8BFBB6" w:rsidRPr="002D52A1">
        <w:rPr>
          <w:noProof/>
        </w:rPr>
        <w:t>rámci ELM vo výške 1,59 mld. EUR Ukrajine sa bude financovať</w:t>
      </w:r>
      <w:r w:rsidR="002D52A1">
        <w:rPr>
          <w:noProof/>
        </w:rPr>
        <w:t xml:space="preserve"> z </w:t>
      </w:r>
      <w:r w:rsidR="7E8BFBB6" w:rsidRPr="002D52A1">
        <w:rPr>
          <w:noProof/>
        </w:rPr>
        <w:t>rozpočtu EÚ</w:t>
      </w:r>
      <w:r w:rsidR="002D52A1" w:rsidRPr="002D52A1">
        <w:rPr>
          <w:noProof/>
        </w:rPr>
        <w:t>.</w:t>
      </w:r>
    </w:p>
    <w:p w14:paraId="07E27E35" w14:textId="562672EA" w:rsidR="0088355F" w:rsidRPr="002D52A1" w:rsidRDefault="00D05784" w:rsidP="00D05784">
      <w:pPr>
        <w:pStyle w:val="ManualConsidrant"/>
        <w:rPr>
          <w:noProof/>
        </w:rPr>
      </w:pPr>
      <w:r w:rsidRPr="00D05784">
        <w:t>(25)</w:t>
      </w:r>
      <w:r w:rsidRPr="00D05784">
        <w:tab/>
      </w:r>
      <w:r w:rsidR="68D11B6A" w:rsidRPr="002D52A1">
        <w:rPr>
          <w:noProof/>
        </w:rPr>
        <w:t>Každých šesť mesiacov by sa malo vykonávať pravidelné preskúmanie tvorby rezerv na príslušné makrofinančné pomoci</w:t>
      </w:r>
      <w:r w:rsidR="002D52A1" w:rsidRPr="002D52A1">
        <w:rPr>
          <w:noProof/>
        </w:rPr>
        <w:t xml:space="preserve"> a </w:t>
      </w:r>
      <w:r w:rsidR="68D11B6A" w:rsidRPr="002D52A1">
        <w:rPr>
          <w:noProof/>
        </w:rPr>
        <w:t>úvery</w:t>
      </w:r>
      <w:r w:rsidR="002D52A1" w:rsidRPr="002D52A1">
        <w:rPr>
          <w:noProof/>
        </w:rPr>
        <w:t xml:space="preserve"> v </w:t>
      </w:r>
      <w:r w:rsidR="68D11B6A" w:rsidRPr="002D52A1">
        <w:rPr>
          <w:noProof/>
        </w:rPr>
        <w:t>rámci ELM, počnúc</w:t>
      </w:r>
      <w:r w:rsidR="002D52A1" w:rsidRPr="002D52A1">
        <w:rPr>
          <w:noProof/>
        </w:rPr>
        <w:t xml:space="preserve"> v </w:t>
      </w:r>
      <w:r w:rsidR="68D11B6A" w:rsidRPr="002D52A1">
        <w:rPr>
          <w:noProof/>
        </w:rPr>
        <w:t>polovici roka 2023 alebo</w:t>
      </w:r>
      <w:r w:rsidR="002D52A1" w:rsidRPr="002D52A1">
        <w:rPr>
          <w:noProof/>
        </w:rPr>
        <w:t xml:space="preserve"> v </w:t>
      </w:r>
      <w:r w:rsidR="68D11B6A" w:rsidRPr="002D52A1">
        <w:rPr>
          <w:noProof/>
        </w:rPr>
        <w:t>prípade potreby skôr.</w:t>
      </w:r>
      <w:r w:rsidR="002D52A1" w:rsidRPr="002D52A1">
        <w:rPr>
          <w:noProof/>
        </w:rPr>
        <w:t xml:space="preserve"> V </w:t>
      </w:r>
      <w:r w:rsidR="68D11B6A" w:rsidRPr="002D52A1">
        <w:rPr>
          <w:noProof/>
        </w:rPr>
        <w:t xml:space="preserve">tomto preskúmaní by sa malo posúdiť najmä to, či sa situácia na Ukrajine vyvíja spôsobom, ktorý by odôvodňoval zvýšenie alebo zníženie miery tvorby rezerv. Komisia by mohla znovu posúdiť mieru tvorby rezerv </w:t>
      </w:r>
      <w:r w:rsidR="68D11B6A" w:rsidRPr="002D52A1">
        <w:rPr>
          <w:i/>
          <w:noProof/>
        </w:rPr>
        <w:t>ad hoc</w:t>
      </w:r>
      <w:r w:rsidR="68D11B6A" w:rsidRPr="002D52A1">
        <w:rPr>
          <w:noProof/>
        </w:rPr>
        <w:t>,</w:t>
      </w:r>
      <w:r w:rsidR="002D52A1" w:rsidRPr="002D52A1">
        <w:rPr>
          <w:noProof/>
        </w:rPr>
        <w:t xml:space="preserve"> a </w:t>
      </w:r>
      <w:r w:rsidR="68D11B6A" w:rsidRPr="002D52A1">
        <w:rPr>
          <w:noProof/>
        </w:rPr>
        <w:t>to najmä vtedy, ak je to opodstatnené mimoriadne závažnou udalosťou.</w:t>
      </w:r>
      <w:r w:rsidR="002D52A1" w:rsidRPr="002D52A1">
        <w:rPr>
          <w:noProof/>
        </w:rPr>
        <w:t xml:space="preserve"> S </w:t>
      </w:r>
      <w:r w:rsidR="68D11B6A" w:rsidRPr="002D52A1">
        <w:rPr>
          <w:noProof/>
        </w:rPr>
        <w:t>cieľom zaistiť, aby miera tvorby rezerv zostala primeraná finančným rizikám, by sa na Komisiu mala delegovať právomoc prijímať</w:t>
      </w:r>
      <w:r w:rsidR="002D52A1" w:rsidRPr="002D52A1">
        <w:rPr>
          <w:noProof/>
        </w:rPr>
        <w:t xml:space="preserve"> v </w:t>
      </w:r>
      <w:r w:rsidR="68D11B6A" w:rsidRPr="002D52A1">
        <w:rPr>
          <w:noProof/>
        </w:rPr>
        <w:t>súvislosti</w:t>
      </w:r>
      <w:r w:rsidR="002D52A1" w:rsidRPr="002D52A1">
        <w:rPr>
          <w:noProof/>
        </w:rPr>
        <w:t xml:space="preserve"> s </w:t>
      </w:r>
      <w:r w:rsidR="68D11B6A" w:rsidRPr="002D52A1">
        <w:rPr>
          <w:noProof/>
        </w:rPr>
        <w:t>mierou tvorby rezerv akty</w:t>
      </w:r>
      <w:r w:rsidR="002D52A1" w:rsidRPr="002D52A1">
        <w:rPr>
          <w:noProof/>
        </w:rPr>
        <w:t xml:space="preserve"> v </w:t>
      </w:r>
      <w:r w:rsidR="68D11B6A" w:rsidRPr="002D52A1">
        <w:rPr>
          <w:noProof/>
        </w:rPr>
        <w:t>súlade</w:t>
      </w:r>
      <w:r w:rsidR="002D52A1" w:rsidRPr="002D52A1">
        <w:rPr>
          <w:noProof/>
        </w:rPr>
        <w:t xml:space="preserve"> s </w:t>
      </w:r>
      <w:r w:rsidR="68D11B6A" w:rsidRPr="002D52A1">
        <w:rPr>
          <w:noProof/>
        </w:rPr>
        <w:t>článkom 290 Zmluvy</w:t>
      </w:r>
      <w:r w:rsidR="002D52A1" w:rsidRPr="002D52A1">
        <w:rPr>
          <w:noProof/>
        </w:rPr>
        <w:t xml:space="preserve"> o </w:t>
      </w:r>
      <w:r w:rsidR="68D11B6A" w:rsidRPr="002D52A1">
        <w:rPr>
          <w:noProof/>
        </w:rPr>
        <w:t>fungovaní Európskej únie</w:t>
      </w:r>
      <w:r w:rsidR="002D52A1" w:rsidRPr="002D52A1">
        <w:rPr>
          <w:noProof/>
        </w:rPr>
        <w:t xml:space="preserve"> v </w:t>
      </w:r>
      <w:r w:rsidR="68D11B6A" w:rsidRPr="002D52A1">
        <w:rPr>
          <w:noProof/>
        </w:rPr>
        <w:t>prípadoch, keď je opodstatnené mieru tvorby rezerv zvýšiť alebo znížiť. Je osobitne dôležité, aby Komisia počas prípravných prác uskutočnila príslušné konzultácie,</w:t>
      </w:r>
      <w:r w:rsidR="002D52A1" w:rsidRPr="002D52A1">
        <w:rPr>
          <w:noProof/>
        </w:rPr>
        <w:t xml:space="preserve"> a </w:t>
      </w:r>
      <w:r w:rsidR="68D11B6A" w:rsidRPr="002D52A1">
        <w:rPr>
          <w:noProof/>
        </w:rPr>
        <w:t>to aj na úrovni expertov,</w:t>
      </w:r>
      <w:r w:rsidR="002D52A1" w:rsidRPr="002D52A1">
        <w:rPr>
          <w:noProof/>
        </w:rPr>
        <w:t xml:space="preserve"> a </w:t>
      </w:r>
      <w:r w:rsidR="68D11B6A" w:rsidRPr="002D52A1">
        <w:rPr>
          <w:noProof/>
        </w:rPr>
        <w:t>aby tieto konzultácie vykonávala</w:t>
      </w:r>
      <w:r w:rsidR="002D52A1" w:rsidRPr="002D52A1">
        <w:rPr>
          <w:noProof/>
        </w:rPr>
        <w:t xml:space="preserve"> v </w:t>
      </w:r>
      <w:r w:rsidR="68D11B6A" w:rsidRPr="002D52A1">
        <w:rPr>
          <w:noProof/>
        </w:rPr>
        <w:t>súlade so zásadami stanovenými</w:t>
      </w:r>
      <w:r w:rsidR="002D52A1" w:rsidRPr="002D52A1">
        <w:rPr>
          <w:noProof/>
        </w:rPr>
        <w:t xml:space="preserve"> v </w:t>
      </w:r>
      <w:r w:rsidR="68D11B6A" w:rsidRPr="002D52A1">
        <w:rPr>
          <w:noProof/>
        </w:rPr>
        <w:t>Medziinštitucionálnej dohode</w:t>
      </w:r>
      <w:r w:rsidR="002D52A1" w:rsidRPr="002D52A1">
        <w:rPr>
          <w:noProof/>
        </w:rPr>
        <w:t xml:space="preserve"> z </w:t>
      </w:r>
      <w:r w:rsidR="68D11B6A" w:rsidRPr="002D52A1">
        <w:rPr>
          <w:noProof/>
        </w:rPr>
        <w:t>13</w:t>
      </w:r>
      <w:r w:rsidR="002D52A1" w:rsidRPr="002D52A1">
        <w:rPr>
          <w:noProof/>
        </w:rPr>
        <w:t>. apríla</w:t>
      </w:r>
      <w:r w:rsidR="68D11B6A" w:rsidRPr="002D52A1">
        <w:rPr>
          <w:noProof/>
        </w:rPr>
        <w:t xml:space="preserve"> 2016</w:t>
      </w:r>
      <w:r w:rsidR="002D52A1" w:rsidRPr="002D52A1">
        <w:rPr>
          <w:noProof/>
        </w:rPr>
        <w:t xml:space="preserve"> o </w:t>
      </w:r>
      <w:r w:rsidR="68D11B6A" w:rsidRPr="002D52A1">
        <w:rPr>
          <w:noProof/>
        </w:rPr>
        <w:t>lepšej tvorbe práva. Predovšetkým,</w:t>
      </w:r>
      <w:r w:rsidR="002D52A1" w:rsidRPr="002D52A1">
        <w:rPr>
          <w:noProof/>
        </w:rPr>
        <w:t xml:space="preserve"> v </w:t>
      </w:r>
      <w:r w:rsidR="68D11B6A" w:rsidRPr="002D52A1">
        <w:rPr>
          <w:noProof/>
        </w:rPr>
        <w:t>záujme rovnakého zastúpenia pri príprave delegovaných aktov, sa všetky dokumenty doručujú Európskemu parlamentu</w:t>
      </w:r>
      <w:r w:rsidR="002D52A1" w:rsidRPr="002D52A1">
        <w:rPr>
          <w:noProof/>
        </w:rPr>
        <w:t xml:space="preserve"> a </w:t>
      </w:r>
      <w:r w:rsidR="68D11B6A" w:rsidRPr="002D52A1">
        <w:rPr>
          <w:noProof/>
        </w:rPr>
        <w:t>Rade</w:t>
      </w:r>
      <w:r w:rsidR="002D52A1" w:rsidRPr="002D52A1">
        <w:rPr>
          <w:noProof/>
        </w:rPr>
        <w:t xml:space="preserve"> v </w:t>
      </w:r>
      <w:r w:rsidR="68D11B6A" w:rsidRPr="002D52A1">
        <w:rPr>
          <w:noProof/>
        </w:rPr>
        <w:t>rovnakom čase ako expertom</w:t>
      </w:r>
      <w:r w:rsidR="002D52A1" w:rsidRPr="002D52A1">
        <w:rPr>
          <w:noProof/>
        </w:rPr>
        <w:t xml:space="preserve"> z </w:t>
      </w:r>
      <w:r w:rsidR="68D11B6A" w:rsidRPr="002D52A1">
        <w:rPr>
          <w:noProof/>
        </w:rPr>
        <w:t>členských štátov</w:t>
      </w:r>
      <w:r w:rsidR="002D52A1" w:rsidRPr="002D52A1">
        <w:rPr>
          <w:noProof/>
        </w:rPr>
        <w:t xml:space="preserve"> a </w:t>
      </w:r>
      <w:r w:rsidR="68D11B6A" w:rsidRPr="002D52A1">
        <w:rPr>
          <w:noProof/>
        </w:rPr>
        <w:t>experti Európskeho parlamentu</w:t>
      </w:r>
      <w:r w:rsidR="002D52A1" w:rsidRPr="002D52A1">
        <w:rPr>
          <w:noProof/>
        </w:rPr>
        <w:t xml:space="preserve"> a </w:t>
      </w:r>
      <w:r w:rsidR="68D11B6A" w:rsidRPr="002D52A1">
        <w:rPr>
          <w:noProof/>
        </w:rPr>
        <w:t>Rady majú systematický prístup na zasadnutia skupín expertov Komisie, ktoré sa zaoberajú prípravou delegovaných aktov.</w:t>
      </w:r>
    </w:p>
    <w:p w14:paraId="53890F2A" w14:textId="26E91063" w:rsidR="00EA0347" w:rsidRPr="002D52A1" w:rsidRDefault="00D05784" w:rsidP="00D05784">
      <w:pPr>
        <w:pStyle w:val="ManualConsidrant"/>
        <w:rPr>
          <w:rFonts w:eastAsiaTheme="minorEastAsia"/>
          <w:noProof/>
        </w:rPr>
      </w:pPr>
      <w:r w:rsidRPr="00D05784">
        <w:t>(26)</w:t>
      </w:r>
      <w:r w:rsidRPr="00D05784">
        <w:tab/>
      </w:r>
      <w:r w:rsidR="426362F8" w:rsidRPr="002D52A1">
        <w:rPr>
          <w:noProof/>
        </w:rPr>
        <w:t>Keďže cieľ tohto rozhodnutia,</w:t>
      </w:r>
      <w:r w:rsidR="002D52A1">
        <w:rPr>
          <w:noProof/>
        </w:rPr>
        <w:t xml:space="preserve"> a </w:t>
      </w:r>
      <w:r w:rsidR="426362F8" w:rsidRPr="002D52A1">
        <w:rPr>
          <w:noProof/>
        </w:rPr>
        <w:t>to poskytnúť výnimočnú makrofinančnú pomoc Ukrajine na podporu najmä jej hospodárskej odolnosti</w:t>
      </w:r>
      <w:r w:rsidR="002D52A1">
        <w:rPr>
          <w:noProof/>
        </w:rPr>
        <w:t xml:space="preserve"> a </w:t>
      </w:r>
      <w:r w:rsidR="426362F8" w:rsidRPr="002D52A1">
        <w:rPr>
          <w:noProof/>
        </w:rPr>
        <w:t>stability, nie je možné uspokojivo dosiahnuť na úrovni členských štátov, ale</w:t>
      </w:r>
      <w:r w:rsidR="002D52A1">
        <w:rPr>
          <w:noProof/>
        </w:rPr>
        <w:t xml:space="preserve"> z </w:t>
      </w:r>
      <w:r w:rsidR="426362F8" w:rsidRPr="002D52A1">
        <w:rPr>
          <w:noProof/>
        </w:rPr>
        <w:t>dôvodu rozsahu</w:t>
      </w:r>
      <w:r w:rsidR="002D52A1">
        <w:rPr>
          <w:noProof/>
        </w:rPr>
        <w:t xml:space="preserve"> a </w:t>
      </w:r>
      <w:r w:rsidR="426362F8" w:rsidRPr="002D52A1">
        <w:rPr>
          <w:noProof/>
        </w:rPr>
        <w:t>účinkov pomoci ho možno lepšie dosiahnuť na úrovni Únie, môže Únia prijať opatrenia</w:t>
      </w:r>
      <w:r w:rsidR="002D52A1">
        <w:rPr>
          <w:noProof/>
        </w:rPr>
        <w:t xml:space="preserve"> v </w:t>
      </w:r>
      <w:r w:rsidR="426362F8" w:rsidRPr="002D52A1">
        <w:rPr>
          <w:noProof/>
        </w:rPr>
        <w:t>súlade so zásadou subsidiarity podľa článku 5 ods. 3 Zmluvy</w:t>
      </w:r>
      <w:r w:rsidR="002D52A1">
        <w:rPr>
          <w:noProof/>
        </w:rPr>
        <w:t xml:space="preserve"> o </w:t>
      </w:r>
      <w:r w:rsidR="426362F8" w:rsidRPr="002D52A1">
        <w:rPr>
          <w:noProof/>
        </w:rPr>
        <w:t>Európskej únii (ďalej len „ZEÚ“).</w:t>
      </w:r>
      <w:r w:rsidR="002D52A1">
        <w:rPr>
          <w:noProof/>
        </w:rPr>
        <w:t xml:space="preserve"> V </w:t>
      </w:r>
      <w:r w:rsidR="426362F8" w:rsidRPr="002D52A1">
        <w:rPr>
          <w:noProof/>
        </w:rPr>
        <w:t>súlade so zásadou proporcionality podľa odseku 4 uvedeného článku toto rozhodnutie neprekračuje rámec nevyhnutný na dosiahnutie uvedeného cieľa.</w:t>
      </w:r>
    </w:p>
    <w:p w14:paraId="03282584" w14:textId="2290C52D" w:rsidR="002D52A1" w:rsidRPr="002D52A1" w:rsidRDefault="00D05784" w:rsidP="00D05784">
      <w:pPr>
        <w:pStyle w:val="ManualConsidrant"/>
        <w:rPr>
          <w:noProof/>
        </w:rPr>
      </w:pPr>
      <w:r w:rsidRPr="00D05784">
        <w:t>(27)</w:t>
      </w:r>
      <w:r w:rsidRPr="00D05784">
        <w:tab/>
      </w:r>
      <w:r w:rsidR="426362F8" w:rsidRPr="002D52A1">
        <w:rPr>
          <w:noProof/>
        </w:rPr>
        <w:t>So zreteľom na naliehavosť spôsobenú výnimočnými okolnosťami</w:t>
      </w:r>
      <w:r w:rsidR="002D52A1">
        <w:rPr>
          <w:noProof/>
        </w:rPr>
        <w:t xml:space="preserve"> v </w:t>
      </w:r>
      <w:r w:rsidR="426362F8" w:rsidRPr="002D52A1">
        <w:rPr>
          <w:noProof/>
        </w:rPr>
        <w:t>dôsledku nevyprovokovanej</w:t>
      </w:r>
      <w:r w:rsidR="002D52A1">
        <w:rPr>
          <w:noProof/>
        </w:rPr>
        <w:t xml:space="preserve"> a </w:t>
      </w:r>
      <w:r w:rsidR="426362F8" w:rsidRPr="002D52A1">
        <w:rPr>
          <w:noProof/>
        </w:rPr>
        <w:t>neodôvodnenej ruskej agresie sa považuje za vhodné uplatniť výnimku</w:t>
      </w:r>
      <w:r w:rsidR="002D52A1">
        <w:rPr>
          <w:noProof/>
        </w:rPr>
        <w:t xml:space="preserve"> z </w:t>
      </w:r>
      <w:r w:rsidR="426362F8" w:rsidRPr="002D52A1">
        <w:rPr>
          <w:noProof/>
        </w:rPr>
        <w:t>osemtýždňovej lehoty uvedenej</w:t>
      </w:r>
      <w:r w:rsidR="002D52A1">
        <w:rPr>
          <w:noProof/>
        </w:rPr>
        <w:t xml:space="preserve"> v </w:t>
      </w:r>
      <w:r w:rsidR="426362F8" w:rsidRPr="002D52A1">
        <w:rPr>
          <w:noProof/>
        </w:rPr>
        <w:t xml:space="preserve">článku 4 Protokolu </w:t>
      </w:r>
      <w:r w:rsidR="002D52A1">
        <w:rPr>
          <w:noProof/>
        </w:rPr>
        <w:t>č. </w:t>
      </w:r>
      <w:r w:rsidR="426362F8" w:rsidRPr="002D52A1">
        <w:rPr>
          <w:noProof/>
        </w:rPr>
        <w:t>1</w:t>
      </w:r>
      <w:r w:rsidR="002D52A1">
        <w:rPr>
          <w:noProof/>
        </w:rPr>
        <w:t xml:space="preserve"> o </w:t>
      </w:r>
      <w:r w:rsidR="426362F8" w:rsidRPr="002D52A1">
        <w:rPr>
          <w:noProof/>
        </w:rPr>
        <w:t>úlohe národných parlamentov</w:t>
      </w:r>
      <w:r w:rsidR="002D52A1">
        <w:rPr>
          <w:noProof/>
        </w:rPr>
        <w:t xml:space="preserve"> v </w:t>
      </w:r>
      <w:r w:rsidR="426362F8" w:rsidRPr="002D52A1">
        <w:rPr>
          <w:noProof/>
        </w:rPr>
        <w:t>Európskej únii, ktorý je pripojený</w:t>
      </w:r>
      <w:r w:rsidR="002D52A1">
        <w:rPr>
          <w:noProof/>
        </w:rPr>
        <w:t xml:space="preserve"> k </w:t>
      </w:r>
      <w:r w:rsidR="426362F8" w:rsidRPr="002D52A1">
        <w:rPr>
          <w:noProof/>
        </w:rPr>
        <w:t>ZEÚ, Zmluve</w:t>
      </w:r>
      <w:r w:rsidR="002D52A1">
        <w:rPr>
          <w:noProof/>
        </w:rPr>
        <w:t xml:space="preserve"> o </w:t>
      </w:r>
      <w:r w:rsidR="426362F8" w:rsidRPr="002D52A1">
        <w:rPr>
          <w:noProof/>
        </w:rPr>
        <w:t>fungovaní Európskej únie</w:t>
      </w:r>
      <w:r w:rsidR="002D52A1">
        <w:rPr>
          <w:noProof/>
        </w:rPr>
        <w:t xml:space="preserve"> a </w:t>
      </w:r>
      <w:r w:rsidR="426362F8" w:rsidRPr="002D52A1">
        <w:rPr>
          <w:noProof/>
        </w:rPr>
        <w:t>Zmluve</w:t>
      </w:r>
      <w:r w:rsidR="002D52A1">
        <w:rPr>
          <w:noProof/>
        </w:rPr>
        <w:t xml:space="preserve"> o </w:t>
      </w:r>
      <w:r w:rsidR="426362F8" w:rsidRPr="002D52A1">
        <w:rPr>
          <w:noProof/>
        </w:rPr>
        <w:t>založení Európskeho spoločenstva pre atómovú energiu</w:t>
      </w:r>
      <w:r w:rsidR="002D52A1" w:rsidRPr="002D52A1">
        <w:rPr>
          <w:noProof/>
        </w:rPr>
        <w:t>.</w:t>
      </w:r>
    </w:p>
    <w:p w14:paraId="17106B55" w14:textId="4DA08811" w:rsidR="00EA0347" w:rsidRPr="002D52A1" w:rsidRDefault="00D05784" w:rsidP="00D05784">
      <w:pPr>
        <w:pStyle w:val="ManualConsidrant"/>
        <w:rPr>
          <w:noProof/>
        </w:rPr>
      </w:pPr>
      <w:r w:rsidRPr="00D05784">
        <w:t>(28)</w:t>
      </w:r>
      <w:r w:rsidRPr="00D05784">
        <w:tab/>
      </w:r>
      <w:r w:rsidR="6F0B73B1" w:rsidRPr="002D52A1">
        <w:rPr>
          <w:noProof/>
        </w:rPr>
        <w:t>Vzhľadom na naliehavú situáciu na Ukrajine by toto rozhodnutie malo nadobudnúť účinnosť dňom nasledujúcim po jeho uverejnení</w:t>
      </w:r>
      <w:r w:rsidR="002D52A1">
        <w:rPr>
          <w:noProof/>
        </w:rPr>
        <w:t xml:space="preserve"> v </w:t>
      </w:r>
      <w:r w:rsidR="6F0B73B1" w:rsidRPr="002D52A1">
        <w:rPr>
          <w:i/>
          <w:noProof/>
        </w:rPr>
        <w:t>Úradnom vestníku Európskej únie</w:t>
      </w:r>
      <w:r w:rsidR="6F0B73B1" w:rsidRPr="002D52A1">
        <w:rPr>
          <w:noProof/>
        </w:rPr>
        <w:t>,</w:t>
      </w:r>
    </w:p>
    <w:p w14:paraId="29A1FF1D" w14:textId="77777777" w:rsidR="002D52A1" w:rsidRPr="002D52A1" w:rsidRDefault="00F152DC" w:rsidP="0087343B">
      <w:pPr>
        <w:pStyle w:val="Formuledadoption"/>
        <w:spacing w:before="360"/>
        <w:rPr>
          <w:noProof/>
        </w:rPr>
      </w:pPr>
      <w:r w:rsidRPr="002D52A1">
        <w:rPr>
          <w:noProof/>
        </w:rPr>
        <w:t>PRIJALI TOTO ROZHODNUTIE</w:t>
      </w:r>
      <w:r w:rsidR="002D52A1" w:rsidRPr="002D52A1">
        <w:rPr>
          <w:noProof/>
        </w:rPr>
        <w:t>:</w:t>
      </w:r>
    </w:p>
    <w:p w14:paraId="4B3CB7D3" w14:textId="3C9B3737" w:rsidR="004D643E" w:rsidRPr="002D52A1" w:rsidRDefault="004D643E" w:rsidP="003C45F0">
      <w:pPr>
        <w:pStyle w:val="ManualHeading2"/>
        <w:jc w:val="center"/>
        <w:rPr>
          <w:noProof/>
        </w:rPr>
      </w:pPr>
      <w:r w:rsidRPr="002D52A1">
        <w:rPr>
          <w:noProof/>
        </w:rPr>
        <w:t xml:space="preserve">Kapitola I </w:t>
      </w:r>
      <w:r w:rsidRPr="002D52A1">
        <w:rPr>
          <w:noProof/>
        </w:rPr>
        <w:br/>
        <w:t>Výnimočná makrofinančná pomoc</w:t>
      </w:r>
    </w:p>
    <w:p w14:paraId="7364EAF2" w14:textId="77777777" w:rsidR="004D643E" w:rsidRPr="002D52A1" w:rsidRDefault="004D643E" w:rsidP="004D643E">
      <w:pPr>
        <w:pStyle w:val="Titrearticle"/>
        <w:rPr>
          <w:noProof/>
        </w:rPr>
      </w:pPr>
      <w:r w:rsidRPr="002D52A1">
        <w:rPr>
          <w:noProof/>
        </w:rPr>
        <w:t>Článok 1</w:t>
      </w:r>
    </w:p>
    <w:p w14:paraId="01964931" w14:textId="77777777" w:rsidR="00187889" w:rsidRPr="002D52A1" w:rsidRDefault="29339EBF" w:rsidP="00616974">
      <w:pPr>
        <w:jc w:val="center"/>
        <w:rPr>
          <w:b/>
          <w:bCs/>
          <w:noProof/>
        </w:rPr>
      </w:pPr>
      <w:r w:rsidRPr="002D52A1">
        <w:rPr>
          <w:b/>
          <w:noProof/>
        </w:rPr>
        <w:t>Sprístupnenie výnimočnej makrofinančnej pomoci Únie</w:t>
      </w:r>
    </w:p>
    <w:p w14:paraId="7D829944" w14:textId="173E571C" w:rsidR="004D643E" w:rsidRPr="002D52A1" w:rsidRDefault="00D05784" w:rsidP="00D05784">
      <w:pPr>
        <w:pStyle w:val="ManualNumPar1"/>
        <w:rPr>
          <w:noProof/>
        </w:rPr>
      </w:pPr>
      <w:r w:rsidRPr="00D05784">
        <w:t>1.</w:t>
      </w:r>
      <w:r w:rsidRPr="00D05784">
        <w:tab/>
      </w:r>
      <w:r w:rsidR="4D95487E" w:rsidRPr="002D52A1">
        <w:rPr>
          <w:noProof/>
        </w:rPr>
        <w:t>Únia</w:t>
      </w:r>
      <w:r w:rsidR="002D52A1">
        <w:rPr>
          <w:noProof/>
        </w:rPr>
        <w:t xml:space="preserve"> v </w:t>
      </w:r>
      <w:r w:rsidR="4D95487E" w:rsidRPr="002D52A1">
        <w:rPr>
          <w:noProof/>
        </w:rPr>
        <w:t xml:space="preserve">záujme podpory </w:t>
      </w:r>
      <w:r w:rsidR="4D95487E" w:rsidRPr="002D52A1">
        <w:rPr>
          <w:noProof/>
          <w:color w:val="000000" w:themeColor="text1"/>
        </w:rPr>
        <w:t>makrofinančnej stability Ukrajiny</w:t>
      </w:r>
      <w:r w:rsidR="4D95487E" w:rsidRPr="002D52A1">
        <w:rPr>
          <w:noProof/>
        </w:rPr>
        <w:t xml:space="preserve"> poskytne Ukrajine výnimočnú makrofinančnú pomoc</w:t>
      </w:r>
      <w:r w:rsidR="002D52A1">
        <w:rPr>
          <w:noProof/>
        </w:rPr>
        <w:t xml:space="preserve"> v </w:t>
      </w:r>
      <w:r w:rsidR="4D95487E" w:rsidRPr="002D52A1">
        <w:rPr>
          <w:noProof/>
        </w:rPr>
        <w:t>maximálnej výške 5 000 000 000 EUR (ďalej len „výnimočná makrofinančná pomoc Únie“). Makrofinančná pomoc Únie sa Ukrajine poskytne vo forme úverov. Pomoc prispeje</w:t>
      </w:r>
      <w:r w:rsidR="002D52A1">
        <w:rPr>
          <w:noProof/>
        </w:rPr>
        <w:t xml:space="preserve"> k </w:t>
      </w:r>
      <w:r w:rsidR="4D95487E" w:rsidRPr="002D52A1">
        <w:rPr>
          <w:noProof/>
        </w:rPr>
        <w:t>pokrytiu medzery Ukrajiny vo financovaní identifikovanej</w:t>
      </w:r>
      <w:r w:rsidR="002D52A1">
        <w:rPr>
          <w:noProof/>
        </w:rPr>
        <w:t xml:space="preserve"> v </w:t>
      </w:r>
      <w:r w:rsidR="4D95487E" w:rsidRPr="002D52A1">
        <w:rPr>
          <w:noProof/>
        </w:rPr>
        <w:t>spolupráci</w:t>
      </w:r>
      <w:r w:rsidR="002D52A1">
        <w:rPr>
          <w:noProof/>
        </w:rPr>
        <w:t xml:space="preserve"> s </w:t>
      </w:r>
      <w:r w:rsidR="4D95487E" w:rsidRPr="002D52A1">
        <w:rPr>
          <w:noProof/>
        </w:rPr>
        <w:t>medzinárodnými finančnými inštitúciami.</w:t>
      </w:r>
    </w:p>
    <w:p w14:paraId="163EB5F3" w14:textId="4B58583F" w:rsidR="004D643E" w:rsidRPr="002D52A1" w:rsidRDefault="00D05784" w:rsidP="00D05784">
      <w:pPr>
        <w:pStyle w:val="ManualNumPar1"/>
        <w:rPr>
          <w:noProof/>
        </w:rPr>
      </w:pPr>
      <w:r w:rsidRPr="00D05784">
        <w:t>2.</w:t>
      </w:r>
      <w:r w:rsidRPr="00D05784">
        <w:tab/>
      </w:r>
      <w:r w:rsidR="1A0D313F" w:rsidRPr="002D52A1">
        <w:rPr>
          <w:noProof/>
        </w:rPr>
        <w:t>Na financovanie výnimočnej makrofinančnej pomoci Únie je Komisia splnomocnená požičať si</w:t>
      </w:r>
      <w:r w:rsidR="002D52A1">
        <w:rPr>
          <w:noProof/>
        </w:rPr>
        <w:t xml:space="preserve"> v </w:t>
      </w:r>
      <w:r w:rsidR="1A0D313F" w:rsidRPr="002D52A1">
        <w:rPr>
          <w:noProof/>
        </w:rPr>
        <w:t>mene Únie potrebné finančné prostriedky na kapitálových trhoch alebo od finančných inštitúcií</w:t>
      </w:r>
      <w:r w:rsidR="002D52A1">
        <w:rPr>
          <w:noProof/>
        </w:rPr>
        <w:t xml:space="preserve"> a </w:t>
      </w:r>
      <w:r w:rsidR="1A0D313F" w:rsidRPr="002D52A1">
        <w:rPr>
          <w:noProof/>
        </w:rPr>
        <w:t>následne ich požičať Ukrajine. Úvery podľa odseku 1</w:t>
      </w:r>
      <w:r w:rsidR="002D52A1">
        <w:rPr>
          <w:noProof/>
        </w:rPr>
        <w:t xml:space="preserve"> a </w:t>
      </w:r>
      <w:r w:rsidR="1A0D313F" w:rsidRPr="002D52A1">
        <w:rPr>
          <w:noProof/>
        </w:rPr>
        <w:t>rozhodnutia (EÚ) 2022/1201 majú spoločne maximálnu priemernú splatnosť 25 rokov.</w:t>
      </w:r>
    </w:p>
    <w:p w14:paraId="7ED6EE09" w14:textId="38630F8D" w:rsidR="004D643E" w:rsidRPr="002D52A1" w:rsidRDefault="00D05784" w:rsidP="00D05784">
      <w:pPr>
        <w:pStyle w:val="ManualNumPar1"/>
        <w:rPr>
          <w:rFonts w:eastAsiaTheme="minorEastAsia"/>
          <w:noProof/>
          <w:szCs w:val="24"/>
        </w:rPr>
      </w:pPr>
      <w:r w:rsidRPr="00D05784">
        <w:t>3.</w:t>
      </w:r>
      <w:r w:rsidRPr="00D05784">
        <w:tab/>
      </w:r>
      <w:r w:rsidR="5EDC14F4" w:rsidRPr="002D52A1">
        <w:rPr>
          <w:noProof/>
        </w:rPr>
        <w:t>Výnimočná makrofinančná pomoc Únie sa sprístupní počínajúc prvým dňom nadobudnutia platnosti memoranda</w:t>
      </w:r>
      <w:r w:rsidR="002D52A1">
        <w:rPr>
          <w:noProof/>
        </w:rPr>
        <w:t xml:space="preserve"> o </w:t>
      </w:r>
      <w:r w:rsidR="5EDC14F4" w:rsidRPr="002D52A1">
        <w:rPr>
          <w:noProof/>
        </w:rPr>
        <w:t>porozumení uvedeného</w:t>
      </w:r>
      <w:r w:rsidR="002D52A1">
        <w:rPr>
          <w:noProof/>
        </w:rPr>
        <w:t xml:space="preserve"> v </w:t>
      </w:r>
      <w:r w:rsidR="5EDC14F4" w:rsidRPr="002D52A1">
        <w:rPr>
          <w:noProof/>
        </w:rPr>
        <w:t>článku 3 ods. 1</w:t>
      </w:r>
      <w:r w:rsidR="002D52A1">
        <w:rPr>
          <w:noProof/>
        </w:rPr>
        <w:t xml:space="preserve"> a </w:t>
      </w:r>
      <w:r w:rsidR="5EDC14F4" w:rsidRPr="002D52A1">
        <w:rPr>
          <w:noProof/>
        </w:rPr>
        <w:t>počas</w:t>
      </w:r>
      <w:r w:rsidR="002D52A1">
        <w:rPr>
          <w:noProof/>
        </w:rPr>
        <w:t xml:space="preserve"> v </w:t>
      </w:r>
      <w:r w:rsidR="5EDC14F4" w:rsidRPr="002D52A1">
        <w:rPr>
          <w:noProof/>
        </w:rPr>
        <w:t>ňom vymedzeného obdobia dostupnosti,</w:t>
      </w:r>
      <w:r w:rsidR="002D52A1">
        <w:rPr>
          <w:noProof/>
        </w:rPr>
        <w:t xml:space="preserve"> a </w:t>
      </w:r>
      <w:r w:rsidR="5EDC14F4" w:rsidRPr="002D52A1">
        <w:rPr>
          <w:noProof/>
        </w:rPr>
        <w:t>to aj</w:t>
      </w:r>
      <w:r w:rsidR="002D52A1">
        <w:rPr>
          <w:noProof/>
        </w:rPr>
        <w:t xml:space="preserve"> v </w:t>
      </w:r>
      <w:r w:rsidR="5EDC14F4" w:rsidRPr="002D52A1">
        <w:rPr>
          <w:noProof/>
        </w:rPr>
        <w:t>prípade, že záruky stanovené</w:t>
      </w:r>
      <w:r w:rsidR="002D52A1">
        <w:rPr>
          <w:noProof/>
        </w:rPr>
        <w:t xml:space="preserve"> v </w:t>
      </w:r>
      <w:r w:rsidR="5EDC14F4" w:rsidRPr="002D52A1">
        <w:rPr>
          <w:noProof/>
        </w:rPr>
        <w:t>kapitole II oddiele 1 tohto rozhodnutia ešte neboli poskytnuté.</w:t>
      </w:r>
    </w:p>
    <w:p w14:paraId="1676C968" w14:textId="0BB84CB2" w:rsidR="004D643E" w:rsidRPr="002D52A1" w:rsidRDefault="00D05784" w:rsidP="00D05784">
      <w:pPr>
        <w:pStyle w:val="ManualNumPar1"/>
        <w:rPr>
          <w:noProof/>
        </w:rPr>
      </w:pPr>
      <w:r w:rsidRPr="00D05784">
        <w:t>4.</w:t>
      </w:r>
      <w:r w:rsidRPr="00D05784">
        <w:tab/>
      </w:r>
      <w:r w:rsidR="31DA346E" w:rsidRPr="002D52A1">
        <w:rPr>
          <w:noProof/>
        </w:rPr>
        <w:t>Ak sa potreby Ukrajiny</w:t>
      </w:r>
      <w:r w:rsidR="002D52A1">
        <w:rPr>
          <w:noProof/>
        </w:rPr>
        <w:t xml:space="preserve"> v </w:t>
      </w:r>
      <w:r w:rsidR="31DA346E" w:rsidRPr="002D52A1">
        <w:rPr>
          <w:noProof/>
        </w:rPr>
        <w:t>oblasti financovania počas obdobia vyplácania výnimočnej makrofinančnej pomoci Únie</w:t>
      </w:r>
      <w:r w:rsidR="002D52A1">
        <w:rPr>
          <w:noProof/>
        </w:rPr>
        <w:t xml:space="preserve"> v </w:t>
      </w:r>
      <w:r w:rsidR="31DA346E" w:rsidRPr="002D52A1">
        <w:rPr>
          <w:noProof/>
        </w:rPr>
        <w:t>porovnaní</w:t>
      </w:r>
      <w:r w:rsidR="002D52A1">
        <w:rPr>
          <w:noProof/>
        </w:rPr>
        <w:t xml:space="preserve"> s </w:t>
      </w:r>
      <w:r w:rsidR="31DA346E" w:rsidRPr="002D52A1">
        <w:rPr>
          <w:noProof/>
        </w:rPr>
        <w:t>pôvodnými prognózami zásadne znížia, Komisia túto pomoc zníži, pozastaví alebo zruší.</w:t>
      </w:r>
    </w:p>
    <w:p w14:paraId="66195141" w14:textId="77777777" w:rsidR="004D643E" w:rsidRPr="002D52A1" w:rsidRDefault="004D643E" w:rsidP="00AD77F1">
      <w:pPr>
        <w:pStyle w:val="Titrearticle"/>
        <w:keepLines/>
        <w:rPr>
          <w:noProof/>
        </w:rPr>
      </w:pPr>
      <w:r w:rsidRPr="002D52A1">
        <w:rPr>
          <w:noProof/>
        </w:rPr>
        <w:t>Článok 2</w:t>
      </w:r>
    </w:p>
    <w:p w14:paraId="744F0679" w14:textId="77777777" w:rsidR="00187889" w:rsidRPr="002D52A1" w:rsidRDefault="24FDF5E8" w:rsidP="00AD77F1">
      <w:pPr>
        <w:keepNext/>
        <w:keepLines/>
        <w:jc w:val="center"/>
        <w:rPr>
          <w:b/>
          <w:bCs/>
          <w:noProof/>
        </w:rPr>
      </w:pPr>
      <w:r w:rsidRPr="002D52A1">
        <w:rPr>
          <w:b/>
          <w:noProof/>
        </w:rPr>
        <w:t>Podmienka poskytnutia makrofinančnej pomoci</w:t>
      </w:r>
    </w:p>
    <w:p w14:paraId="16B84453" w14:textId="021F742B" w:rsidR="004D643E" w:rsidRPr="002D52A1" w:rsidRDefault="00D05784" w:rsidP="00D05784">
      <w:pPr>
        <w:pStyle w:val="ManualNumPar1"/>
        <w:rPr>
          <w:noProof/>
        </w:rPr>
      </w:pPr>
      <w:r w:rsidRPr="00D05784">
        <w:t>1.</w:t>
      </w:r>
      <w:r w:rsidRPr="00D05784">
        <w:tab/>
      </w:r>
      <w:r w:rsidR="004D643E" w:rsidRPr="002D52A1">
        <w:rPr>
          <w:noProof/>
        </w:rPr>
        <w:t>Podmienkou poskytnutia výnimočnej makrofinančnej pomoci Únie je rešpektovanie účinných demokratických mechanizmov vrátane pluralitného parlamentného systému</w:t>
      </w:r>
      <w:r w:rsidR="002D52A1">
        <w:rPr>
          <w:noProof/>
        </w:rPr>
        <w:t xml:space="preserve"> a </w:t>
      </w:r>
      <w:r w:rsidR="004D643E" w:rsidRPr="002D52A1">
        <w:rPr>
          <w:noProof/>
        </w:rPr>
        <w:t>zásad právneho štátu</w:t>
      </w:r>
      <w:r w:rsidR="002D52A1">
        <w:rPr>
          <w:noProof/>
        </w:rPr>
        <w:t xml:space="preserve"> a </w:t>
      </w:r>
      <w:r w:rsidR="004D643E" w:rsidRPr="002D52A1">
        <w:rPr>
          <w:noProof/>
        </w:rPr>
        <w:t>dodržiavanie ľudských práv zo strany Ukrajiny.</w:t>
      </w:r>
    </w:p>
    <w:p w14:paraId="3621DB13" w14:textId="50B31AFE" w:rsidR="004D643E" w:rsidRPr="002D52A1" w:rsidRDefault="00D05784" w:rsidP="00D05784">
      <w:pPr>
        <w:pStyle w:val="ManualNumPar1"/>
        <w:rPr>
          <w:noProof/>
        </w:rPr>
      </w:pPr>
      <w:r w:rsidRPr="00D05784">
        <w:t>2.</w:t>
      </w:r>
      <w:r w:rsidRPr="00D05784">
        <w:tab/>
      </w:r>
      <w:r w:rsidR="2D6D47E0" w:rsidRPr="002D52A1">
        <w:rPr>
          <w:noProof/>
        </w:rPr>
        <w:t>Komisia monitoruje plnenie podmienky stanovenej</w:t>
      </w:r>
      <w:r w:rsidR="002D52A1">
        <w:rPr>
          <w:noProof/>
        </w:rPr>
        <w:t xml:space="preserve"> v </w:t>
      </w:r>
      <w:r w:rsidR="2D6D47E0" w:rsidRPr="002D52A1">
        <w:rPr>
          <w:noProof/>
        </w:rPr>
        <w:t>odseku 1 počas celého obdobia trvania výnimočnej makrofinančnej pomoci Únie, najmä pred uskutočnením vyplatenia, pričom zohľadňuje aj okolnosti na mieste</w:t>
      </w:r>
      <w:r w:rsidR="002D52A1">
        <w:rPr>
          <w:noProof/>
        </w:rPr>
        <w:t xml:space="preserve"> a </w:t>
      </w:r>
      <w:r w:rsidR="2D6D47E0" w:rsidRPr="002D52A1">
        <w:rPr>
          <w:noProof/>
        </w:rPr>
        <w:t>dôsledky uplatňovania stanného práva.</w:t>
      </w:r>
    </w:p>
    <w:p w14:paraId="4BDE4736" w14:textId="5714B6BB" w:rsidR="004D643E" w:rsidRPr="002D52A1" w:rsidRDefault="00D05784" w:rsidP="00D05784">
      <w:pPr>
        <w:pStyle w:val="ManualNumPar1"/>
        <w:rPr>
          <w:noProof/>
        </w:rPr>
      </w:pPr>
      <w:r w:rsidRPr="00D05784">
        <w:t>3.</w:t>
      </w:r>
      <w:r w:rsidRPr="00D05784">
        <w:tab/>
      </w:r>
      <w:r w:rsidR="657EEE71" w:rsidRPr="002D52A1">
        <w:rPr>
          <w:noProof/>
        </w:rPr>
        <w:t>Odseky 1</w:t>
      </w:r>
      <w:r w:rsidR="002D52A1">
        <w:rPr>
          <w:noProof/>
        </w:rPr>
        <w:t xml:space="preserve"> a </w:t>
      </w:r>
      <w:r w:rsidR="657EEE71" w:rsidRPr="002D52A1">
        <w:rPr>
          <w:noProof/>
        </w:rPr>
        <w:t>2 tohto článku sa uplatňujú</w:t>
      </w:r>
      <w:r w:rsidR="002D52A1">
        <w:rPr>
          <w:noProof/>
        </w:rPr>
        <w:t xml:space="preserve"> v </w:t>
      </w:r>
      <w:r w:rsidR="657EEE71" w:rsidRPr="002D52A1">
        <w:rPr>
          <w:noProof/>
        </w:rPr>
        <w:t>súlade</w:t>
      </w:r>
      <w:r w:rsidR="002D52A1">
        <w:rPr>
          <w:noProof/>
        </w:rPr>
        <w:t xml:space="preserve"> s </w:t>
      </w:r>
      <w:r w:rsidR="657EEE71" w:rsidRPr="002D52A1">
        <w:rPr>
          <w:noProof/>
        </w:rPr>
        <w:t>rozhodnutím Rady 2010/427/EÚ</w:t>
      </w:r>
      <w:r w:rsidR="657EEE71" w:rsidRPr="002D52A1">
        <w:rPr>
          <w:rStyle w:val="FootnoteReference"/>
          <w:rFonts w:eastAsia="Times New Roman"/>
          <w:noProof/>
        </w:rPr>
        <w:footnoteReference w:id="26"/>
      </w:r>
      <w:r w:rsidR="657EEE71" w:rsidRPr="002D52A1">
        <w:rPr>
          <w:noProof/>
        </w:rPr>
        <w:t>.</w:t>
      </w:r>
    </w:p>
    <w:p w14:paraId="295EBE42" w14:textId="77777777" w:rsidR="004D643E" w:rsidRPr="002D52A1" w:rsidRDefault="004D643E" w:rsidP="003C45F0">
      <w:pPr>
        <w:pStyle w:val="Titrearticle"/>
        <w:rPr>
          <w:noProof/>
        </w:rPr>
      </w:pPr>
      <w:r w:rsidRPr="002D52A1">
        <w:rPr>
          <w:noProof/>
        </w:rPr>
        <w:t>Článok 3</w:t>
      </w:r>
    </w:p>
    <w:p w14:paraId="32B5A313" w14:textId="5DBB6B8A" w:rsidR="00187889" w:rsidRPr="002D52A1" w:rsidRDefault="24FDF5E8" w:rsidP="00616974">
      <w:pPr>
        <w:jc w:val="center"/>
        <w:rPr>
          <w:b/>
          <w:bCs/>
          <w:noProof/>
        </w:rPr>
      </w:pPr>
      <w:r w:rsidRPr="002D52A1">
        <w:rPr>
          <w:b/>
          <w:noProof/>
        </w:rPr>
        <w:t>Memorandum</w:t>
      </w:r>
      <w:r w:rsidR="002D52A1">
        <w:rPr>
          <w:b/>
          <w:noProof/>
        </w:rPr>
        <w:t xml:space="preserve"> o </w:t>
      </w:r>
      <w:r w:rsidRPr="002D52A1">
        <w:rPr>
          <w:b/>
          <w:noProof/>
        </w:rPr>
        <w:t>porozumení</w:t>
      </w:r>
    </w:p>
    <w:p w14:paraId="7D3DD31C" w14:textId="585BDC06" w:rsidR="004D643E" w:rsidRPr="002D52A1" w:rsidRDefault="00D05784" w:rsidP="00D05784">
      <w:pPr>
        <w:pStyle w:val="ManualNumPar1"/>
        <w:rPr>
          <w:noProof/>
        </w:rPr>
      </w:pPr>
      <w:r w:rsidRPr="00D05784">
        <w:t>1.</w:t>
      </w:r>
      <w:r w:rsidRPr="00D05784">
        <w:tab/>
      </w:r>
      <w:r w:rsidR="004D643E" w:rsidRPr="002D52A1">
        <w:rPr>
          <w:noProof/>
        </w:rPr>
        <w:t>Komisia sa dohodne</w:t>
      </w:r>
      <w:r w:rsidR="002D52A1">
        <w:rPr>
          <w:noProof/>
        </w:rPr>
        <w:t xml:space="preserve"> s </w:t>
      </w:r>
      <w:r w:rsidR="004D643E" w:rsidRPr="002D52A1">
        <w:rPr>
          <w:noProof/>
        </w:rPr>
        <w:t>Ukrajinou na politických podmienkach,</w:t>
      </w:r>
      <w:r w:rsidR="002D52A1">
        <w:rPr>
          <w:noProof/>
        </w:rPr>
        <w:t xml:space="preserve"> s </w:t>
      </w:r>
      <w:r w:rsidR="004D643E" w:rsidRPr="002D52A1">
        <w:rPr>
          <w:noProof/>
        </w:rPr>
        <w:t>ktorými má byť výnimočná makrofinančná pomoc Únie spojená. Politické podmienky sa prijmú</w:t>
      </w:r>
      <w:r w:rsidR="002D52A1">
        <w:rPr>
          <w:noProof/>
        </w:rPr>
        <w:t xml:space="preserve"> v </w:t>
      </w:r>
      <w:r w:rsidR="004D643E" w:rsidRPr="002D52A1">
        <w:rPr>
          <w:noProof/>
        </w:rPr>
        <w:t>súlade</w:t>
      </w:r>
      <w:r w:rsidR="002D52A1">
        <w:rPr>
          <w:noProof/>
        </w:rPr>
        <w:t xml:space="preserve"> s </w:t>
      </w:r>
      <w:r w:rsidR="004D643E" w:rsidRPr="002D52A1">
        <w:rPr>
          <w:noProof/>
        </w:rPr>
        <w:t>postupom preskúmania uvedeným</w:t>
      </w:r>
      <w:r w:rsidR="002D52A1">
        <w:rPr>
          <w:noProof/>
        </w:rPr>
        <w:t xml:space="preserve"> v </w:t>
      </w:r>
      <w:r w:rsidR="004D643E" w:rsidRPr="002D52A1">
        <w:rPr>
          <w:noProof/>
        </w:rPr>
        <w:t>článku 14 ods. 2. Uvedené politické podmienky sa stanovia</w:t>
      </w:r>
      <w:r w:rsidR="002D52A1">
        <w:rPr>
          <w:noProof/>
        </w:rPr>
        <w:t xml:space="preserve"> v </w:t>
      </w:r>
      <w:r w:rsidR="004D643E" w:rsidRPr="002D52A1">
        <w:rPr>
          <w:noProof/>
        </w:rPr>
        <w:t>memorande</w:t>
      </w:r>
      <w:r w:rsidR="002D52A1">
        <w:rPr>
          <w:noProof/>
        </w:rPr>
        <w:t xml:space="preserve"> o </w:t>
      </w:r>
      <w:r w:rsidR="004D643E" w:rsidRPr="002D52A1">
        <w:rPr>
          <w:noProof/>
        </w:rPr>
        <w:t>porozumení.</w:t>
      </w:r>
    </w:p>
    <w:p w14:paraId="47D8D6C0" w14:textId="2717D53A" w:rsidR="004D643E" w:rsidRPr="002D52A1" w:rsidRDefault="00D05784" w:rsidP="00D05784">
      <w:pPr>
        <w:pStyle w:val="ManualNumPar1"/>
        <w:rPr>
          <w:noProof/>
        </w:rPr>
      </w:pPr>
      <w:r w:rsidRPr="00D05784">
        <w:t>2.</w:t>
      </w:r>
      <w:r w:rsidRPr="00D05784">
        <w:tab/>
      </w:r>
      <w:r w:rsidR="2D6D47E0" w:rsidRPr="002D52A1">
        <w:rPr>
          <w:noProof/>
        </w:rPr>
        <w:t>Požiadavky na podávanie správ prijaté</w:t>
      </w:r>
      <w:r w:rsidR="002D52A1">
        <w:rPr>
          <w:noProof/>
        </w:rPr>
        <w:t xml:space="preserve"> v </w:t>
      </w:r>
      <w:r w:rsidR="2D6D47E0" w:rsidRPr="002D52A1">
        <w:rPr>
          <w:noProof/>
        </w:rPr>
        <w:t>súvislosti</w:t>
      </w:r>
      <w:r w:rsidR="002D52A1">
        <w:rPr>
          <w:noProof/>
        </w:rPr>
        <w:t xml:space="preserve"> s </w:t>
      </w:r>
      <w:r w:rsidR="2D6D47E0" w:rsidRPr="002D52A1">
        <w:rPr>
          <w:noProof/>
        </w:rPr>
        <w:t>prvou časťou tejto výnimočnej makrofinančnej pomoci sa zahrnú do memoranda</w:t>
      </w:r>
      <w:r w:rsidR="002D52A1">
        <w:rPr>
          <w:noProof/>
        </w:rPr>
        <w:t xml:space="preserve"> o </w:t>
      </w:r>
      <w:r w:rsidR="2D6D47E0" w:rsidRPr="002D52A1">
        <w:rPr>
          <w:noProof/>
        </w:rPr>
        <w:t>porozumení</w:t>
      </w:r>
      <w:r w:rsidR="002D52A1">
        <w:rPr>
          <w:noProof/>
        </w:rPr>
        <w:t xml:space="preserve"> a </w:t>
      </w:r>
      <w:r w:rsidR="2D6D47E0" w:rsidRPr="002D52A1">
        <w:rPr>
          <w:noProof/>
        </w:rPr>
        <w:t>zabezpečí sa nimi najmä účinnosť, transparentnosť</w:t>
      </w:r>
      <w:r w:rsidR="002D52A1">
        <w:rPr>
          <w:noProof/>
        </w:rPr>
        <w:t xml:space="preserve"> a </w:t>
      </w:r>
      <w:r w:rsidR="2D6D47E0" w:rsidRPr="002D52A1">
        <w:rPr>
          <w:noProof/>
        </w:rPr>
        <w:t>zodpovednosť za využívanie výnimočnej makrofinančnej pomoci Únie.</w:t>
      </w:r>
    </w:p>
    <w:p w14:paraId="64B36E12" w14:textId="66AA1C98" w:rsidR="004D643E" w:rsidRPr="002D52A1" w:rsidRDefault="00D05784" w:rsidP="00D05784">
      <w:pPr>
        <w:pStyle w:val="ManualNumPar1"/>
        <w:rPr>
          <w:noProof/>
        </w:rPr>
      </w:pPr>
      <w:r w:rsidRPr="00D05784">
        <w:t>3.</w:t>
      </w:r>
      <w:r w:rsidRPr="00D05784">
        <w:tab/>
      </w:r>
      <w:r w:rsidR="70243B41" w:rsidRPr="002D52A1">
        <w:rPr>
          <w:noProof/>
        </w:rPr>
        <w:t>Podrobné finančné podmienky výnimočnej makrofinančnej pomoci Únie sa stanovia</w:t>
      </w:r>
      <w:r w:rsidR="002D52A1">
        <w:rPr>
          <w:noProof/>
        </w:rPr>
        <w:t xml:space="preserve"> v </w:t>
      </w:r>
      <w:r w:rsidR="70243B41" w:rsidRPr="002D52A1">
        <w:rPr>
          <w:noProof/>
        </w:rPr>
        <w:t>dohode</w:t>
      </w:r>
      <w:r w:rsidR="002D52A1">
        <w:rPr>
          <w:noProof/>
        </w:rPr>
        <w:t xml:space="preserve"> o </w:t>
      </w:r>
      <w:r w:rsidR="70243B41" w:rsidRPr="002D52A1">
        <w:rPr>
          <w:noProof/>
        </w:rPr>
        <w:t>úvere, ktorá sa uzavrie medzi Komisiou</w:t>
      </w:r>
      <w:r w:rsidR="002D52A1">
        <w:rPr>
          <w:noProof/>
        </w:rPr>
        <w:t xml:space="preserve"> a </w:t>
      </w:r>
      <w:r w:rsidR="70243B41" w:rsidRPr="002D52A1">
        <w:rPr>
          <w:noProof/>
        </w:rPr>
        <w:t>Ukrajinou.</w:t>
      </w:r>
    </w:p>
    <w:p w14:paraId="52929F13" w14:textId="5079AB36" w:rsidR="004D643E" w:rsidRPr="002D52A1" w:rsidRDefault="00D05784" w:rsidP="00D05784">
      <w:pPr>
        <w:pStyle w:val="ManualNumPar1"/>
        <w:rPr>
          <w:noProof/>
        </w:rPr>
      </w:pPr>
      <w:r w:rsidRPr="00D05784">
        <w:t>4.</w:t>
      </w:r>
      <w:r w:rsidRPr="00D05784">
        <w:tab/>
      </w:r>
      <w:r w:rsidR="70243B41" w:rsidRPr="002D52A1">
        <w:rPr>
          <w:noProof/>
        </w:rPr>
        <w:t>Komisia</w:t>
      </w:r>
      <w:r w:rsidR="002D52A1">
        <w:rPr>
          <w:noProof/>
        </w:rPr>
        <w:t xml:space="preserve"> v </w:t>
      </w:r>
      <w:r w:rsidR="70243B41" w:rsidRPr="002D52A1">
        <w:rPr>
          <w:noProof/>
        </w:rPr>
        <w:t>pravidelných intervaloch overuje plnenie požiadaviek na podávanie správ</w:t>
      </w:r>
      <w:r w:rsidR="002D52A1">
        <w:rPr>
          <w:noProof/>
        </w:rPr>
        <w:t xml:space="preserve"> a </w:t>
      </w:r>
      <w:r w:rsidR="70243B41" w:rsidRPr="002D52A1">
        <w:rPr>
          <w:noProof/>
        </w:rPr>
        <w:t>pokrok pri plnení politických podmienok dohodnutých</w:t>
      </w:r>
      <w:r w:rsidR="002D52A1">
        <w:rPr>
          <w:noProof/>
        </w:rPr>
        <w:t xml:space="preserve"> v </w:t>
      </w:r>
      <w:r w:rsidR="70243B41" w:rsidRPr="002D52A1">
        <w:rPr>
          <w:noProof/>
        </w:rPr>
        <w:t>memorande</w:t>
      </w:r>
      <w:r w:rsidR="002D52A1">
        <w:rPr>
          <w:noProof/>
        </w:rPr>
        <w:t xml:space="preserve"> o </w:t>
      </w:r>
      <w:r w:rsidR="70243B41" w:rsidRPr="002D52A1">
        <w:rPr>
          <w:noProof/>
        </w:rPr>
        <w:t>porozumení. Komisia</w:t>
      </w:r>
      <w:r w:rsidR="002D52A1">
        <w:rPr>
          <w:noProof/>
        </w:rPr>
        <w:t xml:space="preserve"> o </w:t>
      </w:r>
      <w:r w:rsidR="70243B41" w:rsidRPr="002D52A1">
        <w:rPr>
          <w:noProof/>
        </w:rPr>
        <w:t>výsledkoch uvedeného overenia informuje Európsky parlament</w:t>
      </w:r>
      <w:r w:rsidR="002D52A1">
        <w:rPr>
          <w:noProof/>
        </w:rPr>
        <w:t xml:space="preserve"> a </w:t>
      </w:r>
      <w:r w:rsidR="70243B41" w:rsidRPr="002D52A1">
        <w:rPr>
          <w:noProof/>
        </w:rPr>
        <w:t>Radu.</w:t>
      </w:r>
    </w:p>
    <w:p w14:paraId="5DED8360" w14:textId="77777777" w:rsidR="004D643E" w:rsidRPr="002D52A1" w:rsidRDefault="004D643E" w:rsidP="003C45F0">
      <w:pPr>
        <w:pStyle w:val="Titrearticle"/>
        <w:rPr>
          <w:noProof/>
        </w:rPr>
      </w:pPr>
      <w:r w:rsidRPr="002D52A1">
        <w:rPr>
          <w:noProof/>
        </w:rPr>
        <w:t>Článok 4</w:t>
      </w:r>
    </w:p>
    <w:p w14:paraId="7BD5F428" w14:textId="77777777" w:rsidR="00187889" w:rsidRPr="002D52A1" w:rsidRDefault="29339EBF" w:rsidP="00616974">
      <w:pPr>
        <w:jc w:val="center"/>
        <w:rPr>
          <w:noProof/>
        </w:rPr>
      </w:pPr>
      <w:r w:rsidRPr="002D52A1">
        <w:rPr>
          <w:b/>
          <w:noProof/>
        </w:rPr>
        <w:t>Uvoľnenie výnimočnej makrofinančnej pomoci</w:t>
      </w:r>
    </w:p>
    <w:p w14:paraId="5A048D27" w14:textId="1CC86FE7" w:rsidR="004D643E" w:rsidRPr="002D52A1" w:rsidRDefault="00D05784" w:rsidP="00D05784">
      <w:pPr>
        <w:pStyle w:val="ManualNumPar1"/>
        <w:rPr>
          <w:noProof/>
        </w:rPr>
      </w:pPr>
      <w:r w:rsidRPr="00D05784">
        <w:t>1.</w:t>
      </w:r>
      <w:r w:rsidRPr="00D05784">
        <w:tab/>
      </w:r>
      <w:r w:rsidR="004D643E" w:rsidRPr="002D52A1">
        <w:rPr>
          <w:noProof/>
        </w:rPr>
        <w:t>Za predpokladu splnenia požiadaviek uvedených</w:t>
      </w:r>
      <w:r w:rsidR="002D52A1">
        <w:rPr>
          <w:noProof/>
        </w:rPr>
        <w:t xml:space="preserve"> v </w:t>
      </w:r>
      <w:r w:rsidR="004D643E" w:rsidRPr="002D52A1">
        <w:rPr>
          <w:noProof/>
        </w:rPr>
        <w:t>odseku 3 poskytne Komisia výnimočnú makrofinančnú pomoc Únie</w:t>
      </w:r>
      <w:r w:rsidR="002D52A1">
        <w:rPr>
          <w:noProof/>
        </w:rPr>
        <w:t xml:space="preserve"> v </w:t>
      </w:r>
      <w:r w:rsidR="004D643E" w:rsidRPr="002D52A1">
        <w:rPr>
          <w:noProof/>
        </w:rPr>
        <w:t>splátkach,</w:t>
      </w:r>
      <w:r w:rsidR="002D52A1">
        <w:rPr>
          <w:noProof/>
        </w:rPr>
        <w:t xml:space="preserve"> z </w:t>
      </w:r>
      <w:r w:rsidR="004D643E" w:rsidRPr="002D52A1">
        <w:rPr>
          <w:noProof/>
        </w:rPr>
        <w:t>ktorých každá pozostáva</w:t>
      </w:r>
      <w:r w:rsidR="002D52A1">
        <w:rPr>
          <w:noProof/>
        </w:rPr>
        <w:t xml:space="preserve"> z </w:t>
      </w:r>
      <w:r w:rsidR="004D643E" w:rsidRPr="002D52A1">
        <w:rPr>
          <w:noProof/>
        </w:rPr>
        <w:t>úveru. Komisia rozhodne</w:t>
      </w:r>
      <w:r w:rsidR="002D52A1">
        <w:rPr>
          <w:noProof/>
        </w:rPr>
        <w:t xml:space="preserve"> o </w:t>
      </w:r>
      <w:r w:rsidR="004D643E" w:rsidRPr="002D52A1">
        <w:rPr>
          <w:noProof/>
        </w:rPr>
        <w:t>harmonograme vyplatenia každej splátky. Splátka môže byť vyplatená</w:t>
      </w:r>
      <w:r w:rsidR="002D52A1">
        <w:rPr>
          <w:noProof/>
        </w:rPr>
        <w:t xml:space="preserve"> v </w:t>
      </w:r>
      <w:r w:rsidR="004D643E" w:rsidRPr="002D52A1">
        <w:rPr>
          <w:noProof/>
        </w:rPr>
        <w:t>jednej tranži alebo vo viacerých tranžiach.</w:t>
      </w:r>
    </w:p>
    <w:p w14:paraId="7BA7FD49" w14:textId="5204CA0F" w:rsidR="00187889" w:rsidRPr="002D52A1" w:rsidRDefault="00D05784" w:rsidP="00D05784">
      <w:pPr>
        <w:pStyle w:val="ManualNumPar1"/>
        <w:rPr>
          <w:noProof/>
        </w:rPr>
      </w:pPr>
      <w:r w:rsidRPr="00D05784">
        <w:t>2.</w:t>
      </w:r>
      <w:r w:rsidRPr="00D05784">
        <w:tab/>
      </w:r>
      <w:r w:rsidR="24FDF5E8" w:rsidRPr="002D52A1">
        <w:rPr>
          <w:noProof/>
        </w:rPr>
        <w:t>Uvoľnenie výnimočnej makrofinančnej pomoci Únie riadi Komisia spôsobom, ktorý je</w:t>
      </w:r>
      <w:r w:rsidR="002D52A1">
        <w:rPr>
          <w:noProof/>
        </w:rPr>
        <w:t xml:space="preserve"> v </w:t>
      </w:r>
      <w:r w:rsidR="24FDF5E8" w:rsidRPr="002D52A1">
        <w:rPr>
          <w:noProof/>
        </w:rPr>
        <w:t>súlade</w:t>
      </w:r>
      <w:r w:rsidR="002D52A1">
        <w:rPr>
          <w:noProof/>
        </w:rPr>
        <w:t xml:space="preserve"> s </w:t>
      </w:r>
      <w:r w:rsidR="24FDF5E8" w:rsidRPr="002D52A1">
        <w:rPr>
          <w:noProof/>
        </w:rPr>
        <w:t>dohodami alebo dohovormi medzi Komisiou</w:t>
      </w:r>
      <w:r w:rsidR="002D52A1">
        <w:rPr>
          <w:noProof/>
        </w:rPr>
        <w:t xml:space="preserve"> a </w:t>
      </w:r>
      <w:r w:rsidR="24FDF5E8" w:rsidRPr="002D52A1">
        <w:rPr>
          <w:noProof/>
        </w:rPr>
        <w:t>Ukrajinou</w:t>
      </w:r>
      <w:r w:rsidR="002D52A1">
        <w:rPr>
          <w:noProof/>
        </w:rPr>
        <w:t xml:space="preserve"> v </w:t>
      </w:r>
      <w:r w:rsidR="24FDF5E8" w:rsidRPr="002D52A1">
        <w:rPr>
          <w:noProof/>
        </w:rPr>
        <w:t>memorande</w:t>
      </w:r>
      <w:r w:rsidR="002D52A1">
        <w:rPr>
          <w:noProof/>
        </w:rPr>
        <w:t xml:space="preserve"> o </w:t>
      </w:r>
      <w:r w:rsidR="24FDF5E8" w:rsidRPr="002D52A1">
        <w:rPr>
          <w:noProof/>
        </w:rPr>
        <w:t>porozumení uvedenom</w:t>
      </w:r>
      <w:r w:rsidR="002D52A1">
        <w:rPr>
          <w:noProof/>
        </w:rPr>
        <w:t xml:space="preserve"> v </w:t>
      </w:r>
      <w:r w:rsidR="24FDF5E8" w:rsidRPr="002D52A1">
        <w:rPr>
          <w:noProof/>
        </w:rPr>
        <w:t>článku 3 ods. 1.</w:t>
      </w:r>
    </w:p>
    <w:p w14:paraId="08519484" w14:textId="06D5C575" w:rsidR="002D52A1" w:rsidRPr="002D52A1" w:rsidRDefault="00D05784" w:rsidP="00D05784">
      <w:pPr>
        <w:pStyle w:val="ManualNumPar1"/>
        <w:rPr>
          <w:noProof/>
        </w:rPr>
      </w:pPr>
      <w:r w:rsidRPr="00D05784">
        <w:t>3.</w:t>
      </w:r>
      <w:r w:rsidRPr="00D05784">
        <w:tab/>
      </w:r>
      <w:r w:rsidR="2D6D47E0" w:rsidRPr="002D52A1">
        <w:rPr>
          <w:noProof/>
        </w:rPr>
        <w:t>Komisia rozhoduje</w:t>
      </w:r>
      <w:r w:rsidR="002D52A1">
        <w:rPr>
          <w:noProof/>
        </w:rPr>
        <w:t xml:space="preserve"> o </w:t>
      </w:r>
      <w:r w:rsidR="2D6D47E0" w:rsidRPr="002D52A1">
        <w:rPr>
          <w:noProof/>
        </w:rPr>
        <w:t>uvoľnení splátok po tom, ako posúdi tieto požiadavky</w:t>
      </w:r>
      <w:r w:rsidR="002D52A1" w:rsidRPr="002D52A1">
        <w:rPr>
          <w:noProof/>
        </w:rPr>
        <w:t>:</w:t>
      </w:r>
    </w:p>
    <w:p w14:paraId="09F8C898" w14:textId="4722D68B" w:rsidR="002D52A1" w:rsidRPr="002D52A1" w:rsidRDefault="002D52A1" w:rsidP="002D52A1">
      <w:pPr>
        <w:pStyle w:val="Point1"/>
        <w:rPr>
          <w:noProof/>
        </w:rPr>
      </w:pPr>
      <w:r>
        <w:rPr>
          <w:noProof/>
        </w:rPr>
        <w:t>a)</w:t>
      </w:r>
      <w:r>
        <w:rPr>
          <w:noProof/>
        </w:rPr>
        <w:tab/>
      </w:r>
      <w:r w:rsidR="00DA6B52" w:rsidRPr="002D52A1">
        <w:rPr>
          <w:noProof/>
        </w:rPr>
        <w:t>dodržanie podmienky stanovenej</w:t>
      </w:r>
      <w:r>
        <w:rPr>
          <w:noProof/>
        </w:rPr>
        <w:t xml:space="preserve"> v </w:t>
      </w:r>
      <w:r w:rsidR="00DA6B52" w:rsidRPr="002D52A1">
        <w:rPr>
          <w:noProof/>
        </w:rPr>
        <w:t>článku 2 ods. 1</w:t>
      </w:r>
      <w:r w:rsidRPr="002D52A1">
        <w:rPr>
          <w:noProof/>
        </w:rPr>
        <w:t>;</w:t>
      </w:r>
    </w:p>
    <w:p w14:paraId="05F7FE4B" w14:textId="5B205933" w:rsidR="00604E2B" w:rsidRPr="002D52A1" w:rsidRDefault="002D52A1" w:rsidP="002D52A1">
      <w:pPr>
        <w:pStyle w:val="Point1"/>
        <w:rPr>
          <w:noProof/>
        </w:rPr>
      </w:pPr>
      <w:r>
        <w:rPr>
          <w:noProof/>
        </w:rPr>
        <w:t>b)</w:t>
      </w:r>
      <w:r>
        <w:rPr>
          <w:noProof/>
        </w:rPr>
        <w:tab/>
      </w:r>
      <w:r w:rsidR="00604E2B" w:rsidRPr="002D52A1">
        <w:rPr>
          <w:noProof/>
        </w:rPr>
        <w:t>uspokojivé plnenie požiadaviek na podávanie správ, ktoré sa dohodli</w:t>
      </w:r>
      <w:r>
        <w:rPr>
          <w:noProof/>
        </w:rPr>
        <w:t xml:space="preserve"> v </w:t>
      </w:r>
      <w:r w:rsidR="00604E2B" w:rsidRPr="002D52A1">
        <w:rPr>
          <w:noProof/>
        </w:rPr>
        <w:t>memorande</w:t>
      </w:r>
      <w:r>
        <w:rPr>
          <w:noProof/>
        </w:rPr>
        <w:t xml:space="preserve"> o </w:t>
      </w:r>
      <w:r w:rsidR="00604E2B" w:rsidRPr="002D52A1">
        <w:rPr>
          <w:noProof/>
        </w:rPr>
        <w:t>porozumení;</w:t>
      </w:r>
    </w:p>
    <w:p w14:paraId="4D2460A1" w14:textId="789B58C1" w:rsidR="00604E2B" w:rsidRPr="002D52A1" w:rsidRDefault="002D52A1" w:rsidP="002D52A1">
      <w:pPr>
        <w:pStyle w:val="Point1"/>
        <w:rPr>
          <w:noProof/>
        </w:rPr>
      </w:pPr>
      <w:r>
        <w:rPr>
          <w:noProof/>
        </w:rPr>
        <w:t>c)</w:t>
      </w:r>
      <w:r>
        <w:rPr>
          <w:noProof/>
        </w:rPr>
        <w:tab/>
      </w:r>
      <w:r w:rsidR="00604E2B" w:rsidRPr="002D52A1">
        <w:rPr>
          <w:noProof/>
        </w:rPr>
        <w:t>v prípade druhej splátky</w:t>
      </w:r>
      <w:r>
        <w:rPr>
          <w:noProof/>
        </w:rPr>
        <w:t xml:space="preserve"> a </w:t>
      </w:r>
      <w:r w:rsidR="00604E2B" w:rsidRPr="002D52A1">
        <w:rPr>
          <w:noProof/>
        </w:rPr>
        <w:t>nasledujúcich splátok uspokojivý pokrok pri plnení politických podmienok dohodnutých</w:t>
      </w:r>
      <w:r>
        <w:rPr>
          <w:noProof/>
        </w:rPr>
        <w:t xml:space="preserve"> v </w:t>
      </w:r>
      <w:r w:rsidR="00604E2B" w:rsidRPr="002D52A1">
        <w:rPr>
          <w:noProof/>
        </w:rPr>
        <w:t>memorande</w:t>
      </w:r>
      <w:r>
        <w:rPr>
          <w:noProof/>
        </w:rPr>
        <w:t xml:space="preserve"> o </w:t>
      </w:r>
      <w:r w:rsidR="00604E2B" w:rsidRPr="002D52A1">
        <w:rPr>
          <w:noProof/>
        </w:rPr>
        <w:t>porozumení.</w:t>
      </w:r>
    </w:p>
    <w:p w14:paraId="6315F304" w14:textId="7C97CA3B" w:rsidR="003E4A69" w:rsidRPr="002D52A1" w:rsidRDefault="003E4A69" w:rsidP="009405C2">
      <w:pPr>
        <w:pStyle w:val="Text1"/>
        <w:rPr>
          <w:noProof/>
        </w:rPr>
      </w:pPr>
      <w:r w:rsidRPr="002D52A1">
        <w:rPr>
          <w:noProof/>
        </w:rPr>
        <w:t>Komisia pred vyplatením maximálnej sumy makrofinančnej pomoci overí splnenie všetkých politických podmienok dohodnutých</w:t>
      </w:r>
      <w:r w:rsidR="002D52A1">
        <w:rPr>
          <w:noProof/>
        </w:rPr>
        <w:t xml:space="preserve"> v </w:t>
      </w:r>
      <w:r w:rsidRPr="002D52A1">
        <w:rPr>
          <w:noProof/>
        </w:rPr>
        <w:t>memorande</w:t>
      </w:r>
      <w:r w:rsidR="002D52A1">
        <w:rPr>
          <w:noProof/>
        </w:rPr>
        <w:t xml:space="preserve"> o </w:t>
      </w:r>
      <w:r w:rsidRPr="002D52A1">
        <w:rPr>
          <w:noProof/>
        </w:rPr>
        <w:t>porozumení.</w:t>
      </w:r>
    </w:p>
    <w:p w14:paraId="5C18CD53" w14:textId="3424E79A" w:rsidR="004D643E" w:rsidRPr="002D52A1" w:rsidRDefault="00D05784" w:rsidP="00D05784">
      <w:pPr>
        <w:pStyle w:val="ManualNumPar1"/>
        <w:rPr>
          <w:rFonts w:eastAsiaTheme="minorEastAsia"/>
          <w:noProof/>
        </w:rPr>
      </w:pPr>
      <w:r w:rsidRPr="00D05784">
        <w:t>4.</w:t>
      </w:r>
      <w:r w:rsidRPr="00D05784">
        <w:tab/>
      </w:r>
      <w:r w:rsidR="2D6D47E0" w:rsidRPr="002D52A1">
        <w:rPr>
          <w:noProof/>
        </w:rPr>
        <w:t>V prípade, že požiadavky stanovené</w:t>
      </w:r>
      <w:r w:rsidR="002D52A1">
        <w:rPr>
          <w:noProof/>
        </w:rPr>
        <w:t xml:space="preserve"> v </w:t>
      </w:r>
      <w:r w:rsidR="2D6D47E0" w:rsidRPr="002D52A1">
        <w:rPr>
          <w:noProof/>
        </w:rPr>
        <w:t>odseku 3 nie sú splnené, Komisia dočasne pozastaví alebo zruší vyplácanie výnimočnej makrofinančnej pomoci Únie.</w:t>
      </w:r>
      <w:r w:rsidR="002D52A1">
        <w:rPr>
          <w:noProof/>
        </w:rPr>
        <w:t xml:space="preserve"> V </w:t>
      </w:r>
      <w:r w:rsidR="2D6D47E0" w:rsidRPr="002D52A1">
        <w:rPr>
          <w:noProof/>
        </w:rPr>
        <w:t>takýchto prípadoch oznámi Európskemu parlamentu</w:t>
      </w:r>
      <w:r w:rsidR="002D52A1">
        <w:rPr>
          <w:noProof/>
        </w:rPr>
        <w:t xml:space="preserve"> a </w:t>
      </w:r>
      <w:r w:rsidR="2D6D47E0" w:rsidRPr="002D52A1">
        <w:rPr>
          <w:noProof/>
        </w:rPr>
        <w:t>Rade dôvody pozastavenia alebo zrušenia.</w:t>
      </w:r>
    </w:p>
    <w:p w14:paraId="3E89C012" w14:textId="21E04788" w:rsidR="004D643E" w:rsidRPr="002D52A1" w:rsidRDefault="00D05784" w:rsidP="00D05784">
      <w:pPr>
        <w:pStyle w:val="ManualNumPar1"/>
        <w:rPr>
          <w:noProof/>
        </w:rPr>
      </w:pPr>
      <w:r w:rsidRPr="00D05784">
        <w:t>5.</w:t>
      </w:r>
      <w:r w:rsidRPr="00D05784">
        <w:tab/>
      </w:r>
      <w:r w:rsidR="2D6D47E0" w:rsidRPr="002D52A1">
        <w:rPr>
          <w:noProof/>
        </w:rPr>
        <w:t>Výnimočná makrofinančná pomoc Únie sa</w:t>
      </w:r>
      <w:r w:rsidR="002D52A1">
        <w:rPr>
          <w:noProof/>
        </w:rPr>
        <w:t xml:space="preserve"> v </w:t>
      </w:r>
      <w:r w:rsidR="2D6D47E0" w:rsidRPr="002D52A1">
        <w:rPr>
          <w:noProof/>
        </w:rPr>
        <w:t>zásade vypláca Národnej banke Ukrajiny.</w:t>
      </w:r>
      <w:r w:rsidR="002D52A1">
        <w:rPr>
          <w:noProof/>
        </w:rPr>
        <w:t xml:space="preserve"> V </w:t>
      </w:r>
      <w:r w:rsidR="2D6D47E0" w:rsidRPr="002D52A1">
        <w:rPr>
          <w:noProof/>
        </w:rPr>
        <w:t>súlade</w:t>
      </w:r>
      <w:r w:rsidR="002D52A1">
        <w:rPr>
          <w:noProof/>
        </w:rPr>
        <w:t xml:space="preserve"> s </w:t>
      </w:r>
      <w:r w:rsidR="2D6D47E0" w:rsidRPr="002D52A1">
        <w:rPr>
          <w:noProof/>
        </w:rPr>
        <w:t>ustanoveniami, ktoré sa majú dohodnúť</w:t>
      </w:r>
      <w:r w:rsidR="002D52A1">
        <w:rPr>
          <w:noProof/>
        </w:rPr>
        <w:t xml:space="preserve"> v </w:t>
      </w:r>
      <w:r w:rsidR="2D6D47E0" w:rsidRPr="002D52A1">
        <w:rPr>
          <w:noProof/>
        </w:rPr>
        <w:t>memorande</w:t>
      </w:r>
      <w:r w:rsidR="002D52A1">
        <w:rPr>
          <w:noProof/>
        </w:rPr>
        <w:t xml:space="preserve"> o </w:t>
      </w:r>
      <w:r w:rsidR="2D6D47E0" w:rsidRPr="002D52A1">
        <w:rPr>
          <w:noProof/>
        </w:rPr>
        <w:t>porozumení,</w:t>
      </w:r>
      <w:r w:rsidR="002D52A1">
        <w:rPr>
          <w:noProof/>
        </w:rPr>
        <w:t xml:space="preserve"> a </w:t>
      </w:r>
      <w:r w:rsidR="2D6D47E0" w:rsidRPr="002D52A1">
        <w:rPr>
          <w:noProof/>
        </w:rPr>
        <w:t>to vrátane potvrdenia zostatkových potrieb financovania rozpočtu, sa finančné prostriedky Únie môžu vyplatiť ukrajinskému ministerstvu financií ako konečnému prijímateľovi.</w:t>
      </w:r>
    </w:p>
    <w:p w14:paraId="459A40FD" w14:textId="77777777" w:rsidR="00DE6CD2" w:rsidRPr="002D52A1" w:rsidRDefault="00DE6CD2" w:rsidP="00DE6CD2">
      <w:pPr>
        <w:pStyle w:val="Titrearticle"/>
        <w:rPr>
          <w:noProof/>
        </w:rPr>
      </w:pPr>
      <w:r w:rsidRPr="002D52A1">
        <w:rPr>
          <w:noProof/>
        </w:rPr>
        <w:t>Článok 5</w:t>
      </w:r>
    </w:p>
    <w:p w14:paraId="67390DDF" w14:textId="27E8BB93" w:rsidR="002D52A1" w:rsidRPr="002D52A1" w:rsidRDefault="53EF17ED" w:rsidP="00D10749">
      <w:pPr>
        <w:jc w:val="center"/>
        <w:rPr>
          <w:noProof/>
        </w:rPr>
      </w:pPr>
      <w:r w:rsidRPr="002D52A1">
        <w:rPr>
          <w:b/>
          <w:noProof/>
        </w:rPr>
        <w:t>Operácie prijímania</w:t>
      </w:r>
      <w:r w:rsidR="002D52A1">
        <w:rPr>
          <w:b/>
          <w:noProof/>
        </w:rPr>
        <w:t xml:space="preserve"> a </w:t>
      </w:r>
      <w:r w:rsidRPr="002D52A1">
        <w:rPr>
          <w:b/>
          <w:noProof/>
        </w:rPr>
        <w:t>poskytovania pôžičiek</w:t>
      </w:r>
    </w:p>
    <w:p w14:paraId="007DCF97" w14:textId="24746F58" w:rsidR="002D52A1" w:rsidRPr="002D52A1" w:rsidRDefault="00D05784" w:rsidP="00D05784">
      <w:pPr>
        <w:pStyle w:val="ManualNumPar1"/>
        <w:rPr>
          <w:noProof/>
        </w:rPr>
      </w:pPr>
      <w:r w:rsidRPr="00D05784">
        <w:t>1.</w:t>
      </w:r>
      <w:r w:rsidRPr="00D05784">
        <w:tab/>
      </w:r>
      <w:r w:rsidR="00DE6CD2" w:rsidRPr="002D52A1">
        <w:rPr>
          <w:noProof/>
        </w:rPr>
        <w:t>Operácie prijímania</w:t>
      </w:r>
      <w:r w:rsidR="002D52A1">
        <w:rPr>
          <w:noProof/>
        </w:rPr>
        <w:t xml:space="preserve"> a </w:t>
      </w:r>
      <w:r w:rsidR="00DE6CD2" w:rsidRPr="002D52A1">
        <w:rPr>
          <w:noProof/>
        </w:rPr>
        <w:t>poskytovania pôžičiek sa vykonávajú</w:t>
      </w:r>
      <w:r w:rsidR="002D52A1">
        <w:rPr>
          <w:noProof/>
        </w:rPr>
        <w:t xml:space="preserve"> v </w:t>
      </w:r>
      <w:r w:rsidR="00DE6CD2" w:rsidRPr="002D52A1">
        <w:rPr>
          <w:noProof/>
        </w:rPr>
        <w:t>súlade</w:t>
      </w:r>
      <w:r w:rsidR="002D52A1">
        <w:rPr>
          <w:noProof/>
        </w:rPr>
        <w:t xml:space="preserve"> s </w:t>
      </w:r>
      <w:r w:rsidR="00DE6CD2" w:rsidRPr="002D52A1">
        <w:rPr>
          <w:noProof/>
        </w:rPr>
        <w:t>článkom 220 nariadenia</w:t>
      </w:r>
      <w:r w:rsidR="002D52A1">
        <w:rPr>
          <w:noProof/>
        </w:rPr>
        <w:t xml:space="preserve"> o </w:t>
      </w:r>
      <w:r w:rsidR="00DE6CD2" w:rsidRPr="002D52A1">
        <w:rPr>
          <w:noProof/>
        </w:rPr>
        <w:t>rozpočtových pravidlách</w:t>
      </w:r>
      <w:r w:rsidR="002D52A1" w:rsidRPr="002D52A1">
        <w:rPr>
          <w:noProof/>
        </w:rPr>
        <w:t>.</w:t>
      </w:r>
    </w:p>
    <w:p w14:paraId="487FE2AD" w14:textId="1BE7BE18" w:rsidR="00DE6CD2" w:rsidRPr="002D52A1" w:rsidRDefault="00D05784" w:rsidP="00D05784">
      <w:pPr>
        <w:pStyle w:val="ManualNumPar1"/>
        <w:rPr>
          <w:noProof/>
        </w:rPr>
      </w:pPr>
      <w:r w:rsidRPr="00D05784">
        <w:t>2.</w:t>
      </w:r>
      <w:r w:rsidRPr="00D05784">
        <w:tab/>
      </w:r>
      <w:r w:rsidR="00DE6CD2" w:rsidRPr="002D52A1">
        <w:rPr>
          <w:noProof/>
        </w:rPr>
        <w:t>V prípade nutnosti môže Komisia odchylne od článku 220 ods. 2 nariadenia</w:t>
      </w:r>
      <w:r w:rsidR="002D52A1">
        <w:rPr>
          <w:noProof/>
        </w:rPr>
        <w:t xml:space="preserve"> o </w:t>
      </w:r>
      <w:r w:rsidR="00DE6CD2" w:rsidRPr="002D52A1">
        <w:rPr>
          <w:noProof/>
        </w:rPr>
        <w:t>rozpočtových pravidlách obnoviť súvisiace zmluvy</w:t>
      </w:r>
      <w:r w:rsidR="002D52A1">
        <w:rPr>
          <w:noProof/>
        </w:rPr>
        <w:t xml:space="preserve"> o </w:t>
      </w:r>
      <w:r w:rsidR="00DE6CD2" w:rsidRPr="002D52A1">
        <w:rPr>
          <w:noProof/>
        </w:rPr>
        <w:t>pôžičkách uzavreté</w:t>
      </w:r>
      <w:r w:rsidR="002D52A1">
        <w:rPr>
          <w:noProof/>
        </w:rPr>
        <w:t xml:space="preserve"> v </w:t>
      </w:r>
      <w:r w:rsidR="00DE6CD2" w:rsidRPr="002D52A1">
        <w:rPr>
          <w:noProof/>
        </w:rPr>
        <w:t>mene Únie.</w:t>
      </w:r>
    </w:p>
    <w:p w14:paraId="6D27D0CD" w14:textId="77777777" w:rsidR="004D643E" w:rsidRPr="002D52A1" w:rsidRDefault="004D643E" w:rsidP="00DA6B52">
      <w:pPr>
        <w:pStyle w:val="Titrearticle"/>
        <w:rPr>
          <w:noProof/>
        </w:rPr>
      </w:pPr>
      <w:r w:rsidRPr="002D52A1">
        <w:rPr>
          <w:noProof/>
        </w:rPr>
        <w:t>Článok 6</w:t>
      </w:r>
    </w:p>
    <w:p w14:paraId="2B822D07" w14:textId="77777777" w:rsidR="007B7AFC" w:rsidRPr="002D52A1" w:rsidRDefault="53EF17ED" w:rsidP="00D10749">
      <w:pPr>
        <w:jc w:val="center"/>
        <w:rPr>
          <w:b/>
          <w:bCs/>
          <w:noProof/>
        </w:rPr>
      </w:pPr>
      <w:r w:rsidRPr="002D52A1">
        <w:rPr>
          <w:b/>
          <w:noProof/>
        </w:rPr>
        <w:t>Bonifikácia úrokov</w:t>
      </w:r>
    </w:p>
    <w:p w14:paraId="3C063664" w14:textId="0C5E6224" w:rsidR="004D643E" w:rsidRPr="002D52A1" w:rsidRDefault="00D05784" w:rsidP="00D05784">
      <w:pPr>
        <w:pStyle w:val="ManualNumPar1"/>
        <w:rPr>
          <w:noProof/>
        </w:rPr>
      </w:pPr>
      <w:r w:rsidRPr="00D05784">
        <w:t>1.</w:t>
      </w:r>
      <w:r w:rsidRPr="00D05784">
        <w:tab/>
      </w:r>
      <w:r w:rsidR="032CBFED" w:rsidRPr="002D52A1">
        <w:rPr>
          <w:noProof/>
        </w:rPr>
        <w:t>Únia môže odchylne od článku 220 ods. 5 písm. e) nariadenia</w:t>
      </w:r>
      <w:r w:rsidR="002D52A1">
        <w:rPr>
          <w:noProof/>
        </w:rPr>
        <w:t xml:space="preserve"> o </w:t>
      </w:r>
      <w:r w:rsidR="032CBFED" w:rsidRPr="002D52A1">
        <w:rPr>
          <w:noProof/>
        </w:rPr>
        <w:t>rozpočtových pravidlách znášať úroky poskytnutím bonifikácie úrokov</w:t>
      </w:r>
      <w:r w:rsidR="002D52A1">
        <w:rPr>
          <w:noProof/>
        </w:rPr>
        <w:t xml:space="preserve"> a </w:t>
      </w:r>
      <w:r w:rsidR="032CBFED" w:rsidRPr="002D52A1">
        <w:rPr>
          <w:noProof/>
        </w:rPr>
        <w:t>krytia administratívnych nákladov súvisiacich</w:t>
      </w:r>
      <w:r w:rsidR="002D52A1">
        <w:rPr>
          <w:noProof/>
        </w:rPr>
        <w:t xml:space="preserve"> s </w:t>
      </w:r>
      <w:r w:rsidR="032CBFED" w:rsidRPr="002D52A1">
        <w:rPr>
          <w:noProof/>
        </w:rPr>
        <w:t>prijímaním</w:t>
      </w:r>
      <w:r w:rsidR="002D52A1">
        <w:rPr>
          <w:noProof/>
        </w:rPr>
        <w:t xml:space="preserve"> a </w:t>
      </w:r>
      <w:r w:rsidR="032CBFED" w:rsidRPr="002D52A1">
        <w:rPr>
          <w:noProof/>
        </w:rPr>
        <w:t>poskytovaním pôžičiek okrem nákladov súvisiacich</w:t>
      </w:r>
      <w:r w:rsidR="002D52A1">
        <w:rPr>
          <w:noProof/>
        </w:rPr>
        <w:t xml:space="preserve"> s </w:t>
      </w:r>
      <w:r w:rsidR="032CBFED" w:rsidRPr="002D52A1">
        <w:rPr>
          <w:noProof/>
        </w:rPr>
        <w:t>predčasným splatením úveru, pokiaľ ide</w:t>
      </w:r>
      <w:r w:rsidR="002D52A1">
        <w:rPr>
          <w:noProof/>
        </w:rPr>
        <w:t xml:space="preserve"> o </w:t>
      </w:r>
      <w:r w:rsidR="032CBFED" w:rsidRPr="002D52A1">
        <w:rPr>
          <w:noProof/>
        </w:rPr>
        <w:t>úvery podľa tohto rozhodnutia.</w:t>
      </w:r>
    </w:p>
    <w:p w14:paraId="556173CB" w14:textId="6493923F" w:rsidR="009044EA" w:rsidRPr="002D52A1" w:rsidRDefault="00D05784" w:rsidP="00D05784">
      <w:pPr>
        <w:pStyle w:val="ManualNumPar1"/>
        <w:rPr>
          <w:noProof/>
        </w:rPr>
      </w:pPr>
      <w:r w:rsidRPr="00D05784">
        <w:t>2.</w:t>
      </w:r>
      <w:r w:rsidRPr="00D05784">
        <w:tab/>
      </w:r>
      <w:r w:rsidR="2D6D47E0" w:rsidRPr="002D52A1">
        <w:rPr>
          <w:noProof/>
        </w:rPr>
        <w:t>Ukrajina môže požiadať</w:t>
      </w:r>
      <w:r w:rsidR="002D52A1">
        <w:rPr>
          <w:noProof/>
        </w:rPr>
        <w:t xml:space="preserve"> o </w:t>
      </w:r>
      <w:r w:rsidR="2D6D47E0" w:rsidRPr="002D52A1">
        <w:rPr>
          <w:noProof/>
        </w:rPr>
        <w:t>bonifikáciu úrokov</w:t>
      </w:r>
      <w:r w:rsidR="002D52A1">
        <w:rPr>
          <w:noProof/>
        </w:rPr>
        <w:t xml:space="preserve"> a </w:t>
      </w:r>
      <w:r w:rsidR="2D6D47E0" w:rsidRPr="002D52A1">
        <w:rPr>
          <w:noProof/>
        </w:rPr>
        <w:t>pokrytie administratívnych nákladov Úniou každý rok do konca marca.</w:t>
      </w:r>
    </w:p>
    <w:p w14:paraId="16A407F1" w14:textId="05B75063" w:rsidR="00DE6CD2" w:rsidRPr="002D52A1" w:rsidRDefault="00D05784" w:rsidP="00D05784">
      <w:pPr>
        <w:pStyle w:val="ManualNumPar1"/>
        <w:rPr>
          <w:noProof/>
        </w:rPr>
      </w:pPr>
      <w:r w:rsidRPr="00D05784">
        <w:t>3.</w:t>
      </w:r>
      <w:r w:rsidRPr="00D05784">
        <w:tab/>
      </w:r>
      <w:r w:rsidR="71A42874" w:rsidRPr="002D52A1">
        <w:rPr>
          <w:noProof/>
        </w:rPr>
        <w:t>Finančné krytie uvedené</w:t>
      </w:r>
      <w:r w:rsidR="002D52A1">
        <w:rPr>
          <w:noProof/>
        </w:rPr>
        <w:t xml:space="preserve"> v </w:t>
      </w:r>
      <w:r w:rsidR="71A42874" w:rsidRPr="002D52A1">
        <w:rPr>
          <w:noProof/>
        </w:rPr>
        <w:t>článku 6 ods. 2 písm. a) prvej zarážke nariadenia (EÚ) 2021/947 sa použije na pokrytie nákladov na platby úrokov</w:t>
      </w:r>
      <w:r w:rsidR="002D52A1">
        <w:rPr>
          <w:noProof/>
        </w:rPr>
        <w:t xml:space="preserve"> v </w:t>
      </w:r>
      <w:r w:rsidR="71A42874" w:rsidRPr="002D52A1">
        <w:rPr>
          <w:noProof/>
        </w:rPr>
        <w:t>súvislosti</w:t>
      </w:r>
      <w:r w:rsidR="002D52A1">
        <w:rPr>
          <w:noProof/>
        </w:rPr>
        <w:t xml:space="preserve"> s </w:t>
      </w:r>
      <w:r w:rsidR="71A42874" w:rsidRPr="002D52A1">
        <w:rPr>
          <w:noProof/>
        </w:rPr>
        <w:t>makrofinančnou pomocou počas obdobia 2021 – 2027 vo forme bonifikácie úrokov.</w:t>
      </w:r>
    </w:p>
    <w:p w14:paraId="2DD1702F" w14:textId="77777777" w:rsidR="00D518F3" w:rsidRPr="002D52A1" w:rsidRDefault="00D518F3" w:rsidP="00D518F3">
      <w:pPr>
        <w:pStyle w:val="Titrearticle"/>
        <w:rPr>
          <w:noProof/>
        </w:rPr>
      </w:pPr>
      <w:r w:rsidRPr="002D52A1">
        <w:rPr>
          <w:noProof/>
        </w:rPr>
        <w:t>Článok 7</w:t>
      </w:r>
    </w:p>
    <w:p w14:paraId="56C9876D" w14:textId="2700157E" w:rsidR="007B7AFC" w:rsidRPr="002D52A1" w:rsidRDefault="007B7AFC" w:rsidP="007B7AFC">
      <w:pPr>
        <w:pStyle w:val="Text1"/>
        <w:jc w:val="center"/>
        <w:rPr>
          <w:b/>
          <w:noProof/>
        </w:rPr>
      </w:pPr>
      <w:r w:rsidRPr="002D52A1">
        <w:rPr>
          <w:b/>
          <w:noProof/>
        </w:rPr>
        <w:t>Informovanie Európskeho parlamentu</w:t>
      </w:r>
      <w:r w:rsidR="002D52A1">
        <w:rPr>
          <w:b/>
          <w:noProof/>
        </w:rPr>
        <w:t xml:space="preserve"> a </w:t>
      </w:r>
      <w:r w:rsidRPr="002D52A1">
        <w:rPr>
          <w:b/>
          <w:noProof/>
        </w:rPr>
        <w:t>Rady</w:t>
      </w:r>
    </w:p>
    <w:p w14:paraId="0C5D3DF6" w14:textId="0A62A5AF" w:rsidR="00187889" w:rsidRPr="002D52A1" w:rsidRDefault="004D643E" w:rsidP="00D518F3">
      <w:pPr>
        <w:rPr>
          <w:noProof/>
        </w:rPr>
      </w:pPr>
      <w:r w:rsidRPr="002D52A1">
        <w:rPr>
          <w:noProof/>
        </w:rPr>
        <w:t>Komisia informuje Európsky parlament</w:t>
      </w:r>
      <w:r w:rsidR="002D52A1">
        <w:rPr>
          <w:noProof/>
        </w:rPr>
        <w:t xml:space="preserve"> a </w:t>
      </w:r>
      <w:r w:rsidRPr="002D52A1">
        <w:rPr>
          <w:noProof/>
        </w:rPr>
        <w:t>Radu</w:t>
      </w:r>
      <w:r w:rsidR="002D52A1">
        <w:rPr>
          <w:noProof/>
        </w:rPr>
        <w:t xml:space="preserve"> o </w:t>
      </w:r>
      <w:r w:rsidRPr="002D52A1">
        <w:rPr>
          <w:noProof/>
        </w:rPr>
        <w:t>vývoji</w:t>
      </w:r>
      <w:r w:rsidR="002D52A1">
        <w:rPr>
          <w:noProof/>
        </w:rPr>
        <w:t xml:space="preserve"> v </w:t>
      </w:r>
      <w:r w:rsidRPr="002D52A1">
        <w:rPr>
          <w:noProof/>
        </w:rPr>
        <w:t>súvislosti</w:t>
      </w:r>
      <w:r w:rsidR="002D52A1">
        <w:rPr>
          <w:noProof/>
        </w:rPr>
        <w:t xml:space="preserve"> s </w:t>
      </w:r>
      <w:r w:rsidRPr="002D52A1">
        <w:rPr>
          <w:noProof/>
        </w:rPr>
        <w:t>poskytovaním výnimočnej makrofinančnej pomoci Únie vrátane jej vyplácania</w:t>
      </w:r>
      <w:r w:rsidR="002D52A1">
        <w:rPr>
          <w:noProof/>
        </w:rPr>
        <w:t xml:space="preserve"> a o </w:t>
      </w:r>
      <w:r w:rsidRPr="002D52A1">
        <w:rPr>
          <w:noProof/>
        </w:rPr>
        <w:t>vývoji operácií uvedených</w:t>
      </w:r>
      <w:r w:rsidR="002D52A1">
        <w:rPr>
          <w:noProof/>
        </w:rPr>
        <w:t xml:space="preserve"> v </w:t>
      </w:r>
      <w:r w:rsidRPr="002D52A1">
        <w:rPr>
          <w:noProof/>
        </w:rPr>
        <w:t>článku 5 ods. 2</w:t>
      </w:r>
      <w:r w:rsidR="002D52A1">
        <w:rPr>
          <w:noProof/>
        </w:rPr>
        <w:t xml:space="preserve"> a </w:t>
      </w:r>
      <w:r w:rsidRPr="002D52A1">
        <w:rPr>
          <w:noProof/>
        </w:rPr>
        <w:t>3</w:t>
      </w:r>
      <w:r w:rsidR="002D52A1">
        <w:rPr>
          <w:noProof/>
        </w:rPr>
        <w:t xml:space="preserve"> a </w:t>
      </w:r>
      <w:r w:rsidRPr="002D52A1">
        <w:rPr>
          <w:noProof/>
        </w:rPr>
        <w:t>uvedeným inštitúciám včas poskytuje príslušné dokumenty.</w:t>
      </w:r>
    </w:p>
    <w:p w14:paraId="701EC647" w14:textId="77777777" w:rsidR="004D643E" w:rsidRPr="002D52A1" w:rsidRDefault="176DECB7" w:rsidP="00DA6B52">
      <w:pPr>
        <w:pStyle w:val="Titrearticle"/>
        <w:rPr>
          <w:noProof/>
        </w:rPr>
      </w:pPr>
      <w:r w:rsidRPr="002D52A1">
        <w:rPr>
          <w:noProof/>
        </w:rPr>
        <w:t>Článok 8</w:t>
      </w:r>
    </w:p>
    <w:p w14:paraId="67A98FAC" w14:textId="1D68D9F8" w:rsidR="007B7AFC" w:rsidRPr="002D52A1" w:rsidRDefault="007B7AFC" w:rsidP="007B7AFC">
      <w:pPr>
        <w:shd w:val="clear" w:color="auto" w:fill="FFFFFF" w:themeFill="background1"/>
        <w:spacing w:after="0"/>
        <w:jc w:val="center"/>
        <w:rPr>
          <w:rFonts w:eastAsia="Times New Roman"/>
          <w:b/>
          <w:noProof/>
        </w:rPr>
      </w:pPr>
      <w:r w:rsidRPr="002D52A1">
        <w:rPr>
          <w:b/>
          <w:noProof/>
        </w:rPr>
        <w:t>Posúdenie poskytovania výnimočnej makrofinančnej pomoci</w:t>
      </w:r>
    </w:p>
    <w:p w14:paraId="397B9772" w14:textId="1B8A5230" w:rsidR="007B7AFC" w:rsidRPr="002D52A1" w:rsidRDefault="00604E2B" w:rsidP="00604E2B">
      <w:pPr>
        <w:rPr>
          <w:noProof/>
        </w:rPr>
      </w:pPr>
      <w:r w:rsidRPr="002D52A1">
        <w:rPr>
          <w:noProof/>
        </w:rPr>
        <w:t>Komisia počas poskytovania makrofinančnej pomoci Únie opätovne posúdi prostredníctvom operatívneho posúdenia spoľahlivosť finančných opatrení, administratívnych postupov</w:t>
      </w:r>
      <w:r w:rsidR="002D52A1">
        <w:rPr>
          <w:noProof/>
        </w:rPr>
        <w:t xml:space="preserve"> a </w:t>
      </w:r>
      <w:r w:rsidRPr="002D52A1">
        <w:rPr>
          <w:noProof/>
        </w:rPr>
        <w:t>vnútorných</w:t>
      </w:r>
      <w:r w:rsidR="002D52A1">
        <w:rPr>
          <w:noProof/>
        </w:rPr>
        <w:t xml:space="preserve"> a </w:t>
      </w:r>
      <w:r w:rsidRPr="002D52A1">
        <w:rPr>
          <w:noProof/>
        </w:rPr>
        <w:t>vonkajších kontrolných mechanizmov Ukrajiny, ktoré sa týkajú tejto pomoci. Toto operatívne posúdenie sa môže uskutočniť spolu</w:t>
      </w:r>
      <w:r w:rsidR="002D52A1">
        <w:rPr>
          <w:noProof/>
        </w:rPr>
        <w:t xml:space="preserve"> s </w:t>
      </w:r>
      <w:r w:rsidRPr="002D52A1">
        <w:rPr>
          <w:noProof/>
        </w:rPr>
        <w:t>posúdením stanoveným</w:t>
      </w:r>
      <w:r w:rsidR="002D52A1">
        <w:rPr>
          <w:noProof/>
        </w:rPr>
        <w:t xml:space="preserve"> v </w:t>
      </w:r>
      <w:r w:rsidRPr="002D52A1">
        <w:rPr>
          <w:noProof/>
        </w:rPr>
        <w:t>rozhodnutí (EÚ) 2022/1201.</w:t>
      </w:r>
    </w:p>
    <w:p w14:paraId="3B522E00" w14:textId="77777777" w:rsidR="002D52A1" w:rsidRPr="002D52A1" w:rsidRDefault="0C52BBBD" w:rsidP="00DA6B52">
      <w:pPr>
        <w:pStyle w:val="ManualHeading2"/>
        <w:jc w:val="center"/>
        <w:rPr>
          <w:noProof/>
        </w:rPr>
      </w:pPr>
      <w:r w:rsidRPr="002D52A1">
        <w:rPr>
          <w:noProof/>
        </w:rPr>
        <w:t xml:space="preserve">Kapitola II </w:t>
      </w:r>
      <w:r w:rsidRPr="002D52A1">
        <w:rPr>
          <w:noProof/>
        </w:rPr>
        <w:br/>
        <w:t>Posilnenie spoločného rezervného fondu</w:t>
      </w:r>
    </w:p>
    <w:p w14:paraId="6F0EFBA1" w14:textId="12D61E39" w:rsidR="00A376B5" w:rsidRPr="002D52A1" w:rsidRDefault="00A376B5" w:rsidP="00DA6B52">
      <w:pPr>
        <w:pStyle w:val="ManualHeading2"/>
        <w:jc w:val="center"/>
        <w:rPr>
          <w:noProof/>
        </w:rPr>
      </w:pPr>
      <w:r w:rsidRPr="002D52A1">
        <w:rPr>
          <w:noProof/>
        </w:rPr>
        <w:t>Oddiel 1</w:t>
      </w:r>
    </w:p>
    <w:p w14:paraId="2CD83FA8" w14:textId="54F26FD0" w:rsidR="004D643E" w:rsidRPr="002D52A1" w:rsidRDefault="004D643E" w:rsidP="00DA6B52">
      <w:pPr>
        <w:pStyle w:val="ManualHeading2"/>
        <w:jc w:val="center"/>
        <w:rPr>
          <w:noProof/>
        </w:rPr>
      </w:pPr>
      <w:r w:rsidRPr="002D52A1">
        <w:rPr>
          <w:noProof/>
        </w:rPr>
        <w:t>Záruky členských štátov za výnimočnú makrofinančnú pomoc Únie podľa tohto rozhodnutia</w:t>
      </w:r>
      <w:r w:rsidR="002D52A1">
        <w:rPr>
          <w:noProof/>
        </w:rPr>
        <w:t xml:space="preserve"> a </w:t>
      </w:r>
      <w:r w:rsidRPr="002D52A1">
        <w:rPr>
          <w:noProof/>
        </w:rPr>
        <w:t>rozhodnutia (EÚ) 2021/1201</w:t>
      </w:r>
    </w:p>
    <w:p w14:paraId="7F0EE6B8" w14:textId="77777777" w:rsidR="004D643E" w:rsidRPr="002D52A1" w:rsidRDefault="004D643E" w:rsidP="00DA6B52">
      <w:pPr>
        <w:pStyle w:val="Titrearticle"/>
        <w:rPr>
          <w:noProof/>
        </w:rPr>
      </w:pPr>
      <w:r w:rsidRPr="002D52A1">
        <w:rPr>
          <w:noProof/>
        </w:rPr>
        <w:t>Článok 9</w:t>
      </w:r>
    </w:p>
    <w:p w14:paraId="79B6271D" w14:textId="77777777" w:rsidR="004D643E" w:rsidRPr="002D52A1" w:rsidRDefault="0C52BBBD" w:rsidP="26DEF6C3">
      <w:pPr>
        <w:jc w:val="center"/>
        <w:rPr>
          <w:b/>
          <w:bCs/>
          <w:noProof/>
        </w:rPr>
      </w:pPr>
      <w:r w:rsidRPr="002D52A1">
        <w:rPr>
          <w:b/>
          <w:noProof/>
        </w:rPr>
        <w:t>Príspevky vo forme záruk členských štátov</w:t>
      </w:r>
    </w:p>
    <w:p w14:paraId="5C07708E" w14:textId="47C5AE2A" w:rsidR="004D643E" w:rsidRPr="002D52A1" w:rsidRDefault="00D05784" w:rsidP="00D05784">
      <w:pPr>
        <w:pStyle w:val="ManualNumPar1"/>
        <w:rPr>
          <w:noProof/>
          <w:color w:val="000000" w:themeColor="text1"/>
        </w:rPr>
      </w:pPr>
      <w:r w:rsidRPr="00D05784">
        <w:t>1.</w:t>
      </w:r>
      <w:r w:rsidRPr="00D05784">
        <w:tab/>
      </w:r>
      <w:r w:rsidR="0C52BBBD" w:rsidRPr="002D52A1">
        <w:rPr>
          <w:noProof/>
        </w:rPr>
        <w:t>Členské štáty môžu doplniť rezervy vytvorené so zreteľom na makrofinančnú pomoc, ktoré sú držané</w:t>
      </w:r>
      <w:r w:rsidR="002D52A1">
        <w:rPr>
          <w:noProof/>
        </w:rPr>
        <w:t xml:space="preserve"> v </w:t>
      </w:r>
      <w:r w:rsidR="0C52BBBD" w:rsidRPr="002D52A1">
        <w:rPr>
          <w:noProof/>
        </w:rPr>
        <w:t>spoločnom rezervnom fonde, poskytnutím záruk do celkovej výšky 3 660 000 000 EUR</w:t>
      </w:r>
      <w:r w:rsidR="002D52A1">
        <w:rPr>
          <w:noProof/>
        </w:rPr>
        <w:t xml:space="preserve"> v </w:t>
      </w:r>
      <w:r w:rsidR="0C52BBBD" w:rsidRPr="002D52A1">
        <w:rPr>
          <w:noProof/>
        </w:rPr>
        <w:t>súvislosti</w:t>
      </w:r>
      <w:r w:rsidR="002D52A1">
        <w:rPr>
          <w:noProof/>
        </w:rPr>
        <w:t xml:space="preserve"> s </w:t>
      </w:r>
      <w:r w:rsidR="0C52BBBD" w:rsidRPr="002D52A1">
        <w:rPr>
          <w:noProof/>
        </w:rPr>
        <w:t>výnimočnou makrofinančnou pomocou Únie Ukrajine podľa článku 1 tohto rozhodnutia</w:t>
      </w:r>
      <w:r w:rsidR="002D52A1">
        <w:rPr>
          <w:noProof/>
        </w:rPr>
        <w:t xml:space="preserve"> a </w:t>
      </w:r>
      <w:r w:rsidR="0C52BBBD" w:rsidRPr="002D52A1">
        <w:rPr>
          <w:noProof/>
        </w:rPr>
        <w:t xml:space="preserve">podľa rozhodnutia (EÚ) 2022/1201 </w:t>
      </w:r>
      <w:r w:rsidR="0C52BBBD" w:rsidRPr="002D52A1">
        <w:rPr>
          <w:noProof/>
          <w:color w:val="000000" w:themeColor="text1"/>
        </w:rPr>
        <w:t>(ďalej len „kryté makrofinančné pomoci“).</w:t>
      </w:r>
    </w:p>
    <w:p w14:paraId="684CD8B8" w14:textId="368FDAB2" w:rsidR="002D52A1" w:rsidRPr="002D52A1" w:rsidRDefault="00D05784" w:rsidP="00D05784">
      <w:pPr>
        <w:pStyle w:val="ManualNumPar1"/>
        <w:rPr>
          <w:noProof/>
          <w:color w:val="000000" w:themeColor="text1"/>
        </w:rPr>
      </w:pPr>
      <w:r w:rsidRPr="00D05784">
        <w:t>2.</w:t>
      </w:r>
      <w:r w:rsidRPr="00D05784">
        <w:tab/>
      </w:r>
      <w:r w:rsidR="378F764A" w:rsidRPr="002D52A1">
        <w:rPr>
          <w:noProof/>
        </w:rPr>
        <w:t>Prípadné príspevky členských štátov sa poskytujú vo forme záruk, ktoré sú neodvolateľné, bezpodmienečné</w:t>
      </w:r>
      <w:r w:rsidR="002D52A1">
        <w:rPr>
          <w:noProof/>
        </w:rPr>
        <w:t xml:space="preserve"> a </w:t>
      </w:r>
      <w:r w:rsidR="378F764A" w:rsidRPr="002D52A1">
        <w:rPr>
          <w:noProof/>
        </w:rPr>
        <w:t>dostupné na požiadanie,</w:t>
      </w:r>
      <w:r w:rsidR="002D52A1">
        <w:rPr>
          <w:noProof/>
        </w:rPr>
        <w:t xml:space="preserve"> a </w:t>
      </w:r>
      <w:r w:rsidR="378F764A" w:rsidRPr="002D52A1">
        <w:rPr>
          <w:noProof/>
        </w:rPr>
        <w:t>to prostredníctvom dohody</w:t>
      </w:r>
      <w:r w:rsidR="002D52A1">
        <w:rPr>
          <w:noProof/>
        </w:rPr>
        <w:t xml:space="preserve"> o </w:t>
      </w:r>
      <w:r w:rsidR="378F764A" w:rsidRPr="002D52A1">
        <w:rPr>
          <w:noProof/>
        </w:rPr>
        <w:t xml:space="preserve">záruke </w:t>
      </w:r>
      <w:r w:rsidR="378F764A" w:rsidRPr="002D52A1">
        <w:rPr>
          <w:noProof/>
          <w:color w:val="000000" w:themeColor="text1"/>
        </w:rPr>
        <w:t>uzavretej</w:t>
      </w:r>
      <w:r w:rsidR="002D52A1">
        <w:rPr>
          <w:noProof/>
          <w:color w:val="000000" w:themeColor="text1"/>
        </w:rPr>
        <w:t xml:space="preserve"> s </w:t>
      </w:r>
      <w:r w:rsidR="378F764A" w:rsidRPr="002D52A1">
        <w:rPr>
          <w:noProof/>
          <w:color w:val="000000" w:themeColor="text1"/>
        </w:rPr>
        <w:t>Komisiou</w:t>
      </w:r>
      <w:r w:rsidR="002D52A1">
        <w:rPr>
          <w:noProof/>
          <w:color w:val="000000" w:themeColor="text1"/>
        </w:rPr>
        <w:t xml:space="preserve"> v </w:t>
      </w:r>
      <w:r w:rsidR="378F764A" w:rsidRPr="002D52A1">
        <w:rPr>
          <w:noProof/>
          <w:color w:val="000000" w:themeColor="text1"/>
        </w:rPr>
        <w:t>súlade</w:t>
      </w:r>
      <w:r w:rsidR="002D52A1">
        <w:rPr>
          <w:noProof/>
          <w:color w:val="000000" w:themeColor="text1"/>
        </w:rPr>
        <w:t xml:space="preserve"> s </w:t>
      </w:r>
      <w:r w:rsidR="378F764A" w:rsidRPr="002D52A1">
        <w:rPr>
          <w:noProof/>
          <w:color w:val="000000" w:themeColor="text1"/>
        </w:rPr>
        <w:t>článkom 10</w:t>
      </w:r>
      <w:r w:rsidR="002D52A1" w:rsidRPr="002D52A1">
        <w:rPr>
          <w:noProof/>
          <w:color w:val="000000" w:themeColor="text1"/>
        </w:rPr>
        <w:t>.</w:t>
      </w:r>
    </w:p>
    <w:p w14:paraId="58998121" w14:textId="31D79585" w:rsidR="004D643E" w:rsidRPr="002D52A1" w:rsidRDefault="00D05784" w:rsidP="00D05784">
      <w:pPr>
        <w:pStyle w:val="ManualNumPar1"/>
        <w:rPr>
          <w:noProof/>
        </w:rPr>
      </w:pPr>
      <w:r w:rsidRPr="00D05784">
        <w:t>3.</w:t>
      </w:r>
      <w:r w:rsidRPr="00D05784">
        <w:tab/>
      </w:r>
      <w:r w:rsidR="2D6D47E0" w:rsidRPr="002D52A1">
        <w:rPr>
          <w:noProof/>
        </w:rPr>
        <w:t>Pomerný podiel príspevku príslušného členského štátu</w:t>
      </w:r>
      <w:r w:rsidR="002D52A1">
        <w:rPr>
          <w:noProof/>
        </w:rPr>
        <w:t xml:space="preserve"> k </w:t>
      </w:r>
      <w:r w:rsidR="2D6D47E0" w:rsidRPr="002D52A1">
        <w:rPr>
          <w:noProof/>
        </w:rPr>
        <w:t>sume uvedenej</w:t>
      </w:r>
      <w:r w:rsidR="002D52A1">
        <w:rPr>
          <w:noProof/>
        </w:rPr>
        <w:t xml:space="preserve"> v </w:t>
      </w:r>
      <w:r w:rsidR="2D6D47E0" w:rsidRPr="002D52A1">
        <w:rPr>
          <w:noProof/>
        </w:rPr>
        <w:t>odseku 1 zodpovedá pomernému podielu daného členského štátu na celkovom hrubom národnom dôchodku Únie, ako vyplýva zo stĺpca (1) tabuľky 4</w:t>
      </w:r>
      <w:r w:rsidR="002D52A1">
        <w:rPr>
          <w:noProof/>
        </w:rPr>
        <w:t xml:space="preserve"> v </w:t>
      </w:r>
      <w:r w:rsidR="2D6D47E0" w:rsidRPr="002D52A1">
        <w:rPr>
          <w:noProof/>
        </w:rPr>
        <w:t>časti A („Financovanie ročného rozpočtu Únie, úvod“) okruhu Celkové príjmy rozpočtu na rok 2022, stanoveného vo všeobecnom rozpočte Únie na rozpočtový rok 2022 prijatom 24</w:t>
      </w:r>
      <w:r w:rsidR="002D52A1">
        <w:rPr>
          <w:noProof/>
        </w:rPr>
        <w:t>. novembra</w:t>
      </w:r>
      <w:r w:rsidR="2D6D47E0" w:rsidRPr="002D52A1">
        <w:rPr>
          <w:noProof/>
        </w:rPr>
        <w:t xml:space="preserve"> 2021.</w:t>
      </w:r>
    </w:p>
    <w:p w14:paraId="41B45359" w14:textId="2835C51C" w:rsidR="002D52A1" w:rsidRPr="002D52A1" w:rsidRDefault="00D05784" w:rsidP="00D05784">
      <w:pPr>
        <w:pStyle w:val="ManualNumPar1"/>
        <w:rPr>
          <w:noProof/>
        </w:rPr>
      </w:pPr>
      <w:r w:rsidRPr="00D05784">
        <w:t>4.</w:t>
      </w:r>
      <w:r w:rsidRPr="00D05784">
        <w:tab/>
      </w:r>
      <w:r w:rsidR="2D6D47E0" w:rsidRPr="002D52A1">
        <w:rPr>
          <w:noProof/>
        </w:rPr>
        <w:t>Záruky sa vo vzťahu</w:t>
      </w:r>
      <w:r w:rsidR="002D52A1">
        <w:rPr>
          <w:noProof/>
        </w:rPr>
        <w:t xml:space="preserve"> k </w:t>
      </w:r>
      <w:r w:rsidR="2D6D47E0" w:rsidRPr="002D52A1">
        <w:rPr>
          <w:noProof/>
        </w:rPr>
        <w:t>jednotlivým členským štátom stanú platnými</w:t>
      </w:r>
      <w:r w:rsidR="002D52A1">
        <w:rPr>
          <w:noProof/>
        </w:rPr>
        <w:t xml:space="preserve"> v </w:t>
      </w:r>
      <w:r w:rsidR="2D6D47E0" w:rsidRPr="002D52A1">
        <w:rPr>
          <w:noProof/>
        </w:rPr>
        <w:t>deň nadobudnutia platnosti dohody</w:t>
      </w:r>
      <w:r w:rsidR="002D52A1">
        <w:rPr>
          <w:noProof/>
        </w:rPr>
        <w:t xml:space="preserve"> o </w:t>
      </w:r>
      <w:r w:rsidR="2D6D47E0" w:rsidRPr="002D52A1">
        <w:rPr>
          <w:noProof/>
        </w:rPr>
        <w:t>záruke medzi Komisiou</w:t>
      </w:r>
      <w:r w:rsidR="002D52A1">
        <w:rPr>
          <w:noProof/>
        </w:rPr>
        <w:t xml:space="preserve"> a </w:t>
      </w:r>
      <w:r w:rsidR="2D6D47E0" w:rsidRPr="002D52A1">
        <w:rPr>
          <w:noProof/>
        </w:rPr>
        <w:t>daným členským štátom uvedenej</w:t>
      </w:r>
      <w:r w:rsidR="002D52A1">
        <w:rPr>
          <w:noProof/>
        </w:rPr>
        <w:t xml:space="preserve"> v </w:t>
      </w:r>
      <w:r w:rsidR="2D6D47E0" w:rsidRPr="002D52A1">
        <w:rPr>
          <w:noProof/>
        </w:rPr>
        <w:t>článku 10</w:t>
      </w:r>
      <w:r w:rsidR="002D52A1" w:rsidRPr="002D52A1">
        <w:rPr>
          <w:noProof/>
        </w:rPr>
        <w:t>.</w:t>
      </w:r>
    </w:p>
    <w:p w14:paraId="390CD8BD" w14:textId="6722EB93" w:rsidR="004D643E" w:rsidRPr="002D52A1" w:rsidRDefault="004D643E" w:rsidP="009405C2">
      <w:pPr>
        <w:pStyle w:val="Titrearticle"/>
        <w:rPr>
          <w:noProof/>
        </w:rPr>
      </w:pPr>
      <w:r w:rsidRPr="002D52A1">
        <w:rPr>
          <w:noProof/>
        </w:rPr>
        <w:t>Článok 10</w:t>
      </w:r>
    </w:p>
    <w:p w14:paraId="3CE3A64C" w14:textId="609FEE20" w:rsidR="000556FA" w:rsidRPr="002D52A1" w:rsidRDefault="000556FA" w:rsidP="000556FA">
      <w:pPr>
        <w:jc w:val="center"/>
        <w:rPr>
          <w:b/>
          <w:noProof/>
        </w:rPr>
      </w:pPr>
      <w:r w:rsidRPr="002D52A1">
        <w:rPr>
          <w:b/>
          <w:noProof/>
        </w:rPr>
        <w:t>Dohody</w:t>
      </w:r>
      <w:r w:rsidR="002D52A1">
        <w:rPr>
          <w:b/>
          <w:noProof/>
        </w:rPr>
        <w:t xml:space="preserve"> o </w:t>
      </w:r>
      <w:r w:rsidRPr="002D52A1">
        <w:rPr>
          <w:b/>
          <w:noProof/>
        </w:rPr>
        <w:t>záruke</w:t>
      </w:r>
    </w:p>
    <w:p w14:paraId="773AE818" w14:textId="13D175B5" w:rsidR="002D52A1" w:rsidRPr="002D52A1" w:rsidRDefault="000556FA" w:rsidP="009405C2">
      <w:pPr>
        <w:rPr>
          <w:noProof/>
        </w:rPr>
      </w:pPr>
      <w:r w:rsidRPr="002D52A1">
        <w:rPr>
          <w:noProof/>
        </w:rPr>
        <w:t>Komisia uzatvorí</w:t>
      </w:r>
      <w:r w:rsidR="002D52A1">
        <w:rPr>
          <w:noProof/>
        </w:rPr>
        <w:t xml:space="preserve"> s </w:t>
      </w:r>
      <w:r w:rsidRPr="002D52A1">
        <w:rPr>
          <w:noProof/>
        </w:rPr>
        <w:t>každým členským štátom, ktorý poskytuje záruku podľa článku 9, dohodu</w:t>
      </w:r>
      <w:r w:rsidR="002D52A1">
        <w:rPr>
          <w:noProof/>
        </w:rPr>
        <w:t xml:space="preserve"> o </w:t>
      </w:r>
      <w:r w:rsidRPr="002D52A1">
        <w:rPr>
          <w:noProof/>
        </w:rPr>
        <w:t>záruke.</w:t>
      </w:r>
      <w:r w:rsidR="002D52A1">
        <w:rPr>
          <w:noProof/>
        </w:rPr>
        <w:t xml:space="preserve"> V </w:t>
      </w:r>
      <w:r w:rsidRPr="002D52A1">
        <w:rPr>
          <w:noProof/>
        </w:rPr>
        <w:t>uvedenej dohode sa stanovia pravidlá upravujúce záruku, ktoré sú pre všetky členské štáty rovnaké,</w:t>
      </w:r>
      <w:r w:rsidR="002D52A1">
        <w:rPr>
          <w:noProof/>
        </w:rPr>
        <w:t xml:space="preserve"> a </w:t>
      </w:r>
      <w:r w:rsidRPr="002D52A1">
        <w:rPr>
          <w:noProof/>
        </w:rPr>
        <w:t>to najmä vrátane ustanovení</w:t>
      </w:r>
      <w:r w:rsidR="002D52A1" w:rsidRPr="002D52A1">
        <w:rPr>
          <w:noProof/>
        </w:rPr>
        <w:t>:</w:t>
      </w:r>
    </w:p>
    <w:p w14:paraId="74ECE3C5" w14:textId="2905F366" w:rsidR="002D52A1" w:rsidRPr="002D52A1" w:rsidRDefault="002D52A1" w:rsidP="002D52A1">
      <w:pPr>
        <w:pStyle w:val="Point0"/>
        <w:rPr>
          <w:noProof/>
        </w:rPr>
      </w:pPr>
      <w:r>
        <w:rPr>
          <w:noProof/>
        </w:rPr>
        <w:t>b)</w:t>
      </w:r>
      <w:r>
        <w:rPr>
          <w:noProof/>
        </w:rPr>
        <w:tab/>
      </w:r>
      <w:r w:rsidR="77594846" w:rsidRPr="002D52A1">
        <w:rPr>
          <w:noProof/>
        </w:rPr>
        <w:t>ktorými sa stanoví povinnosť členských štátov splniť výzvy Komisie na plnenie zo záruky</w:t>
      </w:r>
      <w:r>
        <w:rPr>
          <w:noProof/>
        </w:rPr>
        <w:t xml:space="preserve"> v </w:t>
      </w:r>
      <w:r w:rsidR="77594846" w:rsidRPr="002D52A1">
        <w:rPr>
          <w:noProof/>
        </w:rPr>
        <w:t>súvislosti</w:t>
      </w:r>
      <w:r>
        <w:rPr>
          <w:noProof/>
        </w:rPr>
        <w:t xml:space="preserve"> s </w:t>
      </w:r>
      <w:r w:rsidR="77594846" w:rsidRPr="002D52A1">
        <w:rPr>
          <w:noProof/>
        </w:rPr>
        <w:t>krytými makrofinančnými pomocami po tom, ako boli alebo majú byť vyčerpané celkové sumy počiatočných rezerv vyčlenených</w:t>
      </w:r>
      <w:r>
        <w:rPr>
          <w:noProof/>
        </w:rPr>
        <w:t xml:space="preserve"> v </w:t>
      </w:r>
      <w:r w:rsidR="77594846" w:rsidRPr="002D52A1">
        <w:rPr>
          <w:noProof/>
        </w:rPr>
        <w:t>spoločnom rezervnom fonde</w:t>
      </w:r>
      <w:r>
        <w:rPr>
          <w:noProof/>
        </w:rPr>
        <w:t xml:space="preserve"> v </w:t>
      </w:r>
      <w:r w:rsidR="77594846" w:rsidRPr="002D52A1">
        <w:rPr>
          <w:noProof/>
        </w:rPr>
        <w:t>súvislosti</w:t>
      </w:r>
      <w:r>
        <w:rPr>
          <w:noProof/>
        </w:rPr>
        <w:t xml:space="preserve"> s </w:t>
      </w:r>
      <w:r w:rsidR="77594846" w:rsidRPr="002D52A1">
        <w:rPr>
          <w:noProof/>
        </w:rPr>
        <w:t>finančným záväzkom vyplývajúcim</w:t>
      </w:r>
      <w:r>
        <w:rPr>
          <w:noProof/>
        </w:rPr>
        <w:t xml:space="preserve"> z </w:t>
      </w:r>
      <w:r w:rsidR="77594846" w:rsidRPr="002D52A1">
        <w:rPr>
          <w:noProof/>
        </w:rPr>
        <w:t>krytých makrofinančných pomocí</w:t>
      </w:r>
      <w:r w:rsidRPr="002D52A1">
        <w:rPr>
          <w:noProof/>
        </w:rPr>
        <w:t>;</w:t>
      </w:r>
    </w:p>
    <w:p w14:paraId="5768C951" w14:textId="21C5B654" w:rsidR="002D52A1" w:rsidRPr="002D52A1" w:rsidRDefault="002D52A1" w:rsidP="002D52A1">
      <w:pPr>
        <w:pStyle w:val="Point0"/>
        <w:rPr>
          <w:noProof/>
        </w:rPr>
      </w:pPr>
      <w:r>
        <w:rPr>
          <w:noProof/>
        </w:rPr>
        <w:t>c)</w:t>
      </w:r>
      <w:r>
        <w:rPr>
          <w:noProof/>
        </w:rPr>
        <w:tab/>
      </w:r>
      <w:r w:rsidR="568C9416" w:rsidRPr="002D52A1">
        <w:rPr>
          <w:noProof/>
        </w:rPr>
        <w:t>ktorými sa zabezpečí, že výzvy na plnenie zo záruky sú pomerné</w:t>
      </w:r>
      <w:r>
        <w:rPr>
          <w:noProof/>
        </w:rPr>
        <w:t xml:space="preserve"> a </w:t>
      </w:r>
      <w:r w:rsidR="568C9416" w:rsidRPr="002D52A1">
        <w:rPr>
          <w:noProof/>
        </w:rPr>
        <w:t>vychádzajú</w:t>
      </w:r>
      <w:r>
        <w:rPr>
          <w:noProof/>
        </w:rPr>
        <w:t xml:space="preserve"> z </w:t>
      </w:r>
      <w:r w:rsidR="568C9416" w:rsidRPr="002D52A1">
        <w:rPr>
          <w:noProof/>
        </w:rPr>
        <w:t>kľúča na určenie príspevkov uvedeného</w:t>
      </w:r>
      <w:r>
        <w:rPr>
          <w:noProof/>
        </w:rPr>
        <w:t xml:space="preserve"> v </w:t>
      </w:r>
      <w:r w:rsidR="568C9416" w:rsidRPr="002D52A1">
        <w:rPr>
          <w:noProof/>
        </w:rPr>
        <w:t>článku 9 ods. 3</w:t>
      </w:r>
      <w:r w:rsidRPr="002D52A1">
        <w:rPr>
          <w:noProof/>
        </w:rPr>
        <w:t>;</w:t>
      </w:r>
    </w:p>
    <w:p w14:paraId="641FE0AA" w14:textId="4A0D2DA6" w:rsidR="00F3143D" w:rsidRPr="002D52A1" w:rsidRDefault="002D52A1" w:rsidP="002D52A1">
      <w:pPr>
        <w:pStyle w:val="Point0"/>
        <w:rPr>
          <w:rFonts w:eastAsiaTheme="minorEastAsia"/>
          <w:noProof/>
        </w:rPr>
      </w:pPr>
      <w:r>
        <w:rPr>
          <w:noProof/>
        </w:rPr>
        <w:t>d)</w:t>
      </w:r>
      <w:r>
        <w:rPr>
          <w:noProof/>
        </w:rPr>
        <w:tab/>
      </w:r>
      <w:r w:rsidR="00F3143D" w:rsidRPr="002D52A1">
        <w:rPr>
          <w:noProof/>
        </w:rPr>
        <w:t>ktorými sa zabezpečí, že</w:t>
      </w:r>
      <w:r>
        <w:rPr>
          <w:noProof/>
        </w:rPr>
        <w:t xml:space="preserve"> v </w:t>
      </w:r>
      <w:r w:rsidR="00F3143D" w:rsidRPr="002D52A1">
        <w:rPr>
          <w:noProof/>
        </w:rPr>
        <w:t>prípade nesplácania Ukrajinou,</w:t>
      </w:r>
      <w:r>
        <w:rPr>
          <w:noProof/>
        </w:rPr>
        <w:t xml:space="preserve"> a </w:t>
      </w:r>
      <w:r w:rsidR="00F3143D" w:rsidRPr="002D52A1">
        <w:rPr>
          <w:noProof/>
        </w:rPr>
        <w:t>to aj pokiaľ pôjde</w:t>
      </w:r>
      <w:r>
        <w:rPr>
          <w:noProof/>
        </w:rPr>
        <w:t xml:space="preserve"> o </w:t>
      </w:r>
      <w:r w:rsidR="00F3143D" w:rsidRPr="002D52A1">
        <w:rPr>
          <w:noProof/>
        </w:rPr>
        <w:t>očakávané nesplatenie, čo zahŕňa prípady úpravy harmonogramu splácania</w:t>
      </w:r>
      <w:r>
        <w:rPr>
          <w:noProof/>
        </w:rPr>
        <w:t xml:space="preserve"> z </w:t>
      </w:r>
      <w:r w:rsidR="00F3143D" w:rsidRPr="002D52A1">
        <w:rPr>
          <w:noProof/>
        </w:rPr>
        <w:t>akéhokoľvek dôvodu, výzvy na plnenie zo záruky zaistia schopnosť Únie splatiť finančné prostriedky podľa článku 1 ods. 2 vypožičané na kapitálových trhoch alebo od finančných inštitúcií;</w:t>
      </w:r>
    </w:p>
    <w:p w14:paraId="1D9A59EC" w14:textId="66102BBA" w:rsidR="002D52A1" w:rsidRPr="002D52A1" w:rsidRDefault="002D52A1" w:rsidP="002D52A1">
      <w:pPr>
        <w:pStyle w:val="Point0"/>
        <w:rPr>
          <w:noProof/>
        </w:rPr>
      </w:pPr>
      <w:r>
        <w:rPr>
          <w:noProof/>
        </w:rPr>
        <w:t>e)</w:t>
      </w:r>
      <w:r>
        <w:rPr>
          <w:noProof/>
        </w:rPr>
        <w:tab/>
      </w:r>
      <w:r w:rsidR="7DEB4FDF" w:rsidRPr="002D52A1">
        <w:rPr>
          <w:noProof/>
        </w:rPr>
        <w:t>ktorými sa zabezpečí, že výzvy na plnenie zo záruky môžu byť použité na doplnenie spoločného rezervného fondu na účely tvorby rezerv, ktoré boli vyčerpané</w:t>
      </w:r>
      <w:r>
        <w:rPr>
          <w:noProof/>
        </w:rPr>
        <w:t xml:space="preserve"> v </w:t>
      </w:r>
      <w:r w:rsidR="7DEB4FDF" w:rsidRPr="002D52A1">
        <w:rPr>
          <w:noProof/>
        </w:rPr>
        <w:t>súvislosti</w:t>
      </w:r>
      <w:r>
        <w:rPr>
          <w:noProof/>
        </w:rPr>
        <w:t xml:space="preserve"> s </w:t>
      </w:r>
      <w:r w:rsidR="7DEB4FDF" w:rsidRPr="002D52A1">
        <w:rPr>
          <w:noProof/>
        </w:rPr>
        <w:t>krytými makrofinančnými pomocami</w:t>
      </w:r>
      <w:r w:rsidRPr="002D52A1">
        <w:rPr>
          <w:noProof/>
        </w:rPr>
        <w:t>;</w:t>
      </w:r>
    </w:p>
    <w:p w14:paraId="017F8543" w14:textId="672978EF" w:rsidR="000556FA" w:rsidRPr="002D52A1" w:rsidRDefault="002D52A1" w:rsidP="002D52A1">
      <w:pPr>
        <w:pStyle w:val="Point0"/>
        <w:rPr>
          <w:noProof/>
        </w:rPr>
      </w:pPr>
      <w:r>
        <w:rPr>
          <w:noProof/>
        </w:rPr>
        <w:t>f)</w:t>
      </w:r>
      <w:r>
        <w:rPr>
          <w:noProof/>
        </w:rPr>
        <w:tab/>
      </w:r>
      <w:r w:rsidR="31680DA9" w:rsidRPr="002D52A1">
        <w:rPr>
          <w:noProof/>
        </w:rPr>
        <w:t>ktorými sa zabezpečí, že členský štát, ktorý výzvu nesplnil, zostáva zodpovedný za jej splnenie;</w:t>
      </w:r>
    </w:p>
    <w:p w14:paraId="14281C75" w14:textId="2A334E0B" w:rsidR="000556FA" w:rsidRPr="002D52A1" w:rsidRDefault="002D52A1" w:rsidP="002D52A1">
      <w:pPr>
        <w:pStyle w:val="Point0"/>
        <w:rPr>
          <w:noProof/>
        </w:rPr>
      </w:pPr>
      <w:r>
        <w:rPr>
          <w:noProof/>
        </w:rPr>
        <w:t>g)</w:t>
      </w:r>
      <w:r>
        <w:rPr>
          <w:noProof/>
        </w:rPr>
        <w:tab/>
      </w:r>
      <w:r w:rsidR="42862F9E" w:rsidRPr="002D52A1">
        <w:rPr>
          <w:noProof/>
        </w:rPr>
        <w:t>ktoré sa týkajú platobných podmienok.</w:t>
      </w:r>
    </w:p>
    <w:p w14:paraId="61D8620F" w14:textId="77777777" w:rsidR="000556FA" w:rsidRPr="002D52A1" w:rsidRDefault="00A376B5" w:rsidP="00DA6B52">
      <w:pPr>
        <w:jc w:val="center"/>
        <w:rPr>
          <w:b/>
          <w:noProof/>
        </w:rPr>
      </w:pPr>
      <w:r w:rsidRPr="002D52A1">
        <w:rPr>
          <w:b/>
          <w:noProof/>
        </w:rPr>
        <w:t>Oddiel 2</w:t>
      </w:r>
    </w:p>
    <w:p w14:paraId="4536CF93" w14:textId="3CD4374D" w:rsidR="00A376B5" w:rsidRPr="002D52A1" w:rsidRDefault="00A376B5" w:rsidP="00DA6B52">
      <w:pPr>
        <w:jc w:val="center"/>
        <w:rPr>
          <w:b/>
          <w:noProof/>
        </w:rPr>
      </w:pPr>
      <w:r w:rsidRPr="002D52A1">
        <w:rPr>
          <w:b/>
          <w:noProof/>
        </w:rPr>
        <w:t>Tvorba rezerv na kryté makrofinančné pomoci</w:t>
      </w:r>
      <w:r w:rsidR="002D52A1">
        <w:rPr>
          <w:b/>
          <w:noProof/>
        </w:rPr>
        <w:t xml:space="preserve"> a </w:t>
      </w:r>
      <w:r w:rsidRPr="002D52A1">
        <w:rPr>
          <w:b/>
          <w:noProof/>
        </w:rPr>
        <w:t>na niektoré finančné záväzky</w:t>
      </w:r>
      <w:r w:rsidR="002D52A1">
        <w:rPr>
          <w:b/>
          <w:noProof/>
        </w:rPr>
        <w:t xml:space="preserve"> v </w:t>
      </w:r>
      <w:r w:rsidRPr="002D52A1">
        <w:rPr>
          <w:b/>
          <w:noProof/>
        </w:rPr>
        <w:t>rámci ELM na Ukrajine</w:t>
      </w:r>
    </w:p>
    <w:p w14:paraId="62C60EC5" w14:textId="77777777" w:rsidR="000556FA" w:rsidRPr="002D52A1" w:rsidRDefault="000556FA" w:rsidP="000556FA">
      <w:pPr>
        <w:pStyle w:val="Titrearticle"/>
        <w:rPr>
          <w:b/>
          <w:noProof/>
        </w:rPr>
      </w:pPr>
      <w:bookmarkStart w:id="4" w:name="_Hlk105846293"/>
      <w:r w:rsidRPr="002D52A1">
        <w:rPr>
          <w:noProof/>
        </w:rPr>
        <w:t>Článok 11</w:t>
      </w:r>
    </w:p>
    <w:p w14:paraId="6622D873" w14:textId="77777777" w:rsidR="002D52A1" w:rsidRPr="002D52A1" w:rsidRDefault="00187889" w:rsidP="00DA6B52">
      <w:pPr>
        <w:jc w:val="center"/>
        <w:rPr>
          <w:b/>
          <w:noProof/>
        </w:rPr>
      </w:pPr>
      <w:r w:rsidRPr="002D52A1">
        <w:rPr>
          <w:b/>
          <w:noProof/>
        </w:rPr>
        <w:t>Tvorba rezerv na kryté makrofinančné pomoci</w:t>
      </w:r>
    </w:p>
    <w:bookmarkEnd w:id="4"/>
    <w:p w14:paraId="0D2A27D7" w14:textId="4E623270" w:rsidR="00A55609" w:rsidRPr="002D52A1" w:rsidRDefault="00D05784" w:rsidP="00D05784">
      <w:pPr>
        <w:pStyle w:val="ManualNumPar1"/>
        <w:rPr>
          <w:noProof/>
        </w:rPr>
      </w:pPr>
      <w:r w:rsidRPr="00D05784">
        <w:t>1.</w:t>
      </w:r>
      <w:r w:rsidRPr="00D05784">
        <w:tab/>
      </w:r>
      <w:r w:rsidR="7489ADCB" w:rsidRPr="002D52A1">
        <w:rPr>
          <w:noProof/>
        </w:rPr>
        <w:t>V prípade krytých makrofinančných pomocí sa uplatňuje miera tvorby rezerv vo výške 70</w:t>
      </w:r>
      <w:r w:rsidR="002D52A1">
        <w:rPr>
          <w:noProof/>
        </w:rPr>
        <w:t> %</w:t>
      </w:r>
      <w:r w:rsidR="7489ADCB" w:rsidRPr="002D52A1">
        <w:rPr>
          <w:noProof/>
        </w:rPr>
        <w:t xml:space="preserve"> namiesto všeobecného pravidla stanoveného</w:t>
      </w:r>
      <w:r w:rsidR="002D52A1">
        <w:rPr>
          <w:noProof/>
        </w:rPr>
        <w:t xml:space="preserve"> v </w:t>
      </w:r>
      <w:r w:rsidR="7489ADCB" w:rsidRPr="002D52A1">
        <w:rPr>
          <w:noProof/>
        </w:rPr>
        <w:t>článku 31 ods. 5 treťom pododseku nariadenia (EÚ) 2021/947.</w:t>
      </w:r>
      <w:r w:rsidR="002D52A1" w:rsidRPr="002D52A1">
        <w:rPr>
          <w:noProof/>
        </w:rPr>
        <w:t xml:space="preserve"> </w:t>
      </w:r>
      <w:r w:rsidR="7489ADCB" w:rsidRPr="002D52A1">
        <w:rPr>
          <w:noProof/>
        </w:rPr>
        <w:t>Úroveň tvorby rezerv platených do spoločného rezervného fondu sa však zachováva na úrovni 9</w:t>
      </w:r>
      <w:r w:rsidR="002D52A1">
        <w:rPr>
          <w:noProof/>
        </w:rPr>
        <w:t> %</w:t>
      </w:r>
      <w:r w:rsidR="7489ADCB" w:rsidRPr="002D52A1">
        <w:rPr>
          <w:noProof/>
        </w:rPr>
        <w:t xml:space="preserve"> nesplateného záväzku</w:t>
      </w:r>
      <w:r w:rsidR="002D52A1">
        <w:rPr>
          <w:noProof/>
        </w:rPr>
        <w:t xml:space="preserve"> z </w:t>
      </w:r>
      <w:r w:rsidR="7489ADCB" w:rsidRPr="002D52A1">
        <w:rPr>
          <w:noProof/>
        </w:rPr>
        <w:t>krytých makrofinančných pomocí</w:t>
      </w:r>
      <w:r w:rsidR="002D52A1">
        <w:rPr>
          <w:noProof/>
        </w:rPr>
        <w:t xml:space="preserve"> a v </w:t>
      </w:r>
      <w:r w:rsidR="7489ADCB" w:rsidRPr="002D52A1">
        <w:rPr>
          <w:noProof/>
        </w:rPr>
        <w:t>prípade, že sa tieto rezervy použijú, sa dopĺňa na túto úroveň, pokým nedôjde</w:t>
      </w:r>
      <w:r w:rsidR="002D52A1">
        <w:rPr>
          <w:noProof/>
        </w:rPr>
        <w:t xml:space="preserve"> k </w:t>
      </w:r>
      <w:r w:rsidR="7489ADCB" w:rsidRPr="002D52A1">
        <w:rPr>
          <w:noProof/>
        </w:rPr>
        <w:t>plnému vyčerpaniu záruk uvedených</w:t>
      </w:r>
      <w:r w:rsidR="002D52A1">
        <w:rPr>
          <w:noProof/>
        </w:rPr>
        <w:t xml:space="preserve"> v </w:t>
      </w:r>
      <w:r w:rsidR="7489ADCB" w:rsidRPr="002D52A1">
        <w:rPr>
          <w:noProof/>
        </w:rPr>
        <w:t>článku 9.</w:t>
      </w:r>
    </w:p>
    <w:p w14:paraId="6A2EBD65" w14:textId="274648C3" w:rsidR="00A55609" w:rsidRPr="002D52A1" w:rsidRDefault="00D05784" w:rsidP="00D05784">
      <w:pPr>
        <w:pStyle w:val="ManualNumPar1"/>
        <w:rPr>
          <w:noProof/>
        </w:rPr>
      </w:pPr>
      <w:r w:rsidRPr="00D05784">
        <w:t>2.</w:t>
      </w:r>
      <w:r w:rsidRPr="00D05784">
        <w:tab/>
      </w:r>
      <w:r w:rsidR="4449462D" w:rsidRPr="002D52A1">
        <w:rPr>
          <w:noProof/>
        </w:rPr>
        <w:t>Sumy vyplývajúce</w:t>
      </w:r>
      <w:r w:rsidR="002D52A1">
        <w:rPr>
          <w:noProof/>
        </w:rPr>
        <w:t xml:space="preserve"> z </w:t>
      </w:r>
      <w:r w:rsidR="4449462D" w:rsidRPr="002D52A1">
        <w:rPr>
          <w:noProof/>
        </w:rPr>
        <w:t>výziev na plnenie zo záruky uvedených</w:t>
      </w:r>
      <w:r w:rsidR="002D52A1">
        <w:rPr>
          <w:noProof/>
        </w:rPr>
        <w:t xml:space="preserve"> v </w:t>
      </w:r>
      <w:r w:rsidR="4449462D" w:rsidRPr="002D52A1">
        <w:rPr>
          <w:noProof/>
        </w:rPr>
        <w:t>článku 10 tvoria vonkajšie pripísané príjmy na splatenie finančných záväzkov</w:t>
      </w:r>
      <w:r w:rsidR="002D52A1">
        <w:rPr>
          <w:noProof/>
        </w:rPr>
        <w:t xml:space="preserve"> z </w:t>
      </w:r>
      <w:r w:rsidR="4449462D" w:rsidRPr="002D52A1">
        <w:rPr>
          <w:noProof/>
        </w:rPr>
        <w:t>krytých makrofinančných pomocí</w:t>
      </w:r>
      <w:r w:rsidR="002D52A1">
        <w:rPr>
          <w:noProof/>
        </w:rPr>
        <w:t xml:space="preserve"> a </w:t>
      </w:r>
      <w:r w:rsidR="4449462D" w:rsidRPr="002D52A1">
        <w:rPr>
          <w:noProof/>
        </w:rPr>
        <w:t>na platby do spoločného rezervného fondu</w:t>
      </w:r>
      <w:r w:rsidR="002D52A1">
        <w:rPr>
          <w:noProof/>
        </w:rPr>
        <w:t xml:space="preserve"> v </w:t>
      </w:r>
      <w:r w:rsidR="4449462D" w:rsidRPr="002D52A1">
        <w:rPr>
          <w:noProof/>
        </w:rPr>
        <w:t>súlade</w:t>
      </w:r>
      <w:r w:rsidR="002D52A1">
        <w:rPr>
          <w:noProof/>
        </w:rPr>
        <w:t xml:space="preserve"> s </w:t>
      </w:r>
      <w:r w:rsidR="4449462D" w:rsidRPr="002D52A1">
        <w:rPr>
          <w:noProof/>
        </w:rPr>
        <w:t>článkom 21 ods. 2 písm. a) bodom ii) nariadenia (EÚ, Euratom) 2018/1046.</w:t>
      </w:r>
    </w:p>
    <w:p w14:paraId="125E6AB9" w14:textId="25FAF2EE" w:rsidR="00B23BA1" w:rsidRPr="002D52A1" w:rsidRDefault="00D05784" w:rsidP="00D05784">
      <w:pPr>
        <w:pStyle w:val="ManualNumPar1"/>
        <w:rPr>
          <w:noProof/>
        </w:rPr>
      </w:pPr>
      <w:r w:rsidRPr="00D05784">
        <w:t>3.</w:t>
      </w:r>
      <w:r w:rsidRPr="00D05784">
        <w:tab/>
      </w:r>
      <w:r w:rsidR="3EA9FB41" w:rsidRPr="002D52A1">
        <w:rPr>
          <w:noProof/>
        </w:rPr>
        <w:t>Odchylne od článku 211 ods. 1 prvého pododseku druhej vety nariadenia</w:t>
      </w:r>
      <w:r w:rsidR="002D52A1">
        <w:rPr>
          <w:noProof/>
        </w:rPr>
        <w:t xml:space="preserve"> o </w:t>
      </w:r>
      <w:r w:rsidR="3EA9FB41" w:rsidRPr="002D52A1">
        <w:rPr>
          <w:noProof/>
        </w:rPr>
        <w:t>rozpočtových pravidlách sa suma záruk uvedená</w:t>
      </w:r>
      <w:r w:rsidR="002D52A1">
        <w:rPr>
          <w:noProof/>
        </w:rPr>
        <w:t xml:space="preserve"> v </w:t>
      </w:r>
      <w:r w:rsidR="3EA9FB41" w:rsidRPr="002D52A1">
        <w:rPr>
          <w:noProof/>
        </w:rPr>
        <w:t>článku 9 ods. 1 zahrnie do sumy povoleného finančného záväzku. Odchylne od článku 211 ods. 4 druhého pododseku nariadenia</w:t>
      </w:r>
      <w:r w:rsidR="002D52A1">
        <w:rPr>
          <w:noProof/>
        </w:rPr>
        <w:t xml:space="preserve"> o </w:t>
      </w:r>
      <w:r w:rsidR="3EA9FB41" w:rsidRPr="002D52A1">
        <w:rPr>
          <w:noProof/>
        </w:rPr>
        <w:t>rozpočtových pravidlách sa výška tvorby rezerv uvedená</w:t>
      </w:r>
      <w:r w:rsidR="002D52A1">
        <w:rPr>
          <w:noProof/>
        </w:rPr>
        <w:t xml:space="preserve"> v </w:t>
      </w:r>
      <w:r w:rsidR="3EA9FB41" w:rsidRPr="002D52A1">
        <w:rPr>
          <w:noProof/>
        </w:rPr>
        <w:t>odseku 2 tohto článku zohľadní pri výpočte tvorby rezerv vyplývajúcej</w:t>
      </w:r>
      <w:r w:rsidR="002D52A1">
        <w:rPr>
          <w:noProof/>
        </w:rPr>
        <w:t xml:space="preserve"> z </w:t>
      </w:r>
      <w:r w:rsidR="3EA9FB41" w:rsidRPr="002D52A1">
        <w:rPr>
          <w:noProof/>
        </w:rPr>
        <w:t>miery tvorby rezerv</w:t>
      </w:r>
      <w:r w:rsidR="002D52A1">
        <w:rPr>
          <w:noProof/>
        </w:rPr>
        <w:t xml:space="preserve"> v </w:t>
      </w:r>
      <w:r w:rsidR="3EA9FB41" w:rsidRPr="002D52A1">
        <w:rPr>
          <w:noProof/>
        </w:rPr>
        <w:t>súvislosti</w:t>
      </w:r>
      <w:r w:rsidR="002D52A1">
        <w:rPr>
          <w:noProof/>
        </w:rPr>
        <w:t xml:space="preserve"> s </w:t>
      </w:r>
      <w:r w:rsidR="3EA9FB41" w:rsidRPr="002D52A1">
        <w:rPr>
          <w:noProof/>
        </w:rPr>
        <w:t>krytými makrofinančnými pomocami.</w:t>
      </w:r>
    </w:p>
    <w:p w14:paraId="79E136F3" w14:textId="2B84F014" w:rsidR="00B23BA1" w:rsidRPr="002D52A1" w:rsidRDefault="00D05784" w:rsidP="00D05784">
      <w:pPr>
        <w:pStyle w:val="ManualNumPar1"/>
        <w:rPr>
          <w:noProof/>
        </w:rPr>
      </w:pPr>
      <w:r w:rsidRPr="00D05784">
        <w:t>4.</w:t>
      </w:r>
      <w:r w:rsidRPr="00D05784">
        <w:tab/>
      </w:r>
      <w:r w:rsidR="00B23BA1" w:rsidRPr="002D52A1">
        <w:rPr>
          <w:noProof/>
        </w:rPr>
        <w:t>Odchylne od článku 211 ods. 4 písm. c) nariadenia</w:t>
      </w:r>
      <w:r w:rsidR="002D52A1">
        <w:rPr>
          <w:noProof/>
        </w:rPr>
        <w:t xml:space="preserve"> o </w:t>
      </w:r>
      <w:r w:rsidR="00B23BA1" w:rsidRPr="002D52A1">
        <w:rPr>
          <w:noProof/>
        </w:rPr>
        <w:t>rozpočtových pravidlách sa sumy vymožené od Ukrajiny</w:t>
      </w:r>
      <w:r w:rsidR="002D52A1">
        <w:rPr>
          <w:noProof/>
        </w:rPr>
        <w:t xml:space="preserve"> v </w:t>
      </w:r>
      <w:r w:rsidR="00B23BA1" w:rsidRPr="002D52A1">
        <w:rPr>
          <w:noProof/>
        </w:rPr>
        <w:t>súvislosti</w:t>
      </w:r>
      <w:r w:rsidR="002D52A1">
        <w:rPr>
          <w:noProof/>
        </w:rPr>
        <w:t xml:space="preserve"> s </w:t>
      </w:r>
      <w:r w:rsidR="00B23BA1" w:rsidRPr="002D52A1">
        <w:rPr>
          <w:noProof/>
        </w:rPr>
        <w:t>krytými makrofinančnými pomocami nepoužijú ako príspevok na tvorbu rezerv,</w:t>
      </w:r>
      <w:r w:rsidR="002D52A1">
        <w:rPr>
          <w:noProof/>
        </w:rPr>
        <w:t xml:space="preserve"> a </w:t>
      </w:r>
      <w:r w:rsidR="00B23BA1" w:rsidRPr="002D52A1">
        <w:rPr>
          <w:noProof/>
        </w:rPr>
        <w:t>to do výšky výziev na plnenie zo záruky, ktoré splnili členské štáty podľa článku 10 písm. a). Predmetné sumy sa vrátia príslušným členským štátom.</w:t>
      </w:r>
    </w:p>
    <w:p w14:paraId="54D2A011" w14:textId="77777777" w:rsidR="00B23BA1" w:rsidRPr="002D52A1" w:rsidRDefault="00B23BA1" w:rsidP="00B23BA1">
      <w:pPr>
        <w:pStyle w:val="Text1"/>
        <w:rPr>
          <w:noProof/>
        </w:rPr>
      </w:pPr>
    </w:p>
    <w:p w14:paraId="032F00EB" w14:textId="77777777" w:rsidR="00A376B5" w:rsidRPr="002D52A1" w:rsidRDefault="00A376B5" w:rsidP="00AD77F1">
      <w:pPr>
        <w:keepNext/>
        <w:keepLines/>
        <w:spacing w:before="360"/>
        <w:jc w:val="center"/>
        <w:rPr>
          <w:i/>
          <w:noProof/>
        </w:rPr>
      </w:pPr>
      <w:r w:rsidRPr="002D52A1">
        <w:rPr>
          <w:i/>
          <w:noProof/>
        </w:rPr>
        <w:t>Článok 12</w:t>
      </w:r>
    </w:p>
    <w:p w14:paraId="3D42F94F" w14:textId="23B73175" w:rsidR="00A376B5" w:rsidRPr="002D52A1" w:rsidRDefault="00A376B5" w:rsidP="00AD77F1">
      <w:pPr>
        <w:keepNext/>
        <w:keepLines/>
        <w:jc w:val="center"/>
        <w:rPr>
          <w:b/>
          <w:noProof/>
        </w:rPr>
      </w:pPr>
      <w:r w:rsidRPr="002D52A1">
        <w:rPr>
          <w:b/>
          <w:noProof/>
        </w:rPr>
        <w:t>Posilnenie tvorby rezerv</w:t>
      </w:r>
      <w:r w:rsidR="002D52A1">
        <w:rPr>
          <w:b/>
          <w:noProof/>
        </w:rPr>
        <w:t xml:space="preserve"> v </w:t>
      </w:r>
      <w:r w:rsidRPr="002D52A1">
        <w:rPr>
          <w:b/>
          <w:noProof/>
        </w:rPr>
        <w:t>súvislosti</w:t>
      </w:r>
      <w:r w:rsidR="002D52A1">
        <w:rPr>
          <w:b/>
          <w:noProof/>
        </w:rPr>
        <w:t xml:space="preserve"> s </w:t>
      </w:r>
      <w:r w:rsidRPr="002D52A1">
        <w:rPr>
          <w:b/>
          <w:noProof/>
        </w:rPr>
        <w:t xml:space="preserve">niektorými finančnými záväzkami na Ukrajine zaručenými podľa rozhodnutia </w:t>
      </w:r>
      <w:r w:rsidR="002D52A1">
        <w:rPr>
          <w:b/>
          <w:noProof/>
        </w:rPr>
        <w:t>č. </w:t>
      </w:r>
      <w:r w:rsidRPr="002D52A1">
        <w:rPr>
          <w:b/>
          <w:noProof/>
        </w:rPr>
        <w:t>466/2014/EÚ</w:t>
      </w:r>
    </w:p>
    <w:p w14:paraId="4D631F8C" w14:textId="4B319403" w:rsidR="0079522F" w:rsidRPr="00AD77F1" w:rsidRDefault="1DB8C1DA" w:rsidP="00AD77F1">
      <w:pPr>
        <w:keepNext/>
        <w:keepLines/>
        <w:rPr>
          <w:noProof/>
          <w:spacing w:val="-4"/>
        </w:rPr>
      </w:pPr>
      <w:r w:rsidRPr="00AD77F1">
        <w:rPr>
          <w:noProof/>
          <w:spacing w:val="-4"/>
        </w:rPr>
        <w:t>Odchylne od článku 31 ods. 8 tretej vety nariadenia (EÚ) 2021/947 sa miera tvorby rezerv vo výške 70</w:t>
      </w:r>
      <w:r w:rsidR="002D52A1" w:rsidRPr="00AD77F1">
        <w:rPr>
          <w:noProof/>
          <w:spacing w:val="-4"/>
        </w:rPr>
        <w:t> %</w:t>
      </w:r>
      <w:r w:rsidRPr="00AD77F1">
        <w:rPr>
          <w:noProof/>
          <w:spacing w:val="-4"/>
        </w:rPr>
        <w:t xml:space="preserve"> uplatňuje na sumy úverov vyplatené po 15. júli 2022</w:t>
      </w:r>
      <w:r w:rsidR="002D52A1" w:rsidRPr="00AD77F1">
        <w:rPr>
          <w:noProof/>
          <w:spacing w:val="-4"/>
        </w:rPr>
        <w:t xml:space="preserve"> v </w:t>
      </w:r>
      <w:r w:rsidRPr="00AD77F1">
        <w:rPr>
          <w:noProof/>
          <w:spacing w:val="-4"/>
        </w:rPr>
        <w:t>rámci finančných operácií Európskej investičnej banky na Ukrajine, ktoré Európska investičná banka podpísala pred 31. decembrom 2021</w:t>
      </w:r>
      <w:r w:rsidR="002D52A1" w:rsidRPr="00AD77F1">
        <w:rPr>
          <w:noProof/>
          <w:spacing w:val="-4"/>
        </w:rPr>
        <w:t xml:space="preserve"> a </w:t>
      </w:r>
      <w:r w:rsidRPr="00AD77F1">
        <w:rPr>
          <w:noProof/>
          <w:spacing w:val="-4"/>
        </w:rPr>
        <w:t>ktoré sú zaručené EÚ</w:t>
      </w:r>
      <w:r w:rsidR="002D52A1" w:rsidRPr="00AD77F1">
        <w:rPr>
          <w:noProof/>
          <w:spacing w:val="-4"/>
        </w:rPr>
        <w:t xml:space="preserve"> v </w:t>
      </w:r>
      <w:r w:rsidRPr="00AD77F1">
        <w:rPr>
          <w:noProof/>
          <w:spacing w:val="-4"/>
        </w:rPr>
        <w:t>súlade</w:t>
      </w:r>
      <w:r w:rsidR="002D52A1" w:rsidRPr="00AD77F1">
        <w:rPr>
          <w:noProof/>
          <w:spacing w:val="-4"/>
        </w:rPr>
        <w:t xml:space="preserve"> s </w:t>
      </w:r>
      <w:r w:rsidRPr="00AD77F1">
        <w:rPr>
          <w:noProof/>
          <w:spacing w:val="-4"/>
        </w:rPr>
        <w:t xml:space="preserve">rozhodnutím </w:t>
      </w:r>
      <w:r w:rsidR="002D52A1" w:rsidRPr="00AD77F1">
        <w:rPr>
          <w:noProof/>
          <w:spacing w:val="-4"/>
        </w:rPr>
        <w:t>č. </w:t>
      </w:r>
      <w:r w:rsidRPr="00AD77F1">
        <w:rPr>
          <w:noProof/>
          <w:spacing w:val="-4"/>
        </w:rPr>
        <w:t>466/2014/EÚ (ďalej len „kryté finančné záväzky</w:t>
      </w:r>
      <w:r w:rsidR="002D52A1" w:rsidRPr="00AD77F1">
        <w:rPr>
          <w:noProof/>
          <w:spacing w:val="-4"/>
        </w:rPr>
        <w:t xml:space="preserve"> v </w:t>
      </w:r>
      <w:r w:rsidRPr="00AD77F1">
        <w:rPr>
          <w:noProof/>
          <w:spacing w:val="-4"/>
        </w:rPr>
        <w:t>rámci ELM na Ukrajine“),</w:t>
      </w:r>
      <w:r w:rsidR="002D52A1" w:rsidRPr="00AD77F1">
        <w:rPr>
          <w:noProof/>
          <w:spacing w:val="-4"/>
        </w:rPr>
        <w:t xml:space="preserve"> a </w:t>
      </w:r>
      <w:r w:rsidRPr="00AD77F1">
        <w:rPr>
          <w:noProof/>
          <w:spacing w:val="-4"/>
        </w:rPr>
        <w:t>články 211, 212</w:t>
      </w:r>
      <w:r w:rsidR="002D52A1" w:rsidRPr="00AD77F1">
        <w:rPr>
          <w:noProof/>
          <w:spacing w:val="-4"/>
        </w:rPr>
        <w:t xml:space="preserve"> a </w:t>
      </w:r>
      <w:r w:rsidRPr="00AD77F1">
        <w:rPr>
          <w:noProof/>
          <w:spacing w:val="-4"/>
        </w:rPr>
        <w:t>213 nariadenia</w:t>
      </w:r>
      <w:r w:rsidR="002D52A1" w:rsidRPr="00AD77F1">
        <w:rPr>
          <w:noProof/>
          <w:spacing w:val="-4"/>
        </w:rPr>
        <w:t xml:space="preserve"> o </w:t>
      </w:r>
      <w:r w:rsidRPr="00AD77F1">
        <w:rPr>
          <w:noProof/>
          <w:spacing w:val="-4"/>
        </w:rPr>
        <w:t>rozpočtových pravidlách sa uplatňujú</w:t>
      </w:r>
      <w:r w:rsidR="002D52A1" w:rsidRPr="00AD77F1">
        <w:rPr>
          <w:noProof/>
          <w:spacing w:val="-4"/>
        </w:rPr>
        <w:t xml:space="preserve"> s </w:t>
      </w:r>
      <w:r w:rsidRPr="00AD77F1">
        <w:rPr>
          <w:noProof/>
          <w:spacing w:val="-4"/>
        </w:rPr>
        <w:t>výhradou článkov 13</w:t>
      </w:r>
      <w:r w:rsidR="002D52A1" w:rsidRPr="00AD77F1">
        <w:rPr>
          <w:noProof/>
          <w:spacing w:val="-4"/>
        </w:rPr>
        <w:t xml:space="preserve"> a </w:t>
      </w:r>
      <w:r w:rsidRPr="00AD77F1">
        <w:rPr>
          <w:noProof/>
          <w:spacing w:val="-4"/>
        </w:rPr>
        <w:t>14 tohto rozhodnutia. Na účely článku 211 ods. 1 druhého pododseku nariadenia</w:t>
      </w:r>
      <w:r w:rsidR="002D52A1" w:rsidRPr="00AD77F1">
        <w:rPr>
          <w:noProof/>
          <w:spacing w:val="-4"/>
        </w:rPr>
        <w:t xml:space="preserve"> o </w:t>
      </w:r>
      <w:r w:rsidRPr="00AD77F1">
        <w:rPr>
          <w:noProof/>
          <w:spacing w:val="-4"/>
        </w:rPr>
        <w:t>rozpočtových pravidlách tvorba rezerv dosiahne do 31</w:t>
      </w:r>
      <w:r w:rsidR="002D52A1" w:rsidRPr="00AD77F1">
        <w:rPr>
          <w:noProof/>
          <w:spacing w:val="-4"/>
        </w:rPr>
        <w:t>. decembra</w:t>
      </w:r>
      <w:r w:rsidRPr="00AD77F1">
        <w:rPr>
          <w:noProof/>
          <w:spacing w:val="-4"/>
        </w:rPr>
        <w:t xml:space="preserve"> 2027 úroveň zodpovedajúcu miere tvorby rezerv uplatňovanej na celkovú sumu nesplatených záväzkov</w:t>
      </w:r>
      <w:r w:rsidR="002D52A1" w:rsidRPr="00AD77F1">
        <w:rPr>
          <w:noProof/>
          <w:spacing w:val="-4"/>
        </w:rPr>
        <w:t xml:space="preserve"> z </w:t>
      </w:r>
      <w:r w:rsidRPr="00AD77F1">
        <w:rPr>
          <w:noProof/>
          <w:spacing w:val="-4"/>
        </w:rPr>
        <w:t>krytých finančných záväzkov</w:t>
      </w:r>
      <w:r w:rsidR="002D52A1" w:rsidRPr="00AD77F1">
        <w:rPr>
          <w:noProof/>
          <w:spacing w:val="-4"/>
        </w:rPr>
        <w:t xml:space="preserve"> v </w:t>
      </w:r>
      <w:r w:rsidRPr="00AD77F1">
        <w:rPr>
          <w:noProof/>
          <w:spacing w:val="-4"/>
        </w:rPr>
        <w:t>rámci ELM na Ukrajine.</w:t>
      </w:r>
    </w:p>
    <w:p w14:paraId="6EBE1227" w14:textId="77777777" w:rsidR="005747FA" w:rsidRPr="002D52A1" w:rsidRDefault="005747FA" w:rsidP="00D518F3">
      <w:pPr>
        <w:spacing w:before="360"/>
        <w:jc w:val="center"/>
        <w:rPr>
          <w:i/>
          <w:noProof/>
        </w:rPr>
      </w:pPr>
      <w:r w:rsidRPr="002D52A1">
        <w:rPr>
          <w:i/>
          <w:noProof/>
        </w:rPr>
        <w:t>Článok 13</w:t>
      </w:r>
    </w:p>
    <w:p w14:paraId="0CCB4946" w14:textId="449359B2" w:rsidR="00282932" w:rsidRPr="002D52A1" w:rsidRDefault="10C2E27A" w:rsidP="00BB0AF7">
      <w:pPr>
        <w:jc w:val="center"/>
        <w:rPr>
          <w:b/>
          <w:bCs/>
          <w:noProof/>
        </w:rPr>
      </w:pPr>
      <w:r w:rsidRPr="002D52A1">
        <w:rPr>
          <w:b/>
          <w:noProof/>
        </w:rPr>
        <w:t>Posúdenie primeranosti miery tvorby rezerv</w:t>
      </w:r>
      <w:r w:rsidR="002D52A1">
        <w:rPr>
          <w:b/>
          <w:noProof/>
        </w:rPr>
        <w:t xml:space="preserve"> a </w:t>
      </w:r>
      <w:r w:rsidRPr="002D52A1">
        <w:rPr>
          <w:b/>
          <w:noProof/>
        </w:rPr>
        <w:t>postup preskúmania</w:t>
      </w:r>
    </w:p>
    <w:p w14:paraId="7C2E3DAB" w14:textId="1119F2D1" w:rsidR="002D52A1" w:rsidRPr="00AD77F1" w:rsidRDefault="00D05784" w:rsidP="00D05784">
      <w:pPr>
        <w:pStyle w:val="ManualNumPar1"/>
        <w:rPr>
          <w:noProof/>
        </w:rPr>
      </w:pPr>
      <w:r w:rsidRPr="00D05784">
        <w:t>1.</w:t>
      </w:r>
      <w:r w:rsidRPr="00D05784">
        <w:tab/>
      </w:r>
      <w:r w:rsidR="3691BBD7" w:rsidRPr="00AD77F1">
        <w:rPr>
          <w:noProof/>
        </w:rPr>
        <w:t>Komisia každých šesť mesiacov počínajúc 30. júnom 2023</w:t>
      </w:r>
      <w:r w:rsidR="002D52A1" w:rsidRPr="00AD77F1">
        <w:rPr>
          <w:noProof/>
        </w:rPr>
        <w:t xml:space="preserve"> a </w:t>
      </w:r>
      <w:r w:rsidR="3691BBD7" w:rsidRPr="00AD77F1">
        <w:rPr>
          <w:noProof/>
        </w:rPr>
        <w:t>vždy, keď dospeje</w:t>
      </w:r>
      <w:r w:rsidR="002D52A1" w:rsidRPr="00AD77F1">
        <w:rPr>
          <w:noProof/>
        </w:rPr>
        <w:t xml:space="preserve"> k </w:t>
      </w:r>
      <w:r w:rsidR="3691BBD7" w:rsidRPr="00AD77F1">
        <w:rPr>
          <w:noProof/>
        </w:rPr>
        <w:t>záveru, že je to potrebné vzhľadom na iné dôvody alebo udalosti, posúdi, či nastali nové skutočnosti, ktoré by mohli trvalým</w:t>
      </w:r>
      <w:r w:rsidR="002D52A1" w:rsidRPr="00AD77F1">
        <w:rPr>
          <w:noProof/>
        </w:rPr>
        <w:t xml:space="preserve"> a </w:t>
      </w:r>
      <w:r w:rsidR="3691BBD7" w:rsidRPr="00AD77F1">
        <w:rPr>
          <w:noProof/>
        </w:rPr>
        <w:t>zmysluplným spôsobom ovplyvniť primeranosť miery tvorby rezerv vrátane miery tvorby splatených rezerv, ako sa uvádzajú</w:t>
      </w:r>
      <w:r w:rsidR="002D52A1" w:rsidRPr="00AD77F1">
        <w:rPr>
          <w:noProof/>
        </w:rPr>
        <w:t xml:space="preserve"> v </w:t>
      </w:r>
      <w:r w:rsidR="3691BBD7" w:rsidRPr="00AD77F1">
        <w:rPr>
          <w:noProof/>
        </w:rPr>
        <w:t>článkoch 11</w:t>
      </w:r>
      <w:r w:rsidR="002D52A1" w:rsidRPr="00AD77F1">
        <w:rPr>
          <w:noProof/>
        </w:rPr>
        <w:t xml:space="preserve"> a </w:t>
      </w:r>
      <w:r w:rsidR="3691BBD7" w:rsidRPr="00AD77F1">
        <w:rPr>
          <w:noProof/>
        </w:rPr>
        <w:t>12. Komisia najmä identifikuje prítomnosť významnej trvalej zmeny profilu kreditného rizika týchto expozícií</w:t>
      </w:r>
      <w:r w:rsidR="002D52A1" w:rsidRPr="00AD77F1">
        <w:rPr>
          <w:noProof/>
        </w:rPr>
        <w:t xml:space="preserve"> s </w:t>
      </w:r>
      <w:r w:rsidR="3691BBD7" w:rsidRPr="00AD77F1">
        <w:rPr>
          <w:noProof/>
        </w:rPr>
        <w:t>použitím údajov za obdobie najmenej dvoch rokov</w:t>
      </w:r>
      <w:r w:rsidR="002D52A1" w:rsidRPr="00AD77F1">
        <w:rPr>
          <w:noProof/>
        </w:rPr>
        <w:t>.</w:t>
      </w:r>
    </w:p>
    <w:p w14:paraId="609BB4C0" w14:textId="2C45E975" w:rsidR="00A55609" w:rsidRPr="002D52A1" w:rsidRDefault="00D05784" w:rsidP="00D05784">
      <w:pPr>
        <w:pStyle w:val="ManualNumPar1"/>
        <w:rPr>
          <w:noProof/>
        </w:rPr>
      </w:pPr>
      <w:r w:rsidRPr="00D05784">
        <w:t>2.</w:t>
      </w:r>
      <w:r w:rsidRPr="00D05784">
        <w:tab/>
      </w:r>
      <w:r w:rsidR="5E205B7B" w:rsidRPr="002D52A1">
        <w:rPr>
          <w:noProof/>
        </w:rPr>
        <w:t>Komisia je splnomocnená zmeniť články 11</w:t>
      </w:r>
      <w:r w:rsidR="002D52A1">
        <w:rPr>
          <w:noProof/>
        </w:rPr>
        <w:t xml:space="preserve"> a </w:t>
      </w:r>
      <w:r w:rsidR="5E205B7B" w:rsidRPr="002D52A1">
        <w:rPr>
          <w:noProof/>
        </w:rPr>
        <w:t>12</w:t>
      </w:r>
      <w:r w:rsidR="002D52A1">
        <w:rPr>
          <w:noProof/>
        </w:rPr>
        <w:t xml:space="preserve"> s </w:t>
      </w:r>
      <w:r w:rsidR="5E205B7B" w:rsidRPr="002D52A1">
        <w:rPr>
          <w:noProof/>
        </w:rPr>
        <w:t>cieľom upraviť mieru tvorby rezerv prostredníctvom delegovaného aktu</w:t>
      </w:r>
      <w:r w:rsidR="002D52A1">
        <w:rPr>
          <w:noProof/>
        </w:rPr>
        <w:t xml:space="preserve"> v </w:t>
      </w:r>
      <w:r w:rsidR="5E205B7B" w:rsidRPr="002D52A1">
        <w:rPr>
          <w:noProof/>
        </w:rPr>
        <w:t>súlade</w:t>
      </w:r>
      <w:r w:rsidR="002D52A1">
        <w:rPr>
          <w:noProof/>
        </w:rPr>
        <w:t xml:space="preserve"> s </w:t>
      </w:r>
      <w:r w:rsidR="5E205B7B" w:rsidRPr="002D52A1">
        <w:rPr>
          <w:noProof/>
        </w:rPr>
        <w:t>článkom 16, najmä aby sa zohľadnil vývoj uvedený</w:t>
      </w:r>
      <w:r w:rsidR="002D52A1">
        <w:rPr>
          <w:noProof/>
        </w:rPr>
        <w:t xml:space="preserve"> v </w:t>
      </w:r>
      <w:r w:rsidR="5E205B7B" w:rsidRPr="002D52A1">
        <w:rPr>
          <w:noProof/>
        </w:rPr>
        <w:t>odseku 1.</w:t>
      </w:r>
    </w:p>
    <w:p w14:paraId="1DDFC276" w14:textId="77777777" w:rsidR="00A376B5" w:rsidRPr="002D52A1" w:rsidRDefault="00DE6CD2" w:rsidP="00D518F3">
      <w:pPr>
        <w:spacing w:before="360"/>
        <w:jc w:val="center"/>
        <w:rPr>
          <w:i/>
          <w:noProof/>
        </w:rPr>
      </w:pPr>
      <w:r w:rsidRPr="002D52A1">
        <w:rPr>
          <w:i/>
          <w:noProof/>
        </w:rPr>
        <w:t>Článok 14</w:t>
      </w:r>
    </w:p>
    <w:p w14:paraId="2C33F0F3" w14:textId="7EBB378B" w:rsidR="00A376B5" w:rsidRPr="002D52A1" w:rsidRDefault="476D4C9A" w:rsidP="26DEF6C3">
      <w:pPr>
        <w:jc w:val="center"/>
        <w:rPr>
          <w:b/>
          <w:bCs/>
          <w:noProof/>
        </w:rPr>
      </w:pPr>
      <w:r w:rsidRPr="002D52A1">
        <w:rPr>
          <w:b/>
          <w:noProof/>
        </w:rPr>
        <w:t>Tvorba rezerv držaných</w:t>
      </w:r>
      <w:r w:rsidR="002D52A1">
        <w:rPr>
          <w:b/>
          <w:noProof/>
        </w:rPr>
        <w:t xml:space="preserve"> v </w:t>
      </w:r>
      <w:r w:rsidRPr="002D52A1">
        <w:rPr>
          <w:b/>
          <w:noProof/>
        </w:rPr>
        <w:t>spoločnom rezervnom fonde</w:t>
      </w:r>
    </w:p>
    <w:p w14:paraId="32234390" w14:textId="07ED0E30" w:rsidR="00A55609" w:rsidRPr="002D52A1" w:rsidRDefault="00D05784" w:rsidP="00D05784">
      <w:pPr>
        <w:pStyle w:val="ManualNumPar1"/>
        <w:rPr>
          <w:noProof/>
        </w:rPr>
      </w:pPr>
      <w:r w:rsidRPr="00D05784">
        <w:t>1.</w:t>
      </w:r>
      <w:r w:rsidRPr="00D05784">
        <w:tab/>
      </w:r>
      <w:r w:rsidR="00EB78A8" w:rsidRPr="002D52A1">
        <w:rPr>
          <w:noProof/>
        </w:rPr>
        <w:t>Namiesto všeobecného pravidla uvedeného</w:t>
      </w:r>
      <w:r w:rsidR="002D52A1">
        <w:rPr>
          <w:noProof/>
        </w:rPr>
        <w:t xml:space="preserve"> v </w:t>
      </w:r>
      <w:r w:rsidR="00EB78A8" w:rsidRPr="002D52A1">
        <w:rPr>
          <w:noProof/>
        </w:rPr>
        <w:t>článku 31 ods. 6 nariadenia (EÚ) 2021/947 sa finančný záväzok</w:t>
      </w:r>
      <w:r w:rsidR="002D52A1">
        <w:rPr>
          <w:noProof/>
        </w:rPr>
        <w:t xml:space="preserve"> z </w:t>
      </w:r>
      <w:r w:rsidR="00EB78A8" w:rsidRPr="002D52A1">
        <w:rPr>
          <w:noProof/>
        </w:rPr>
        <w:t>krytých makrofinančných pomocí kryje oddelene od ostatných finančných záväzkov</w:t>
      </w:r>
      <w:r w:rsidR="002D52A1">
        <w:rPr>
          <w:noProof/>
        </w:rPr>
        <w:t xml:space="preserve"> v </w:t>
      </w:r>
      <w:r w:rsidR="00EB78A8" w:rsidRPr="002D52A1">
        <w:rPr>
          <w:noProof/>
        </w:rPr>
        <w:t>rámci záruky pre vonkajšiu činnosť</w:t>
      </w:r>
      <w:r w:rsidR="002D52A1">
        <w:rPr>
          <w:noProof/>
        </w:rPr>
        <w:t xml:space="preserve"> a </w:t>
      </w:r>
      <w:r w:rsidR="00EB78A8" w:rsidRPr="002D52A1">
        <w:rPr>
          <w:noProof/>
        </w:rPr>
        <w:t>rezervy vyčlenené</w:t>
      </w:r>
      <w:r w:rsidR="002D52A1">
        <w:rPr>
          <w:noProof/>
        </w:rPr>
        <w:t xml:space="preserve"> v </w:t>
      </w:r>
      <w:r w:rsidR="00EB78A8" w:rsidRPr="002D52A1">
        <w:rPr>
          <w:noProof/>
        </w:rPr>
        <w:t>spoločnom rezervnom fonde</w:t>
      </w:r>
      <w:r w:rsidR="002D52A1">
        <w:rPr>
          <w:noProof/>
        </w:rPr>
        <w:t xml:space="preserve"> v </w:t>
      </w:r>
      <w:r w:rsidR="00EB78A8" w:rsidRPr="002D52A1">
        <w:rPr>
          <w:noProof/>
        </w:rPr>
        <w:t>súvislosti</w:t>
      </w:r>
      <w:r w:rsidR="002D52A1">
        <w:rPr>
          <w:noProof/>
        </w:rPr>
        <w:t xml:space="preserve"> s </w:t>
      </w:r>
      <w:r w:rsidR="00EB78A8" w:rsidRPr="002D52A1">
        <w:rPr>
          <w:noProof/>
        </w:rPr>
        <w:t>krytou makrofinančnou pomocou sa použijú výlučne na finančné záväzky podľa tohto rozhodnutia</w:t>
      </w:r>
      <w:r w:rsidR="002D52A1">
        <w:rPr>
          <w:noProof/>
        </w:rPr>
        <w:t xml:space="preserve"> a </w:t>
      </w:r>
      <w:r w:rsidR="00EB78A8" w:rsidRPr="002D52A1">
        <w:rPr>
          <w:noProof/>
        </w:rPr>
        <w:t>rozhodnutia (EÚ) 2022/1201.</w:t>
      </w:r>
    </w:p>
    <w:p w14:paraId="1F958B17" w14:textId="65E68873" w:rsidR="002C0E5A" w:rsidRPr="00AD77F1" w:rsidRDefault="002C0E5A" w:rsidP="00F452EF">
      <w:pPr>
        <w:pStyle w:val="Text1"/>
        <w:rPr>
          <w:noProof/>
          <w:spacing w:val="-4"/>
        </w:rPr>
      </w:pPr>
      <w:r w:rsidRPr="00AD77F1">
        <w:rPr>
          <w:noProof/>
          <w:spacing w:val="-4"/>
        </w:rPr>
        <w:t>Namiesto všeobecného pravidla uvedeného</w:t>
      </w:r>
      <w:r w:rsidR="002D52A1" w:rsidRPr="00AD77F1">
        <w:rPr>
          <w:noProof/>
          <w:spacing w:val="-4"/>
        </w:rPr>
        <w:t xml:space="preserve"> v </w:t>
      </w:r>
      <w:r w:rsidRPr="00AD77F1">
        <w:rPr>
          <w:noProof/>
          <w:spacing w:val="-4"/>
        </w:rPr>
        <w:t>článku 31 ods. 8 nariadenia (EÚ) 2021/947 sa finančný záväzok</w:t>
      </w:r>
      <w:r w:rsidR="002D52A1" w:rsidRPr="00AD77F1">
        <w:rPr>
          <w:noProof/>
          <w:spacing w:val="-4"/>
        </w:rPr>
        <w:t xml:space="preserve"> z </w:t>
      </w:r>
      <w:r w:rsidRPr="00AD77F1">
        <w:rPr>
          <w:noProof/>
          <w:spacing w:val="-4"/>
        </w:rPr>
        <w:t>krytých finančných záväzkov</w:t>
      </w:r>
      <w:r w:rsidR="002D52A1" w:rsidRPr="00AD77F1">
        <w:rPr>
          <w:noProof/>
          <w:spacing w:val="-4"/>
        </w:rPr>
        <w:t xml:space="preserve"> v </w:t>
      </w:r>
      <w:r w:rsidRPr="00AD77F1">
        <w:rPr>
          <w:noProof/>
          <w:spacing w:val="-4"/>
        </w:rPr>
        <w:t>rámci ELM na Ukrajine kryje oddelene od ostatných finančných záväzkov</w:t>
      </w:r>
      <w:r w:rsidR="002D52A1" w:rsidRPr="00AD77F1">
        <w:rPr>
          <w:noProof/>
          <w:spacing w:val="-4"/>
        </w:rPr>
        <w:t xml:space="preserve"> v </w:t>
      </w:r>
      <w:r w:rsidRPr="00AD77F1">
        <w:rPr>
          <w:noProof/>
          <w:spacing w:val="-4"/>
        </w:rPr>
        <w:t>rámci Garančného fondu pre vonkajšie opatrenia</w:t>
      </w:r>
      <w:r w:rsidR="002D52A1" w:rsidRPr="00AD77F1">
        <w:rPr>
          <w:noProof/>
          <w:spacing w:val="-4"/>
        </w:rPr>
        <w:t xml:space="preserve"> a </w:t>
      </w:r>
      <w:r w:rsidRPr="00AD77F1">
        <w:rPr>
          <w:noProof/>
          <w:spacing w:val="-4"/>
        </w:rPr>
        <w:t>rezervy vyčlenené</w:t>
      </w:r>
      <w:r w:rsidR="002D52A1" w:rsidRPr="00AD77F1">
        <w:rPr>
          <w:noProof/>
          <w:spacing w:val="-4"/>
        </w:rPr>
        <w:t xml:space="preserve"> v </w:t>
      </w:r>
      <w:r w:rsidRPr="00AD77F1">
        <w:rPr>
          <w:noProof/>
          <w:spacing w:val="-4"/>
        </w:rPr>
        <w:t>spoločnom rezervnom fonde</w:t>
      </w:r>
      <w:r w:rsidR="002D52A1" w:rsidRPr="00AD77F1">
        <w:rPr>
          <w:noProof/>
          <w:spacing w:val="-4"/>
        </w:rPr>
        <w:t xml:space="preserve"> v </w:t>
      </w:r>
      <w:r w:rsidRPr="00AD77F1">
        <w:rPr>
          <w:noProof/>
          <w:spacing w:val="-4"/>
        </w:rPr>
        <w:t>súvislosti</w:t>
      </w:r>
      <w:r w:rsidR="002D52A1" w:rsidRPr="00AD77F1">
        <w:rPr>
          <w:noProof/>
          <w:spacing w:val="-4"/>
        </w:rPr>
        <w:t xml:space="preserve"> s </w:t>
      </w:r>
      <w:r w:rsidRPr="00AD77F1">
        <w:rPr>
          <w:noProof/>
          <w:spacing w:val="-4"/>
        </w:rPr>
        <w:t>krytými finančných záväzkami</w:t>
      </w:r>
      <w:r w:rsidR="002D52A1" w:rsidRPr="00AD77F1">
        <w:rPr>
          <w:noProof/>
          <w:spacing w:val="-4"/>
        </w:rPr>
        <w:t xml:space="preserve"> v </w:t>
      </w:r>
      <w:r w:rsidRPr="00AD77F1">
        <w:rPr>
          <w:noProof/>
          <w:spacing w:val="-4"/>
        </w:rPr>
        <w:t>rámci ELM na Ukrajine sa použijú výlučne na finančné záväzky podľa tohto rozhodnutia</w:t>
      </w:r>
      <w:r w:rsidR="002D52A1" w:rsidRPr="00AD77F1">
        <w:rPr>
          <w:noProof/>
          <w:spacing w:val="-4"/>
        </w:rPr>
        <w:t xml:space="preserve"> a </w:t>
      </w:r>
      <w:r w:rsidRPr="00AD77F1">
        <w:rPr>
          <w:noProof/>
          <w:spacing w:val="-4"/>
        </w:rPr>
        <w:t>rozhodnutia (EÚ) 2022/1201.</w:t>
      </w:r>
    </w:p>
    <w:p w14:paraId="7BF514AF" w14:textId="40C95C77" w:rsidR="00EB78A8" w:rsidRPr="00AD77F1" w:rsidRDefault="00D05784" w:rsidP="00D05784">
      <w:pPr>
        <w:pStyle w:val="ManualNumPar1"/>
        <w:rPr>
          <w:noProof/>
        </w:rPr>
      </w:pPr>
      <w:r w:rsidRPr="00D05784">
        <w:t>2.</w:t>
      </w:r>
      <w:r w:rsidRPr="00D05784">
        <w:tab/>
      </w:r>
      <w:r w:rsidR="00EB78A8" w:rsidRPr="00AD77F1">
        <w:rPr>
          <w:noProof/>
        </w:rPr>
        <w:t>Odchylne od článku 213 nariadenia</w:t>
      </w:r>
      <w:r w:rsidR="002D52A1" w:rsidRPr="00AD77F1">
        <w:rPr>
          <w:noProof/>
        </w:rPr>
        <w:t xml:space="preserve"> o </w:t>
      </w:r>
      <w:r w:rsidR="00EB78A8" w:rsidRPr="00AD77F1">
        <w:rPr>
          <w:noProof/>
        </w:rPr>
        <w:t>rozpočtových pravidlách sa efektívna miera tvorby rezerv neuplatňuje na rezervy vyčlenené</w:t>
      </w:r>
      <w:r w:rsidR="002D52A1" w:rsidRPr="00AD77F1">
        <w:rPr>
          <w:noProof/>
        </w:rPr>
        <w:t xml:space="preserve"> v </w:t>
      </w:r>
      <w:r w:rsidR="00EB78A8" w:rsidRPr="00AD77F1">
        <w:rPr>
          <w:noProof/>
        </w:rPr>
        <w:t>spoločnom rezervnom fonde</w:t>
      </w:r>
      <w:r w:rsidR="002D52A1" w:rsidRPr="00AD77F1">
        <w:rPr>
          <w:noProof/>
        </w:rPr>
        <w:t xml:space="preserve"> v </w:t>
      </w:r>
      <w:r w:rsidR="00EB78A8" w:rsidRPr="00AD77F1">
        <w:rPr>
          <w:noProof/>
        </w:rPr>
        <w:t>súvislosti</w:t>
      </w:r>
      <w:r w:rsidR="002D52A1" w:rsidRPr="00AD77F1">
        <w:rPr>
          <w:noProof/>
        </w:rPr>
        <w:t xml:space="preserve"> s </w:t>
      </w:r>
      <w:r w:rsidR="00EB78A8" w:rsidRPr="00AD77F1">
        <w:rPr>
          <w:noProof/>
        </w:rPr>
        <w:t>krytými makrofinančnými pomocami</w:t>
      </w:r>
      <w:r w:rsidR="002D52A1" w:rsidRPr="00AD77F1">
        <w:rPr>
          <w:noProof/>
        </w:rPr>
        <w:t xml:space="preserve"> a </w:t>
      </w:r>
      <w:r w:rsidR="00EB78A8" w:rsidRPr="00AD77F1">
        <w:rPr>
          <w:noProof/>
        </w:rPr>
        <w:t>krytými finančnými záväzkami</w:t>
      </w:r>
      <w:r w:rsidR="002D52A1" w:rsidRPr="00AD77F1">
        <w:rPr>
          <w:noProof/>
        </w:rPr>
        <w:t xml:space="preserve"> v </w:t>
      </w:r>
      <w:r w:rsidR="00EB78A8" w:rsidRPr="00AD77F1">
        <w:rPr>
          <w:noProof/>
        </w:rPr>
        <w:t>rámci ELM na Ukrajine.</w:t>
      </w:r>
    </w:p>
    <w:p w14:paraId="5B4C3A7C" w14:textId="617AD850" w:rsidR="002D52A1" w:rsidRPr="002D52A1" w:rsidRDefault="00D05784" w:rsidP="00D05784">
      <w:pPr>
        <w:pStyle w:val="ManualNumPar1"/>
        <w:rPr>
          <w:noProof/>
        </w:rPr>
      </w:pPr>
      <w:r w:rsidRPr="00D05784">
        <w:t>3.</w:t>
      </w:r>
      <w:r w:rsidRPr="00D05784">
        <w:tab/>
      </w:r>
      <w:r w:rsidR="00AA6104" w:rsidRPr="002D52A1">
        <w:rPr>
          <w:noProof/>
        </w:rPr>
        <w:t>Odchylne od článku 213 ods. 4 písm. a) nariadenia</w:t>
      </w:r>
      <w:r w:rsidR="002D52A1">
        <w:rPr>
          <w:noProof/>
        </w:rPr>
        <w:t xml:space="preserve"> o </w:t>
      </w:r>
      <w:r w:rsidR="00AA6104" w:rsidRPr="002D52A1">
        <w:rPr>
          <w:noProof/>
        </w:rPr>
        <w:t>rozpočtových pravidlách predstavuje každý prebytok tvorby rezerv uvedenej</w:t>
      </w:r>
      <w:r w:rsidR="002D52A1">
        <w:rPr>
          <w:noProof/>
        </w:rPr>
        <w:t xml:space="preserve"> v </w:t>
      </w:r>
      <w:r w:rsidR="00AA6104" w:rsidRPr="002D52A1">
        <w:rPr>
          <w:noProof/>
        </w:rPr>
        <w:t>článku 12 vonkajšie pripísané príjmy</w:t>
      </w:r>
      <w:r w:rsidR="002D52A1">
        <w:rPr>
          <w:noProof/>
        </w:rPr>
        <w:t xml:space="preserve"> v </w:t>
      </w:r>
      <w:r w:rsidR="00AA6104" w:rsidRPr="002D52A1">
        <w:rPr>
          <w:noProof/>
        </w:rPr>
        <w:t>zmysle článku 21 ods. 5 nariadenia</w:t>
      </w:r>
      <w:r w:rsidR="002D52A1">
        <w:rPr>
          <w:noProof/>
        </w:rPr>
        <w:t xml:space="preserve"> o </w:t>
      </w:r>
      <w:r w:rsidR="00AA6104" w:rsidRPr="002D52A1">
        <w:rPr>
          <w:noProof/>
        </w:rPr>
        <w:t>rozpočtových pravidlách</w:t>
      </w:r>
      <w:r w:rsidR="002D52A1">
        <w:rPr>
          <w:noProof/>
        </w:rPr>
        <w:t xml:space="preserve"> k </w:t>
      </w:r>
      <w:r w:rsidR="00AA6104" w:rsidRPr="002D52A1">
        <w:rPr>
          <w:noProof/>
        </w:rPr>
        <w:t>programom vonkajšej pomoci,</w:t>
      </w:r>
      <w:r w:rsidR="002D52A1">
        <w:rPr>
          <w:noProof/>
        </w:rPr>
        <w:t xml:space="preserve"> v </w:t>
      </w:r>
      <w:r w:rsidR="00AA6104" w:rsidRPr="002D52A1">
        <w:rPr>
          <w:noProof/>
        </w:rPr>
        <w:t>rámci ktorých je Ukrajina oprávneným subjektom</w:t>
      </w:r>
      <w:r w:rsidR="002D52A1" w:rsidRPr="002D52A1">
        <w:rPr>
          <w:noProof/>
        </w:rPr>
        <w:t>.</w:t>
      </w:r>
    </w:p>
    <w:p w14:paraId="2CFC23E4" w14:textId="1500D085" w:rsidR="00AA6104" w:rsidRPr="002D52A1" w:rsidRDefault="00AA6104" w:rsidP="00AA6104">
      <w:pPr>
        <w:pStyle w:val="Text1"/>
        <w:ind w:left="0"/>
        <w:rPr>
          <w:noProof/>
        </w:rPr>
      </w:pPr>
    </w:p>
    <w:p w14:paraId="1B6BC965" w14:textId="77777777" w:rsidR="002D52A1" w:rsidRPr="002D52A1" w:rsidRDefault="004D643E" w:rsidP="00D518F3">
      <w:pPr>
        <w:pStyle w:val="ManualHeading2"/>
        <w:tabs>
          <w:tab w:val="clear" w:pos="850"/>
        </w:tabs>
        <w:spacing w:before="360"/>
        <w:ind w:left="0" w:firstLine="0"/>
        <w:jc w:val="center"/>
        <w:rPr>
          <w:noProof/>
        </w:rPr>
      </w:pPr>
      <w:r w:rsidRPr="002D52A1">
        <w:rPr>
          <w:noProof/>
        </w:rPr>
        <w:t xml:space="preserve">Kapitola III </w:t>
      </w:r>
      <w:r w:rsidRPr="002D52A1">
        <w:rPr>
          <w:noProof/>
        </w:rPr>
        <w:br/>
        <w:t>Spoločné ustanovenia</w:t>
      </w:r>
    </w:p>
    <w:p w14:paraId="40D971E5" w14:textId="46A3F7F2" w:rsidR="00226E79" w:rsidRPr="002D52A1" w:rsidRDefault="00226E79" w:rsidP="00226E79">
      <w:pPr>
        <w:pStyle w:val="Titrearticle"/>
        <w:rPr>
          <w:noProof/>
        </w:rPr>
      </w:pPr>
      <w:r w:rsidRPr="002D52A1">
        <w:rPr>
          <w:noProof/>
        </w:rPr>
        <w:t>Článok 15</w:t>
      </w:r>
    </w:p>
    <w:p w14:paraId="70F3370E" w14:textId="77777777" w:rsidR="007B7AFC" w:rsidRPr="002D52A1" w:rsidRDefault="4234960D" w:rsidP="3AD20BBB">
      <w:pPr>
        <w:jc w:val="center"/>
        <w:rPr>
          <w:b/>
          <w:bCs/>
          <w:noProof/>
        </w:rPr>
      </w:pPr>
      <w:r w:rsidRPr="002D52A1">
        <w:rPr>
          <w:b/>
          <w:noProof/>
        </w:rPr>
        <w:t>Postup výboru</w:t>
      </w:r>
    </w:p>
    <w:p w14:paraId="54242F2C" w14:textId="14CEED86" w:rsidR="00A55609" w:rsidRPr="002D52A1" w:rsidRDefault="00D05784" w:rsidP="00D05784">
      <w:pPr>
        <w:pStyle w:val="ManualNumPar1"/>
        <w:rPr>
          <w:noProof/>
        </w:rPr>
      </w:pPr>
      <w:r w:rsidRPr="00D05784">
        <w:t>1.</w:t>
      </w:r>
      <w:r w:rsidRPr="00D05784">
        <w:tab/>
      </w:r>
      <w:r w:rsidR="00226E79" w:rsidRPr="002D52A1">
        <w:rPr>
          <w:noProof/>
        </w:rPr>
        <w:t>Komisii pomáha výbor</w:t>
      </w:r>
      <w:r w:rsidR="002D52A1">
        <w:rPr>
          <w:noProof/>
        </w:rPr>
        <w:t xml:space="preserve"> v </w:t>
      </w:r>
      <w:r w:rsidR="00226E79" w:rsidRPr="002D52A1">
        <w:rPr>
          <w:noProof/>
        </w:rPr>
        <w:t xml:space="preserve">zmysle nariadenia (EÚ) </w:t>
      </w:r>
      <w:r w:rsidR="002D52A1">
        <w:rPr>
          <w:noProof/>
        </w:rPr>
        <w:t>č. </w:t>
      </w:r>
      <w:r w:rsidR="00226E79" w:rsidRPr="002D52A1">
        <w:rPr>
          <w:noProof/>
        </w:rPr>
        <w:t>182/2011.</w:t>
      </w:r>
    </w:p>
    <w:p w14:paraId="718E12A6" w14:textId="0B2E9320" w:rsidR="00226E79" w:rsidRPr="002D52A1" w:rsidRDefault="00D05784" w:rsidP="00D05784">
      <w:pPr>
        <w:pStyle w:val="ManualNumPar1"/>
        <w:rPr>
          <w:noProof/>
        </w:rPr>
      </w:pPr>
      <w:r w:rsidRPr="00D05784">
        <w:t>2.</w:t>
      </w:r>
      <w:r w:rsidRPr="00D05784">
        <w:tab/>
      </w:r>
      <w:r w:rsidR="378F764A" w:rsidRPr="002D52A1">
        <w:rPr>
          <w:noProof/>
        </w:rPr>
        <w:t xml:space="preserve">Ak sa odkazuje na tento odsek, uplatňuje sa článok 5 nariadenia (EÚ) </w:t>
      </w:r>
      <w:r w:rsidR="002D52A1">
        <w:rPr>
          <w:noProof/>
        </w:rPr>
        <w:t>č. </w:t>
      </w:r>
      <w:r w:rsidR="378F764A" w:rsidRPr="002D52A1">
        <w:rPr>
          <w:noProof/>
        </w:rPr>
        <w:t>182/2011.</w:t>
      </w:r>
    </w:p>
    <w:p w14:paraId="726E60FD" w14:textId="77777777" w:rsidR="00363BF2" w:rsidRPr="002D52A1" w:rsidRDefault="00363BF2" w:rsidP="00363BF2">
      <w:pPr>
        <w:pStyle w:val="Titrearticle"/>
        <w:ind w:left="720"/>
        <w:rPr>
          <w:noProof/>
        </w:rPr>
      </w:pPr>
      <w:r w:rsidRPr="002D52A1">
        <w:rPr>
          <w:noProof/>
        </w:rPr>
        <w:t>Článok 16</w:t>
      </w:r>
    </w:p>
    <w:p w14:paraId="2B246DD3" w14:textId="77777777" w:rsidR="002D52A1" w:rsidRPr="002D52A1" w:rsidRDefault="27528586" w:rsidP="3AD20BBB">
      <w:pPr>
        <w:pStyle w:val="ListParagraph"/>
        <w:spacing w:before="0" w:after="0"/>
        <w:jc w:val="center"/>
        <w:rPr>
          <w:b/>
          <w:noProof/>
        </w:rPr>
      </w:pPr>
      <w:r w:rsidRPr="002D52A1">
        <w:rPr>
          <w:b/>
          <w:noProof/>
        </w:rPr>
        <w:t>Vykonávanie delegovania právomoci</w:t>
      </w:r>
    </w:p>
    <w:p w14:paraId="5AC77F93" w14:textId="2F953C14" w:rsidR="002D52A1" w:rsidRPr="002D52A1" w:rsidRDefault="00D05784" w:rsidP="00D05784">
      <w:pPr>
        <w:pStyle w:val="ManualNumPar1"/>
        <w:rPr>
          <w:noProof/>
        </w:rPr>
      </w:pPr>
      <w:r w:rsidRPr="00D05784">
        <w:t>1.</w:t>
      </w:r>
      <w:r w:rsidRPr="00D05784">
        <w:tab/>
      </w:r>
      <w:r w:rsidR="00363BF2" w:rsidRPr="002D52A1">
        <w:rPr>
          <w:noProof/>
        </w:rPr>
        <w:t>Komisii sa udeľuje právomoc prijímať delegované akty za podmienok stanovených</w:t>
      </w:r>
      <w:r w:rsidR="002D52A1">
        <w:rPr>
          <w:noProof/>
        </w:rPr>
        <w:t xml:space="preserve"> v </w:t>
      </w:r>
      <w:r w:rsidR="00363BF2" w:rsidRPr="002D52A1">
        <w:rPr>
          <w:noProof/>
        </w:rPr>
        <w:t>tomto článku</w:t>
      </w:r>
      <w:r w:rsidR="002D52A1" w:rsidRPr="002D52A1">
        <w:rPr>
          <w:noProof/>
        </w:rPr>
        <w:t>.</w:t>
      </w:r>
    </w:p>
    <w:p w14:paraId="7C7F1004" w14:textId="037B6318" w:rsidR="00A55609" w:rsidRPr="002D52A1" w:rsidRDefault="00D05784" w:rsidP="00D05784">
      <w:pPr>
        <w:pStyle w:val="ManualNumPar1"/>
        <w:rPr>
          <w:noProof/>
        </w:rPr>
      </w:pPr>
      <w:r w:rsidRPr="00D05784">
        <w:t>2.</w:t>
      </w:r>
      <w:r w:rsidRPr="00D05784">
        <w:tab/>
      </w:r>
      <w:r w:rsidR="00363BF2" w:rsidRPr="002D52A1">
        <w:rPr>
          <w:noProof/>
        </w:rPr>
        <w:t>Právomoc prijímať delegované akty uvedené</w:t>
      </w:r>
      <w:r w:rsidR="002D52A1">
        <w:rPr>
          <w:noProof/>
        </w:rPr>
        <w:t xml:space="preserve"> v </w:t>
      </w:r>
      <w:r w:rsidR="00363BF2" w:rsidRPr="002D52A1">
        <w:rPr>
          <w:noProof/>
        </w:rPr>
        <w:t xml:space="preserve">článku 13 ods. 2 sa Komisii udeľuje na dobu neurčitú od </w:t>
      </w:r>
      <w:r w:rsidR="00363BF2" w:rsidRPr="002D52A1">
        <w:rPr>
          <w:i/>
          <w:noProof/>
        </w:rPr>
        <w:t>dátumu nadobudnutia účinnosti tohto rozhodnutia</w:t>
      </w:r>
      <w:r w:rsidR="00363BF2" w:rsidRPr="002D52A1">
        <w:rPr>
          <w:noProof/>
        </w:rPr>
        <w:t>.</w:t>
      </w:r>
    </w:p>
    <w:p w14:paraId="1C8FBACF" w14:textId="2BD0C752" w:rsidR="00A55609" w:rsidRPr="002D52A1" w:rsidRDefault="00D05784" w:rsidP="00D05784">
      <w:pPr>
        <w:pStyle w:val="ManualNumPar1"/>
        <w:rPr>
          <w:noProof/>
        </w:rPr>
      </w:pPr>
      <w:r w:rsidRPr="00D05784">
        <w:t>3.</w:t>
      </w:r>
      <w:r w:rsidRPr="00D05784">
        <w:tab/>
      </w:r>
      <w:r w:rsidR="00C76088" w:rsidRPr="002D52A1">
        <w:rPr>
          <w:noProof/>
        </w:rPr>
        <w:t>Delegovanie právomoci uvedenej</w:t>
      </w:r>
      <w:r w:rsidR="002D52A1">
        <w:rPr>
          <w:noProof/>
        </w:rPr>
        <w:t xml:space="preserve"> v </w:t>
      </w:r>
      <w:r w:rsidR="00C76088" w:rsidRPr="002D52A1">
        <w:rPr>
          <w:noProof/>
        </w:rPr>
        <w:t>článku 13 ods. 2 môže Európsky parlament alebo Rada kedykoľvek odvolať. Rozhodnutím</w:t>
      </w:r>
      <w:r w:rsidR="002D52A1">
        <w:rPr>
          <w:noProof/>
        </w:rPr>
        <w:t xml:space="preserve"> o </w:t>
      </w:r>
      <w:r w:rsidR="00C76088" w:rsidRPr="002D52A1">
        <w:rPr>
          <w:noProof/>
        </w:rPr>
        <w:t>odvolaní sa ukončuje delegovanie právomoci, ktorá sa</w:t>
      </w:r>
      <w:r w:rsidR="002D52A1">
        <w:rPr>
          <w:noProof/>
        </w:rPr>
        <w:t xml:space="preserve"> v </w:t>
      </w:r>
      <w:r w:rsidR="00C76088" w:rsidRPr="002D52A1">
        <w:rPr>
          <w:noProof/>
        </w:rPr>
        <w:t>ňom uvádza. Rozhodnutie nadobúda účinnosť dňom nasledujúcim po jeho uverejnení</w:t>
      </w:r>
      <w:r w:rsidR="002D52A1">
        <w:rPr>
          <w:noProof/>
        </w:rPr>
        <w:t xml:space="preserve"> v </w:t>
      </w:r>
      <w:r w:rsidR="00C76088" w:rsidRPr="002D52A1">
        <w:rPr>
          <w:i/>
          <w:noProof/>
        </w:rPr>
        <w:t>Úradnom vestníku Európskej únie</w:t>
      </w:r>
      <w:r w:rsidR="00C76088" w:rsidRPr="002D52A1">
        <w:rPr>
          <w:noProof/>
        </w:rPr>
        <w:t xml:space="preserve"> alebo</w:t>
      </w:r>
      <w:r w:rsidR="002D52A1">
        <w:rPr>
          <w:noProof/>
        </w:rPr>
        <w:t xml:space="preserve"> k </w:t>
      </w:r>
      <w:r w:rsidR="00C76088" w:rsidRPr="002D52A1">
        <w:rPr>
          <w:noProof/>
        </w:rPr>
        <w:t>neskoršiemu dátumu, ktorý je</w:t>
      </w:r>
      <w:r w:rsidR="002D52A1">
        <w:rPr>
          <w:noProof/>
        </w:rPr>
        <w:t xml:space="preserve"> v </w:t>
      </w:r>
      <w:r w:rsidR="00C76088" w:rsidRPr="002D52A1">
        <w:rPr>
          <w:noProof/>
        </w:rPr>
        <w:t>ňom určený. Nie je ním dotknutá platnosť delegovaných aktov, ktoré už nadobudli účinnosť.</w:t>
      </w:r>
    </w:p>
    <w:p w14:paraId="2CFF54D4" w14:textId="1B411BB6" w:rsidR="00A55609" w:rsidRPr="002D52A1" w:rsidRDefault="00D05784" w:rsidP="00D05784">
      <w:pPr>
        <w:pStyle w:val="ManualNumPar1"/>
        <w:rPr>
          <w:noProof/>
        </w:rPr>
      </w:pPr>
      <w:r w:rsidRPr="00D05784">
        <w:t>4.</w:t>
      </w:r>
      <w:r w:rsidRPr="00D05784">
        <w:tab/>
      </w:r>
      <w:r w:rsidR="00C76088" w:rsidRPr="002D52A1">
        <w:rPr>
          <w:noProof/>
        </w:rPr>
        <w:t>Komisia pred prijatím delegovaného aktu konzultuje</w:t>
      </w:r>
      <w:r w:rsidR="002D52A1">
        <w:rPr>
          <w:noProof/>
        </w:rPr>
        <w:t xml:space="preserve"> s </w:t>
      </w:r>
      <w:r w:rsidR="00C76088" w:rsidRPr="002D52A1">
        <w:rPr>
          <w:noProof/>
        </w:rPr>
        <w:t>expertmi určenými jednotlivými členskými štátmi</w:t>
      </w:r>
      <w:r w:rsidR="002D52A1">
        <w:rPr>
          <w:noProof/>
        </w:rPr>
        <w:t xml:space="preserve"> v </w:t>
      </w:r>
      <w:r w:rsidR="00C76088" w:rsidRPr="002D52A1">
        <w:rPr>
          <w:noProof/>
        </w:rPr>
        <w:t>súlade so zásadami stanovenými</w:t>
      </w:r>
      <w:r w:rsidR="002D52A1">
        <w:rPr>
          <w:noProof/>
        </w:rPr>
        <w:t xml:space="preserve"> v </w:t>
      </w:r>
      <w:r w:rsidR="00C76088" w:rsidRPr="002D52A1">
        <w:rPr>
          <w:noProof/>
        </w:rPr>
        <w:t>Medziinštitucionálnej dohode</w:t>
      </w:r>
      <w:r w:rsidR="002D52A1">
        <w:rPr>
          <w:noProof/>
        </w:rPr>
        <w:t xml:space="preserve"> z </w:t>
      </w:r>
      <w:r w:rsidR="00C76088" w:rsidRPr="002D52A1">
        <w:rPr>
          <w:noProof/>
        </w:rPr>
        <w:t>13</w:t>
      </w:r>
      <w:r w:rsidR="002D52A1">
        <w:rPr>
          <w:noProof/>
        </w:rPr>
        <w:t>. apríla</w:t>
      </w:r>
      <w:r w:rsidR="00C76088" w:rsidRPr="002D52A1">
        <w:rPr>
          <w:noProof/>
        </w:rPr>
        <w:t xml:space="preserve"> 2016</w:t>
      </w:r>
      <w:r w:rsidR="002D52A1">
        <w:rPr>
          <w:noProof/>
        </w:rPr>
        <w:t xml:space="preserve"> o </w:t>
      </w:r>
      <w:r w:rsidR="00C76088" w:rsidRPr="002D52A1">
        <w:rPr>
          <w:noProof/>
        </w:rPr>
        <w:t>lepšej tvorbe práva.</w:t>
      </w:r>
    </w:p>
    <w:p w14:paraId="49197DC8" w14:textId="50104558" w:rsidR="00A55609" w:rsidRPr="002D52A1" w:rsidRDefault="00D05784" w:rsidP="00D05784">
      <w:pPr>
        <w:pStyle w:val="ManualNumPar1"/>
        <w:rPr>
          <w:noProof/>
        </w:rPr>
      </w:pPr>
      <w:r w:rsidRPr="00D05784">
        <w:t>5.</w:t>
      </w:r>
      <w:r w:rsidRPr="00D05784">
        <w:tab/>
      </w:r>
      <w:r w:rsidR="00C76088" w:rsidRPr="002D52A1">
        <w:rPr>
          <w:noProof/>
        </w:rPr>
        <w:t>Komisia oznamuje delegovaný akt hneď po jeho prijatí súčasne Európskemu parlamentu</w:t>
      </w:r>
      <w:r w:rsidR="002D52A1">
        <w:rPr>
          <w:noProof/>
        </w:rPr>
        <w:t xml:space="preserve"> a </w:t>
      </w:r>
      <w:r w:rsidR="00C76088" w:rsidRPr="002D52A1">
        <w:rPr>
          <w:noProof/>
        </w:rPr>
        <w:t>Rade.</w:t>
      </w:r>
    </w:p>
    <w:p w14:paraId="46CBDEC0" w14:textId="1E48206A" w:rsidR="00C76088" w:rsidRPr="002D52A1" w:rsidRDefault="00D05784" w:rsidP="00D05784">
      <w:pPr>
        <w:pStyle w:val="ManualNumPar1"/>
        <w:rPr>
          <w:noProof/>
        </w:rPr>
      </w:pPr>
      <w:r w:rsidRPr="00D05784">
        <w:t>6.</w:t>
      </w:r>
      <w:r w:rsidRPr="00D05784">
        <w:tab/>
      </w:r>
      <w:r w:rsidR="00C76088" w:rsidRPr="002D52A1">
        <w:rPr>
          <w:noProof/>
        </w:rPr>
        <w:t>Delegovaný akt prijatý podľa článku 13 ods. 2 nadobudne účinnosť, len ak Európsky parlament alebo Rada voči nemu nevzniesli námietku</w:t>
      </w:r>
      <w:r w:rsidR="002D52A1">
        <w:rPr>
          <w:noProof/>
        </w:rPr>
        <w:t xml:space="preserve"> v </w:t>
      </w:r>
      <w:r w:rsidR="00C76088" w:rsidRPr="002D52A1">
        <w:rPr>
          <w:noProof/>
        </w:rPr>
        <w:t>lehote dvoch mesiacov odo dňa oznámenia uvedeného aktu Európskemu parlamentu</w:t>
      </w:r>
      <w:r w:rsidR="002D52A1">
        <w:rPr>
          <w:noProof/>
        </w:rPr>
        <w:t xml:space="preserve"> a </w:t>
      </w:r>
      <w:r w:rsidR="00C76088" w:rsidRPr="002D52A1">
        <w:rPr>
          <w:noProof/>
        </w:rPr>
        <w:t>Rade alebo ak pred uplynutím uvedenej lehoty Európsky parlament</w:t>
      </w:r>
      <w:r w:rsidR="002D52A1">
        <w:rPr>
          <w:noProof/>
        </w:rPr>
        <w:t xml:space="preserve"> a </w:t>
      </w:r>
      <w:r w:rsidR="00C76088" w:rsidRPr="002D52A1">
        <w:rPr>
          <w:noProof/>
        </w:rPr>
        <w:t>Rada informovali Komisiu</w:t>
      </w:r>
      <w:r w:rsidR="002D52A1">
        <w:rPr>
          <w:noProof/>
        </w:rPr>
        <w:t xml:space="preserve"> o </w:t>
      </w:r>
      <w:r w:rsidR="00C76088" w:rsidRPr="002D52A1">
        <w:rPr>
          <w:noProof/>
        </w:rPr>
        <w:t>svojom rozhodnutí nevzniesť námietku. Na podnet Európskeho parlamentu alebo Rady sa táto lehota predĺži</w:t>
      </w:r>
      <w:r w:rsidR="002D52A1">
        <w:rPr>
          <w:noProof/>
        </w:rPr>
        <w:t xml:space="preserve"> o </w:t>
      </w:r>
      <w:r w:rsidR="00C76088" w:rsidRPr="002D52A1">
        <w:rPr>
          <w:noProof/>
        </w:rPr>
        <w:t>dva mesiace.</w:t>
      </w:r>
    </w:p>
    <w:p w14:paraId="162D4897" w14:textId="77777777" w:rsidR="004D643E" w:rsidRPr="002D52A1" w:rsidRDefault="004D643E" w:rsidP="6FFD2748">
      <w:pPr>
        <w:pStyle w:val="Titrearticle"/>
        <w:rPr>
          <w:rFonts w:eastAsia="Calibri"/>
          <w:noProof/>
        </w:rPr>
      </w:pPr>
      <w:r w:rsidRPr="002D52A1">
        <w:rPr>
          <w:noProof/>
        </w:rPr>
        <w:t>Článok 17</w:t>
      </w:r>
    </w:p>
    <w:p w14:paraId="62467E5A" w14:textId="77777777" w:rsidR="007B7AFC" w:rsidRPr="002D52A1" w:rsidRDefault="007B7AFC" w:rsidP="00A7671E">
      <w:pPr>
        <w:jc w:val="center"/>
        <w:rPr>
          <w:b/>
          <w:bCs/>
          <w:noProof/>
        </w:rPr>
      </w:pPr>
      <w:r w:rsidRPr="002D52A1">
        <w:rPr>
          <w:b/>
          <w:noProof/>
        </w:rPr>
        <w:t>Výročná správa</w:t>
      </w:r>
    </w:p>
    <w:p w14:paraId="456A370F" w14:textId="416A18D9" w:rsidR="004D643E" w:rsidRPr="00AD77F1" w:rsidRDefault="00D05784" w:rsidP="00D05784">
      <w:pPr>
        <w:pStyle w:val="ManualNumPar1"/>
        <w:rPr>
          <w:noProof/>
        </w:rPr>
      </w:pPr>
      <w:r w:rsidRPr="00D05784">
        <w:t>1.</w:t>
      </w:r>
      <w:r w:rsidRPr="00D05784">
        <w:tab/>
      </w:r>
      <w:r w:rsidR="004D643E" w:rsidRPr="00AD77F1">
        <w:rPr>
          <w:noProof/>
        </w:rPr>
        <w:t>Komisia každý rok do 30</w:t>
      </w:r>
      <w:r w:rsidR="002D52A1" w:rsidRPr="00AD77F1">
        <w:rPr>
          <w:noProof/>
        </w:rPr>
        <w:t>. júna v </w:t>
      </w:r>
      <w:r w:rsidR="004D643E" w:rsidRPr="00AD77F1">
        <w:rPr>
          <w:noProof/>
        </w:rPr>
        <w:t>rámci svojej výročnej správy predloží Európskemu parlamentu</w:t>
      </w:r>
      <w:r w:rsidR="002D52A1" w:rsidRPr="00AD77F1">
        <w:rPr>
          <w:noProof/>
        </w:rPr>
        <w:t xml:space="preserve"> a </w:t>
      </w:r>
      <w:r w:rsidR="004D643E" w:rsidRPr="00AD77F1">
        <w:rPr>
          <w:noProof/>
        </w:rPr>
        <w:t>Rade posúdenie vykonávania kapitoly I tohto rozhodnutia</w:t>
      </w:r>
      <w:r w:rsidR="002D52A1" w:rsidRPr="00AD77F1">
        <w:rPr>
          <w:noProof/>
        </w:rPr>
        <w:t xml:space="preserve"> v </w:t>
      </w:r>
      <w:r w:rsidR="004D643E" w:rsidRPr="00AD77F1">
        <w:rPr>
          <w:noProof/>
        </w:rPr>
        <w:t>predchádzajúcom roku vrátane hodnotenia tohto vykonávania.</w:t>
      </w:r>
      <w:r w:rsidR="002D52A1" w:rsidRPr="00AD77F1">
        <w:rPr>
          <w:noProof/>
        </w:rPr>
        <w:t xml:space="preserve"> V </w:t>
      </w:r>
      <w:r w:rsidR="004D643E" w:rsidRPr="00AD77F1">
        <w:rPr>
          <w:noProof/>
        </w:rPr>
        <w:t>uvedenej správe sa:</w:t>
      </w:r>
    </w:p>
    <w:p w14:paraId="16CF17AA" w14:textId="47502ED1" w:rsidR="004D643E" w:rsidRPr="002D52A1" w:rsidRDefault="002D52A1" w:rsidP="002D52A1">
      <w:pPr>
        <w:pStyle w:val="Point1"/>
        <w:rPr>
          <w:rFonts w:eastAsiaTheme="minorEastAsia"/>
          <w:noProof/>
          <w:szCs w:val="24"/>
        </w:rPr>
      </w:pPr>
      <w:r>
        <w:rPr>
          <w:noProof/>
        </w:rPr>
        <w:t>a)</w:t>
      </w:r>
      <w:r>
        <w:rPr>
          <w:noProof/>
        </w:rPr>
        <w:tab/>
      </w:r>
      <w:r w:rsidR="2D6D47E0" w:rsidRPr="002D52A1">
        <w:rPr>
          <w:noProof/>
        </w:rPr>
        <w:t>preskúma dosiahnutý pokrok</w:t>
      </w:r>
      <w:r>
        <w:rPr>
          <w:noProof/>
        </w:rPr>
        <w:t xml:space="preserve"> v </w:t>
      </w:r>
      <w:r w:rsidR="2D6D47E0" w:rsidRPr="002D52A1">
        <w:rPr>
          <w:noProof/>
        </w:rPr>
        <w:t>poskytovaní výnimočnej makrofinančnej pomoci Únie;</w:t>
      </w:r>
    </w:p>
    <w:p w14:paraId="21CB86BD" w14:textId="5059B1D4" w:rsidR="004D643E" w:rsidRPr="002D52A1" w:rsidRDefault="002D52A1" w:rsidP="002D52A1">
      <w:pPr>
        <w:pStyle w:val="Point1"/>
        <w:rPr>
          <w:noProof/>
          <w:szCs w:val="24"/>
        </w:rPr>
      </w:pPr>
      <w:r>
        <w:rPr>
          <w:noProof/>
        </w:rPr>
        <w:t>b)</w:t>
      </w:r>
      <w:r>
        <w:rPr>
          <w:noProof/>
        </w:rPr>
        <w:tab/>
      </w:r>
      <w:r w:rsidR="2D6D47E0" w:rsidRPr="002D52A1">
        <w:rPr>
          <w:noProof/>
        </w:rPr>
        <w:t>posúdi hospodárska situácia</w:t>
      </w:r>
      <w:r>
        <w:rPr>
          <w:noProof/>
        </w:rPr>
        <w:t xml:space="preserve"> a </w:t>
      </w:r>
      <w:r w:rsidR="2D6D47E0" w:rsidRPr="002D52A1">
        <w:rPr>
          <w:noProof/>
        </w:rPr>
        <w:t>vyhliadky Ukrajiny, ako aj plnenie požiadaviek</w:t>
      </w:r>
      <w:r>
        <w:rPr>
          <w:noProof/>
        </w:rPr>
        <w:t xml:space="preserve"> a </w:t>
      </w:r>
      <w:r w:rsidR="2D6D47E0" w:rsidRPr="002D52A1">
        <w:rPr>
          <w:noProof/>
        </w:rPr>
        <w:t>podmienok uvedených</w:t>
      </w:r>
      <w:r>
        <w:rPr>
          <w:noProof/>
        </w:rPr>
        <w:t xml:space="preserve"> v </w:t>
      </w:r>
      <w:r w:rsidR="2D6D47E0" w:rsidRPr="002D52A1">
        <w:rPr>
          <w:noProof/>
        </w:rPr>
        <w:t>článku 3 ods. 1;</w:t>
      </w:r>
    </w:p>
    <w:p w14:paraId="17FCBA0F" w14:textId="7DAB405E" w:rsidR="087D58C3" w:rsidRPr="002D52A1" w:rsidRDefault="002D52A1" w:rsidP="002D52A1">
      <w:pPr>
        <w:pStyle w:val="Point1"/>
        <w:rPr>
          <w:noProof/>
          <w:szCs w:val="24"/>
        </w:rPr>
      </w:pPr>
      <w:r>
        <w:rPr>
          <w:noProof/>
        </w:rPr>
        <w:t>c)</w:t>
      </w:r>
      <w:r>
        <w:rPr>
          <w:noProof/>
        </w:rPr>
        <w:tab/>
      </w:r>
      <w:r w:rsidR="2D6D47E0" w:rsidRPr="002D52A1">
        <w:rPr>
          <w:noProof/>
        </w:rPr>
        <w:t>uvedú súvislosti medzi požiadavkami</w:t>
      </w:r>
      <w:r>
        <w:rPr>
          <w:noProof/>
        </w:rPr>
        <w:t xml:space="preserve"> a </w:t>
      </w:r>
      <w:r w:rsidR="2D6D47E0" w:rsidRPr="002D52A1">
        <w:rPr>
          <w:noProof/>
        </w:rPr>
        <w:t>podmienkami stanovenými</w:t>
      </w:r>
      <w:r>
        <w:rPr>
          <w:noProof/>
        </w:rPr>
        <w:t xml:space="preserve"> v </w:t>
      </w:r>
      <w:r w:rsidR="2D6D47E0" w:rsidRPr="002D52A1">
        <w:rPr>
          <w:noProof/>
        </w:rPr>
        <w:t>memorande</w:t>
      </w:r>
      <w:r>
        <w:rPr>
          <w:noProof/>
        </w:rPr>
        <w:t xml:space="preserve"> o </w:t>
      </w:r>
      <w:r w:rsidR="2D6D47E0" w:rsidRPr="002D52A1">
        <w:rPr>
          <w:noProof/>
        </w:rPr>
        <w:t>porozumení, priebežnou makrofinančnou situáciou Ukrajiny</w:t>
      </w:r>
      <w:r>
        <w:rPr>
          <w:noProof/>
        </w:rPr>
        <w:t xml:space="preserve"> a </w:t>
      </w:r>
      <w:r w:rsidR="2D6D47E0" w:rsidRPr="002D52A1">
        <w:rPr>
          <w:noProof/>
        </w:rPr>
        <w:t>rozhodnutiami Komisie</w:t>
      </w:r>
      <w:r>
        <w:rPr>
          <w:noProof/>
        </w:rPr>
        <w:t xml:space="preserve"> o </w:t>
      </w:r>
      <w:r w:rsidR="2D6D47E0" w:rsidRPr="002D52A1">
        <w:rPr>
          <w:noProof/>
        </w:rPr>
        <w:t>uvoľnení splátok výnimočnej makrofinančnej pomoci Únie.</w:t>
      </w:r>
    </w:p>
    <w:p w14:paraId="557A8A2B" w14:textId="6E620516" w:rsidR="004D643E" w:rsidRPr="002D52A1" w:rsidRDefault="00D05784" w:rsidP="00D05784">
      <w:pPr>
        <w:pStyle w:val="ManualNumPar1"/>
        <w:rPr>
          <w:noProof/>
        </w:rPr>
      </w:pPr>
      <w:r w:rsidRPr="00D05784">
        <w:t>2.</w:t>
      </w:r>
      <w:r w:rsidRPr="00D05784">
        <w:tab/>
      </w:r>
      <w:r w:rsidR="2D6D47E0" w:rsidRPr="002D52A1">
        <w:rPr>
          <w:noProof/>
        </w:rPr>
        <w:t>Najneskôr do dvoch rokov po skončení obdobia dostupnosti pomoci Komisia predloží Európskemu parlamentu</w:t>
      </w:r>
      <w:r w:rsidR="002D52A1">
        <w:rPr>
          <w:noProof/>
        </w:rPr>
        <w:t xml:space="preserve"> a </w:t>
      </w:r>
      <w:r w:rsidR="2D6D47E0" w:rsidRPr="002D52A1">
        <w:rPr>
          <w:noProof/>
        </w:rPr>
        <w:t>Rade správu</w:t>
      </w:r>
      <w:r w:rsidR="002D52A1">
        <w:rPr>
          <w:noProof/>
        </w:rPr>
        <w:t xml:space="preserve"> o </w:t>
      </w:r>
      <w:r w:rsidR="2D6D47E0" w:rsidRPr="002D52A1">
        <w:rPr>
          <w:noProof/>
        </w:rPr>
        <w:t xml:space="preserve">hodnotení </w:t>
      </w:r>
      <w:r w:rsidR="2D6D47E0" w:rsidRPr="002D52A1">
        <w:rPr>
          <w:i/>
          <w:noProof/>
        </w:rPr>
        <w:t>ex post</w:t>
      </w:r>
      <w:r w:rsidR="2D6D47E0" w:rsidRPr="002D52A1">
        <w:rPr>
          <w:noProof/>
        </w:rPr>
        <w:t>,</w:t>
      </w:r>
      <w:r w:rsidR="002D52A1">
        <w:rPr>
          <w:noProof/>
        </w:rPr>
        <w:t xml:space="preserve"> v </w:t>
      </w:r>
      <w:r w:rsidR="2D6D47E0" w:rsidRPr="002D52A1">
        <w:rPr>
          <w:noProof/>
        </w:rPr>
        <w:t>ktorej posúdi výsledky</w:t>
      </w:r>
      <w:r w:rsidR="002D52A1">
        <w:rPr>
          <w:noProof/>
        </w:rPr>
        <w:t xml:space="preserve"> a </w:t>
      </w:r>
      <w:r w:rsidR="2D6D47E0" w:rsidRPr="002D52A1">
        <w:rPr>
          <w:noProof/>
        </w:rPr>
        <w:t>efektívnosť ukončenej výnimočnej makrofinančnej pomoci Únie</w:t>
      </w:r>
      <w:r w:rsidR="002D52A1">
        <w:rPr>
          <w:noProof/>
        </w:rPr>
        <w:t xml:space="preserve"> a </w:t>
      </w:r>
      <w:r w:rsidR="2D6D47E0" w:rsidRPr="002D52A1">
        <w:rPr>
          <w:noProof/>
        </w:rPr>
        <w:t>rozsah,</w:t>
      </w:r>
      <w:r w:rsidR="002D52A1">
        <w:rPr>
          <w:noProof/>
        </w:rPr>
        <w:t xml:space="preserve"> v </w:t>
      </w:r>
      <w:r w:rsidR="2D6D47E0" w:rsidRPr="002D52A1">
        <w:rPr>
          <w:noProof/>
        </w:rPr>
        <w:t>akom prispela</w:t>
      </w:r>
      <w:r w:rsidR="002D52A1">
        <w:rPr>
          <w:noProof/>
        </w:rPr>
        <w:t xml:space="preserve"> k </w:t>
      </w:r>
      <w:r w:rsidR="2D6D47E0" w:rsidRPr="002D52A1">
        <w:rPr>
          <w:noProof/>
        </w:rPr>
        <w:t>cieľom pomoci.</w:t>
      </w:r>
    </w:p>
    <w:p w14:paraId="591380B7" w14:textId="532AB18C" w:rsidR="00CC66E6" w:rsidRPr="002D52A1" w:rsidRDefault="00CC66E6" w:rsidP="00CC66E6">
      <w:pPr>
        <w:pStyle w:val="ManualHeading2"/>
        <w:tabs>
          <w:tab w:val="clear" w:pos="850"/>
        </w:tabs>
        <w:ind w:left="0" w:firstLine="0"/>
        <w:jc w:val="center"/>
        <w:rPr>
          <w:b w:val="0"/>
          <w:noProof/>
        </w:rPr>
      </w:pPr>
      <w:r w:rsidRPr="002D52A1">
        <w:rPr>
          <w:noProof/>
        </w:rPr>
        <w:t xml:space="preserve">Kapitola IV </w:t>
      </w:r>
      <w:r w:rsidRPr="002D52A1">
        <w:rPr>
          <w:noProof/>
        </w:rPr>
        <w:br/>
        <w:t>Zmena rozhodnutia (EÚ) 2022/1201</w:t>
      </w:r>
      <w:r w:rsidR="002D52A1">
        <w:rPr>
          <w:noProof/>
        </w:rPr>
        <w:t xml:space="preserve"> a </w:t>
      </w:r>
      <w:r w:rsidRPr="002D52A1">
        <w:rPr>
          <w:noProof/>
        </w:rPr>
        <w:t>záverečné ustanovenie</w:t>
      </w:r>
    </w:p>
    <w:p w14:paraId="5C3DD84D" w14:textId="77777777" w:rsidR="00CC66E6" w:rsidRPr="002D52A1" w:rsidRDefault="00CC66E6" w:rsidP="00CC66E6">
      <w:pPr>
        <w:pStyle w:val="Titrearticle"/>
        <w:rPr>
          <w:noProof/>
        </w:rPr>
      </w:pPr>
      <w:r w:rsidRPr="002D52A1">
        <w:rPr>
          <w:noProof/>
        </w:rPr>
        <w:t>Článok 18</w:t>
      </w:r>
    </w:p>
    <w:p w14:paraId="18BA1635" w14:textId="77777777" w:rsidR="002D52A1" w:rsidRPr="002D52A1" w:rsidRDefault="00CC66E6" w:rsidP="000B1D09">
      <w:pPr>
        <w:pStyle w:val="Titrearticle"/>
        <w:jc w:val="both"/>
        <w:rPr>
          <w:i w:val="0"/>
          <w:noProof/>
        </w:rPr>
      </w:pPr>
      <w:r w:rsidRPr="002D52A1">
        <w:rPr>
          <w:i w:val="0"/>
          <w:noProof/>
        </w:rPr>
        <w:t>Rozhodnutie (EÚ) 2022/1201 sa mení takto</w:t>
      </w:r>
      <w:r w:rsidR="002D52A1" w:rsidRPr="002D52A1">
        <w:rPr>
          <w:i w:val="0"/>
          <w:noProof/>
        </w:rPr>
        <w:t>:</w:t>
      </w:r>
    </w:p>
    <w:p w14:paraId="50F11304" w14:textId="0B73A3DD" w:rsidR="00CC66E6" w:rsidRPr="002D52A1" w:rsidRDefault="00D05784" w:rsidP="00D05784">
      <w:pPr>
        <w:pStyle w:val="ManualNumPar1"/>
        <w:rPr>
          <w:noProof/>
        </w:rPr>
      </w:pPr>
      <w:r w:rsidRPr="00D05784">
        <w:t>1.</w:t>
      </w:r>
      <w:r w:rsidRPr="00D05784">
        <w:tab/>
      </w:r>
      <w:r w:rsidR="00097364" w:rsidRPr="002D52A1">
        <w:rPr>
          <w:noProof/>
        </w:rPr>
        <w:t>V článku 1 ods. 2 sa druhá veta nahrádza takto:</w:t>
      </w:r>
    </w:p>
    <w:p w14:paraId="007D1E60" w14:textId="5E044BB6" w:rsidR="00A55609" w:rsidRPr="002D52A1" w:rsidRDefault="006F3594" w:rsidP="00A55609">
      <w:pPr>
        <w:pStyle w:val="li"/>
        <w:shd w:val="clear" w:color="auto" w:fill="FFFFFF"/>
        <w:spacing w:before="0" w:beforeAutospacing="0" w:after="0" w:afterAutospacing="0"/>
        <w:jc w:val="both"/>
        <w:textAlignment w:val="baseline"/>
        <w:rPr>
          <w:noProof/>
          <w:color w:val="000000"/>
          <w:bdr w:val="none" w:sz="0" w:space="0" w:color="auto" w:frame="1"/>
        </w:rPr>
      </w:pPr>
      <w:r w:rsidRPr="002D52A1">
        <w:rPr>
          <w:noProof/>
        </w:rPr>
        <w:t>„Úvery podľa odseku 1</w:t>
      </w:r>
      <w:r w:rsidR="002D52A1">
        <w:rPr>
          <w:noProof/>
        </w:rPr>
        <w:t xml:space="preserve"> a </w:t>
      </w:r>
      <w:r w:rsidRPr="002D52A1">
        <w:rPr>
          <w:noProof/>
        </w:rPr>
        <w:t>rozhodnutia </w:t>
      </w:r>
      <w:r w:rsidRPr="002D52A1">
        <w:rPr>
          <w:noProof/>
          <w:color w:val="000000"/>
          <w:bdr w:val="none" w:sz="0" w:space="0" w:color="auto" w:frame="1"/>
        </w:rPr>
        <w:t>[COM(2022) XXX</w:t>
      </w:r>
      <w:r w:rsidRPr="002D52A1">
        <w:rPr>
          <w:noProof/>
        </w:rPr>
        <w:t> – </w:t>
      </w:r>
      <w:r w:rsidRPr="002D52A1">
        <w:rPr>
          <w:i/>
          <w:noProof/>
        </w:rPr>
        <w:t>tento návrh</w:t>
      </w:r>
      <w:r w:rsidRPr="002D52A1">
        <w:rPr>
          <w:noProof/>
          <w:color w:val="000000"/>
          <w:bdr w:val="none" w:sz="0" w:space="0" w:color="auto" w:frame="1"/>
        </w:rPr>
        <w:t>]</w:t>
      </w:r>
      <w:r w:rsidRPr="002D52A1">
        <w:rPr>
          <w:noProof/>
        </w:rPr>
        <w:t xml:space="preserve"> majú spoločne maximálnu priemernú splatnosť 25 rokov.“</w:t>
      </w:r>
    </w:p>
    <w:p w14:paraId="23981E34" w14:textId="39FF1FCC" w:rsidR="006F3594" w:rsidRPr="002D52A1" w:rsidRDefault="00D05784" w:rsidP="00D05784">
      <w:pPr>
        <w:pStyle w:val="ManualNumPar1"/>
        <w:rPr>
          <w:noProof/>
        </w:rPr>
      </w:pPr>
      <w:r w:rsidRPr="00D05784">
        <w:t>2.</w:t>
      </w:r>
      <w:r w:rsidRPr="00D05784">
        <w:tab/>
      </w:r>
      <w:r w:rsidR="00097364" w:rsidRPr="002D52A1">
        <w:rPr>
          <w:noProof/>
        </w:rPr>
        <w:t>Článok 7 sa vypúšťa.</w:t>
      </w:r>
    </w:p>
    <w:p w14:paraId="1DCB8078" w14:textId="77777777" w:rsidR="00F152DC" w:rsidRPr="002D52A1" w:rsidRDefault="00F152DC" w:rsidP="00D045D9">
      <w:pPr>
        <w:pStyle w:val="Titrearticle"/>
        <w:rPr>
          <w:noProof/>
        </w:rPr>
      </w:pPr>
      <w:r w:rsidRPr="002D52A1">
        <w:rPr>
          <w:noProof/>
        </w:rPr>
        <w:t>Článok 19</w:t>
      </w:r>
    </w:p>
    <w:p w14:paraId="230C2B53" w14:textId="057F7296" w:rsidR="00F152DC" w:rsidRPr="002D52A1" w:rsidRDefault="004D643E" w:rsidP="00D045D9">
      <w:pPr>
        <w:rPr>
          <w:noProof/>
        </w:rPr>
      </w:pPr>
      <w:r w:rsidRPr="002D52A1">
        <w:rPr>
          <w:noProof/>
        </w:rPr>
        <w:t>Toto rozhodnutie nadobúda účinnosť dňom nasledujúcim po jeho uverejnení</w:t>
      </w:r>
      <w:r w:rsidR="002D52A1">
        <w:rPr>
          <w:noProof/>
        </w:rPr>
        <w:t xml:space="preserve"> v </w:t>
      </w:r>
      <w:r w:rsidRPr="002D52A1">
        <w:rPr>
          <w:i/>
          <w:noProof/>
        </w:rPr>
        <w:t>Úradnom vestníku Európskej únie</w:t>
      </w:r>
      <w:r w:rsidRPr="002D52A1">
        <w:rPr>
          <w:noProof/>
        </w:rPr>
        <w:t>.</w:t>
      </w:r>
    </w:p>
    <w:p w14:paraId="24E6DDAE" w14:textId="77777777" w:rsidR="00F152DC" w:rsidRPr="002D52A1" w:rsidRDefault="00F152DC" w:rsidP="2716B58F">
      <w:pPr>
        <w:keepNext/>
        <w:keepLines/>
        <w:rPr>
          <w:rFonts w:eastAsia="Calibri"/>
          <w:noProof/>
          <w:szCs w:val="24"/>
        </w:rPr>
      </w:pPr>
    </w:p>
    <w:p w14:paraId="47D31D79" w14:textId="78A45C13" w:rsidR="00F152DC" w:rsidRPr="002D52A1" w:rsidRDefault="006770EF" w:rsidP="00950382">
      <w:pPr>
        <w:pStyle w:val="Fait"/>
        <w:rPr>
          <w:noProof/>
        </w:rPr>
      </w:pPr>
      <w:r w:rsidRPr="006770EF">
        <w:t>V Bruseli</w:t>
      </w:r>
    </w:p>
    <w:p w14:paraId="091E8CD1" w14:textId="77777777" w:rsidR="00F152DC" w:rsidRPr="002D52A1" w:rsidRDefault="00F152DC" w:rsidP="00950382">
      <w:pPr>
        <w:pStyle w:val="Institutionquisigne"/>
        <w:rPr>
          <w:noProof/>
        </w:rPr>
      </w:pPr>
      <w:r w:rsidRPr="002D52A1">
        <w:rPr>
          <w:noProof/>
        </w:rPr>
        <w:t>Za Európsky parlament</w:t>
      </w:r>
      <w:r w:rsidRPr="002D52A1">
        <w:rPr>
          <w:noProof/>
        </w:rPr>
        <w:tab/>
      </w:r>
      <w:r w:rsidRPr="002D52A1">
        <w:rPr>
          <w:noProof/>
        </w:rPr>
        <w:tab/>
      </w:r>
      <w:r w:rsidRPr="002D52A1">
        <w:rPr>
          <w:noProof/>
        </w:rPr>
        <w:tab/>
        <w:t>Za Radu</w:t>
      </w:r>
    </w:p>
    <w:p w14:paraId="740CE9F1" w14:textId="77777777" w:rsidR="007649C9" w:rsidRPr="002D52A1" w:rsidRDefault="00A32A62" w:rsidP="00274C32">
      <w:pPr>
        <w:pStyle w:val="Personnequisigne"/>
        <w:rPr>
          <w:noProof/>
        </w:rPr>
        <w:sectPr w:rsidR="007649C9" w:rsidRPr="002D52A1" w:rsidSect="00A6081D">
          <w:pgSz w:w="11907" w:h="16840" w:code="9"/>
          <w:pgMar w:top="1134" w:right="1418" w:bottom="1134" w:left="1418" w:header="709" w:footer="709" w:gutter="0"/>
          <w:cols w:space="720"/>
          <w:docGrid w:linePitch="360"/>
        </w:sectPr>
      </w:pPr>
      <w:r w:rsidRPr="002D52A1">
        <w:rPr>
          <w:noProof/>
        </w:rPr>
        <w:t>predsedníčka</w:t>
      </w:r>
      <w:r w:rsidRPr="002D52A1">
        <w:rPr>
          <w:noProof/>
        </w:rPr>
        <w:tab/>
      </w:r>
      <w:r w:rsidRPr="002D52A1">
        <w:rPr>
          <w:noProof/>
        </w:rPr>
        <w:tab/>
      </w:r>
      <w:r w:rsidRPr="002D52A1">
        <w:rPr>
          <w:noProof/>
        </w:rPr>
        <w:tab/>
        <w:t>predseda</w:t>
      </w:r>
    </w:p>
    <w:p w14:paraId="60D187E9" w14:textId="77777777" w:rsidR="00C4624A" w:rsidRPr="002D52A1" w:rsidRDefault="00C4624A" w:rsidP="00C4624A">
      <w:pPr>
        <w:pStyle w:val="Fichefinanciretitre"/>
        <w:rPr>
          <w:noProof/>
        </w:rPr>
      </w:pPr>
      <w:r w:rsidRPr="002D52A1">
        <w:rPr>
          <w:noProof/>
        </w:rPr>
        <w:t>LEGISLATÍVNY FINANČNÝ VÝKAZ</w:t>
      </w:r>
    </w:p>
    <w:p w14:paraId="2969749F" w14:textId="5432C011" w:rsidR="002D52A1" w:rsidRPr="002D52A1" w:rsidRDefault="00D05784" w:rsidP="00D05784">
      <w:pPr>
        <w:pStyle w:val="ManualHeading1"/>
        <w:rPr>
          <w:noProof/>
        </w:rPr>
      </w:pPr>
      <w:bookmarkStart w:id="5" w:name="_Toc514938007"/>
      <w:bookmarkStart w:id="6" w:name="_Toc520485025"/>
      <w:r w:rsidRPr="00D05784">
        <w:t>1.</w:t>
      </w:r>
      <w:r w:rsidRPr="00D05784">
        <w:tab/>
      </w:r>
      <w:r w:rsidR="00C4624A" w:rsidRPr="002D52A1">
        <w:rPr>
          <w:noProof/>
        </w:rPr>
        <w:t>RÁMEC NÁVRHU/INICIATÍVY</w:t>
      </w:r>
      <w:bookmarkEnd w:id="5"/>
      <w:bookmarkEnd w:id="6"/>
    </w:p>
    <w:p w14:paraId="00B41A3D" w14:textId="2241DFC8" w:rsidR="00C4624A" w:rsidRPr="002D52A1" w:rsidRDefault="00D05784" w:rsidP="00D05784">
      <w:pPr>
        <w:pStyle w:val="ManualHeading2"/>
        <w:rPr>
          <w:noProof/>
        </w:rPr>
      </w:pPr>
      <w:bookmarkStart w:id="7" w:name="_Toc514938008"/>
      <w:bookmarkStart w:id="8" w:name="_Toc520485026"/>
      <w:r w:rsidRPr="00D05784">
        <w:t>1.1.</w:t>
      </w:r>
      <w:r w:rsidRPr="00D05784">
        <w:tab/>
      </w:r>
      <w:r w:rsidR="00C4624A" w:rsidRPr="002D52A1">
        <w:rPr>
          <w:noProof/>
        </w:rPr>
        <w:t>Názov návrhu/iniciatívy</w:t>
      </w:r>
      <w:bookmarkEnd w:id="7"/>
      <w:bookmarkEnd w:id="8"/>
    </w:p>
    <w:p w14:paraId="185F59AC" w14:textId="6349FE91" w:rsidR="00C4624A" w:rsidRPr="002D52A1" w:rsidRDefault="00C4624A" w:rsidP="00C4624A">
      <w:pPr>
        <w:pBdr>
          <w:top w:val="single" w:sz="4" w:space="1" w:color="auto"/>
          <w:left w:val="single" w:sz="4" w:space="4" w:color="auto"/>
          <w:bottom w:val="single" w:sz="4" w:space="1" w:color="auto"/>
          <w:right w:val="single" w:sz="4" w:space="4" w:color="auto"/>
        </w:pBdr>
        <w:ind w:left="851"/>
        <w:rPr>
          <w:rFonts w:eastAsiaTheme="majorEastAsia"/>
          <w:b/>
          <w:bCs/>
          <w:noProof/>
        </w:rPr>
      </w:pPr>
      <w:r w:rsidRPr="002D52A1">
        <w:rPr>
          <w:noProof/>
          <w:color w:val="000000" w:themeColor="text1"/>
        </w:rPr>
        <w:t>Návrh rozhodnutia Európskeho parlamentu</w:t>
      </w:r>
      <w:r w:rsidR="002D52A1">
        <w:rPr>
          <w:noProof/>
          <w:color w:val="000000" w:themeColor="text1"/>
        </w:rPr>
        <w:t xml:space="preserve"> a </w:t>
      </w:r>
      <w:r w:rsidRPr="002D52A1">
        <w:rPr>
          <w:noProof/>
          <w:color w:val="000000" w:themeColor="text1"/>
        </w:rPr>
        <w:t>Rady</w:t>
      </w:r>
      <w:r w:rsidR="002D52A1">
        <w:rPr>
          <w:noProof/>
          <w:color w:val="000000" w:themeColor="text1"/>
        </w:rPr>
        <w:t xml:space="preserve"> o </w:t>
      </w:r>
      <w:r w:rsidRPr="002D52A1">
        <w:rPr>
          <w:noProof/>
          <w:color w:val="000000" w:themeColor="text1"/>
        </w:rPr>
        <w:t>poskytnutí makrofinančnej pomoci Ukrajine</w:t>
      </w:r>
    </w:p>
    <w:p w14:paraId="1CFFE837" w14:textId="37B1276A" w:rsidR="00C4624A" w:rsidRPr="00AD77F1" w:rsidRDefault="00D05784" w:rsidP="00D05784">
      <w:pPr>
        <w:pStyle w:val="ManualHeading2"/>
        <w:rPr>
          <w:iCs/>
          <w:noProof/>
        </w:rPr>
      </w:pPr>
      <w:bookmarkStart w:id="9" w:name="_Toc514938011"/>
      <w:bookmarkStart w:id="10" w:name="_Toc520485027"/>
      <w:r w:rsidRPr="00D05784">
        <w:t>1.2.</w:t>
      </w:r>
      <w:r w:rsidRPr="00D05784">
        <w:tab/>
      </w:r>
      <w:r w:rsidR="00C4624A" w:rsidRPr="002D52A1">
        <w:rPr>
          <w:noProof/>
        </w:rPr>
        <w:t>Príslušné oblasti politiky</w:t>
      </w:r>
      <w:bookmarkEnd w:id="9"/>
      <w:bookmarkEnd w:id="10"/>
      <w:r w:rsidR="002D52A1">
        <w:rPr>
          <w:i/>
          <w:noProof/>
        </w:rPr>
        <w:t xml:space="preserve"> v </w:t>
      </w:r>
      <w:r w:rsidR="00C4624A" w:rsidRPr="002D52A1">
        <w:rPr>
          <w:noProof/>
        </w:rPr>
        <w:t>rámci ABM/ABB</w:t>
      </w:r>
      <w:r w:rsidR="00C4624A" w:rsidRPr="002D52A1">
        <w:rPr>
          <w:rStyle w:val="FootnoteReference"/>
          <w:noProof/>
        </w:rPr>
        <w:footnoteReference w:id="27"/>
      </w:r>
    </w:p>
    <w:p w14:paraId="207C44F6" w14:textId="306F09D1" w:rsidR="00C4624A" w:rsidRPr="002D52A1" w:rsidRDefault="00C4624A" w:rsidP="00C4624A">
      <w:pPr>
        <w:pStyle w:val="Text1"/>
        <w:pBdr>
          <w:top w:val="single" w:sz="4" w:space="1" w:color="auto"/>
          <w:left w:val="single" w:sz="4" w:space="4" w:color="auto"/>
          <w:bottom w:val="single" w:sz="4" w:space="1" w:color="auto"/>
          <w:right w:val="single" w:sz="4" w:space="4" w:color="auto"/>
        </w:pBdr>
        <w:rPr>
          <w:noProof/>
        </w:rPr>
      </w:pPr>
      <w:r w:rsidRPr="002D52A1">
        <w:rPr>
          <w:noProof/>
        </w:rPr>
        <w:t>Oblasť politiky: Hospodárske</w:t>
      </w:r>
      <w:r w:rsidR="002D52A1">
        <w:rPr>
          <w:noProof/>
        </w:rPr>
        <w:t xml:space="preserve"> a </w:t>
      </w:r>
      <w:r w:rsidRPr="002D52A1">
        <w:rPr>
          <w:noProof/>
        </w:rPr>
        <w:t>finančné záležitosti</w:t>
      </w:r>
    </w:p>
    <w:p w14:paraId="5A6E4B53" w14:textId="3D740304" w:rsidR="00C4624A" w:rsidRPr="002D52A1" w:rsidRDefault="00C4624A" w:rsidP="00C4624A">
      <w:pPr>
        <w:pStyle w:val="Text1"/>
        <w:pBdr>
          <w:top w:val="single" w:sz="4" w:space="1" w:color="auto"/>
          <w:left w:val="single" w:sz="4" w:space="4" w:color="auto"/>
          <w:bottom w:val="single" w:sz="4" w:space="1" w:color="auto"/>
          <w:right w:val="single" w:sz="4" w:space="4" w:color="auto"/>
        </w:pBdr>
        <w:rPr>
          <w:noProof/>
        </w:rPr>
      </w:pPr>
      <w:r w:rsidRPr="002D52A1">
        <w:rPr>
          <w:noProof/>
        </w:rPr>
        <w:t>Činnosť: Medzinárodné hospodárske</w:t>
      </w:r>
      <w:r w:rsidR="002D52A1">
        <w:rPr>
          <w:noProof/>
        </w:rPr>
        <w:t xml:space="preserve"> a </w:t>
      </w:r>
      <w:r w:rsidRPr="002D52A1">
        <w:rPr>
          <w:noProof/>
        </w:rPr>
        <w:t>finančné záležitosti</w:t>
      </w:r>
    </w:p>
    <w:p w14:paraId="3CB21F8F" w14:textId="30B8AC27" w:rsidR="002D52A1" w:rsidRPr="002D52A1" w:rsidRDefault="00D05784" w:rsidP="00D05784">
      <w:pPr>
        <w:pStyle w:val="ManualHeading2"/>
        <w:rPr>
          <w:noProof/>
        </w:rPr>
      </w:pPr>
      <w:bookmarkStart w:id="11" w:name="_Toc514938014"/>
      <w:bookmarkStart w:id="12" w:name="_Toc520485028"/>
      <w:r w:rsidRPr="00D05784">
        <w:t>1.3.</w:t>
      </w:r>
      <w:r w:rsidRPr="00D05784">
        <w:tab/>
      </w:r>
      <w:r w:rsidR="00C4624A" w:rsidRPr="002D52A1">
        <w:rPr>
          <w:noProof/>
        </w:rPr>
        <w:t>Návrh/iniciatíva sa týka</w:t>
      </w:r>
      <w:bookmarkEnd w:id="11"/>
      <w:bookmarkEnd w:id="12"/>
      <w:r w:rsidR="002D52A1" w:rsidRPr="002D52A1">
        <w:rPr>
          <w:noProof/>
        </w:rPr>
        <w:t>:</w:t>
      </w:r>
    </w:p>
    <w:p w14:paraId="763A855C" w14:textId="77777777" w:rsidR="002D52A1" w:rsidRPr="002D52A1" w:rsidRDefault="00C4624A" w:rsidP="00C4624A">
      <w:pPr>
        <w:pStyle w:val="Text1"/>
        <w:rPr>
          <w:b/>
          <w:noProof/>
          <w:sz w:val="22"/>
        </w:rPr>
      </w:pPr>
      <w:r w:rsidRPr="002D52A1">
        <w:rPr>
          <w:rFonts w:ascii="Wingdings" w:hAnsi="Wingdings"/>
          <w:noProof/>
        </w:rPr>
        <w:t></w:t>
      </w:r>
      <w:r w:rsidRPr="002D52A1">
        <w:rPr>
          <w:b/>
          <w:noProof/>
        </w:rPr>
        <w:t> novej akcie</w:t>
      </w:r>
    </w:p>
    <w:p w14:paraId="304C6449" w14:textId="77777777" w:rsidR="002D52A1" w:rsidRPr="002D52A1" w:rsidRDefault="00C4624A" w:rsidP="00C4624A">
      <w:pPr>
        <w:pStyle w:val="Text1"/>
        <w:rPr>
          <w:noProof/>
          <w:sz w:val="22"/>
        </w:rPr>
      </w:pPr>
      <w:r w:rsidRPr="002D52A1">
        <w:rPr>
          <w:rFonts w:ascii="Wingdings" w:hAnsi="Wingdings"/>
          <w:noProof/>
        </w:rPr>
        <w:t></w:t>
      </w:r>
      <w:r w:rsidRPr="002D52A1">
        <w:rPr>
          <w:rFonts w:ascii="Wingdings" w:hAnsi="Wingdings"/>
          <w:noProof/>
        </w:rPr>
        <w:t></w:t>
      </w:r>
      <w:r w:rsidRPr="002D52A1">
        <w:rPr>
          <w:noProof/>
        </w:rPr>
        <w:t> </w:t>
      </w:r>
      <w:r w:rsidRPr="002D52A1">
        <w:rPr>
          <w:b/>
          <w:noProof/>
        </w:rPr>
        <w:t>novej akcie, ktorá nadväzuje na pilotný projekt/prípravnú akciu</w:t>
      </w:r>
      <w:r w:rsidRPr="002D52A1">
        <w:rPr>
          <w:rStyle w:val="FootnoteReference"/>
          <w:b/>
          <w:bCs/>
          <w:noProof/>
        </w:rPr>
        <w:footnoteReference w:id="28"/>
      </w:r>
    </w:p>
    <w:p w14:paraId="66533A92" w14:textId="77777777" w:rsidR="002D52A1" w:rsidRPr="002D52A1" w:rsidRDefault="00C4624A" w:rsidP="00C4624A">
      <w:pPr>
        <w:pStyle w:val="Text1"/>
        <w:rPr>
          <w:noProof/>
          <w:sz w:val="22"/>
        </w:rPr>
      </w:pPr>
      <w:r w:rsidRPr="002D52A1">
        <w:rPr>
          <w:rFonts w:ascii="Wingdings" w:hAnsi="Wingdings"/>
          <w:noProof/>
        </w:rPr>
        <w:t></w:t>
      </w:r>
      <w:r w:rsidRPr="002D52A1">
        <w:rPr>
          <w:i/>
          <w:noProof/>
          <w:sz w:val="22"/>
        </w:rPr>
        <w:t xml:space="preserve"> </w:t>
      </w:r>
      <w:r w:rsidRPr="002D52A1">
        <w:rPr>
          <w:b/>
          <w:noProof/>
        </w:rPr>
        <w:t>predĺženia trvania existujúcej akcie</w:t>
      </w:r>
    </w:p>
    <w:p w14:paraId="2E72DB53" w14:textId="77777777" w:rsidR="002D52A1" w:rsidRPr="002D52A1" w:rsidRDefault="00C4624A" w:rsidP="00C4624A">
      <w:pPr>
        <w:pStyle w:val="Text1"/>
        <w:rPr>
          <w:noProof/>
        </w:rPr>
      </w:pPr>
      <w:r w:rsidRPr="002D52A1">
        <w:rPr>
          <w:rFonts w:ascii="Wingdings" w:hAnsi="Wingdings"/>
          <w:noProof/>
        </w:rPr>
        <w:t></w:t>
      </w:r>
      <w:r w:rsidRPr="002D52A1">
        <w:rPr>
          <w:i/>
          <w:noProof/>
          <w:sz w:val="22"/>
        </w:rPr>
        <w:t xml:space="preserve"> </w:t>
      </w:r>
      <w:r w:rsidRPr="002D52A1">
        <w:rPr>
          <w:b/>
          <w:noProof/>
        </w:rPr>
        <w:t>zlúčenia jednej alebo viacerých akcií do ďalšej/novej akcie alebo presmerovania jednej alebo viacerých akcií na ďalšiu/novú akciu</w:t>
      </w:r>
    </w:p>
    <w:p w14:paraId="16985A21" w14:textId="766C384C" w:rsidR="00C4624A" w:rsidRPr="002D52A1" w:rsidRDefault="00D05784" w:rsidP="00D05784">
      <w:pPr>
        <w:pStyle w:val="ManualHeading2"/>
        <w:rPr>
          <w:noProof/>
          <w:szCs w:val="24"/>
        </w:rPr>
      </w:pPr>
      <w:bookmarkStart w:id="13" w:name="_Toc514938015"/>
      <w:bookmarkStart w:id="14" w:name="_Toc520485029"/>
      <w:r w:rsidRPr="00D05784">
        <w:t>1.4.</w:t>
      </w:r>
      <w:r w:rsidRPr="00D05784">
        <w:tab/>
      </w:r>
      <w:r w:rsidR="00C4624A" w:rsidRPr="002D52A1">
        <w:rPr>
          <w:noProof/>
        </w:rPr>
        <w:t>Ciele</w:t>
      </w:r>
      <w:bookmarkEnd w:id="13"/>
      <w:bookmarkEnd w:id="14"/>
    </w:p>
    <w:p w14:paraId="6DC65E5B" w14:textId="52252794" w:rsidR="00C4624A" w:rsidRPr="002D52A1" w:rsidRDefault="00D05784" w:rsidP="00D05784">
      <w:pPr>
        <w:pStyle w:val="ManualHeading3"/>
        <w:rPr>
          <w:noProof/>
        </w:rPr>
      </w:pPr>
      <w:bookmarkStart w:id="15" w:name="_Toc514938016"/>
      <w:bookmarkStart w:id="16" w:name="_Toc520485030"/>
      <w:r w:rsidRPr="00D05784">
        <w:t>1.4.1.</w:t>
      </w:r>
      <w:r w:rsidRPr="00D05784">
        <w:tab/>
      </w:r>
      <w:r w:rsidR="00C4624A" w:rsidRPr="002D52A1">
        <w:rPr>
          <w:noProof/>
        </w:rPr>
        <w:t>Všeobecné ciele</w:t>
      </w:r>
      <w:bookmarkEnd w:id="15"/>
      <w:bookmarkEnd w:id="16"/>
    </w:p>
    <w:p w14:paraId="6E1EB600" w14:textId="1359D9E7" w:rsidR="00C4624A" w:rsidRPr="002D52A1" w:rsidRDefault="00C4624A" w:rsidP="00C4624A">
      <w:pPr>
        <w:pStyle w:val="Text1"/>
        <w:rPr>
          <w:rFonts w:eastAsia="Calibri"/>
          <w:noProof/>
          <w:szCs w:val="24"/>
        </w:rPr>
      </w:pPr>
      <w:r w:rsidRPr="002D52A1">
        <w:rPr>
          <w:noProof/>
        </w:rPr>
        <w:t xml:space="preserve"> „Nový impulz pre zamestnanosť, rast</w:t>
      </w:r>
      <w:r w:rsidR="002D52A1">
        <w:rPr>
          <w:noProof/>
        </w:rPr>
        <w:t xml:space="preserve"> a </w:t>
      </w:r>
      <w:r w:rsidRPr="002D52A1">
        <w:rPr>
          <w:noProof/>
        </w:rPr>
        <w:t>investície: podpora prosperity za hranicami EÚ“</w:t>
      </w:r>
    </w:p>
    <w:p w14:paraId="2B392266" w14:textId="7276C9B5" w:rsidR="00C4624A" w:rsidRPr="002D52A1" w:rsidRDefault="00D05784" w:rsidP="00D05784">
      <w:pPr>
        <w:pStyle w:val="ManualHeading3"/>
        <w:rPr>
          <w:noProof/>
        </w:rPr>
      </w:pPr>
      <w:bookmarkStart w:id="17" w:name="_Toc514938018"/>
      <w:bookmarkStart w:id="18" w:name="_Toc520485031"/>
      <w:r w:rsidRPr="00D05784">
        <w:t>1.4.2.</w:t>
      </w:r>
      <w:r w:rsidRPr="00D05784">
        <w:tab/>
      </w:r>
      <w:r w:rsidR="00C4624A" w:rsidRPr="002D52A1">
        <w:rPr>
          <w:noProof/>
        </w:rPr>
        <w:t>Špecifické ciele</w:t>
      </w:r>
      <w:bookmarkEnd w:id="17"/>
      <w:bookmarkEnd w:id="18"/>
    </w:p>
    <w:p w14:paraId="49E97B65" w14:textId="77777777" w:rsidR="00C4624A" w:rsidRPr="002D52A1" w:rsidRDefault="00C4624A" w:rsidP="00C4624A">
      <w:pPr>
        <w:pStyle w:val="Text1"/>
        <w:pBdr>
          <w:top w:val="single" w:sz="4" w:space="1" w:color="auto"/>
          <w:left w:val="single" w:sz="4" w:space="4" w:color="auto"/>
          <w:bottom w:val="single" w:sz="4" w:space="2" w:color="auto"/>
          <w:right w:val="single" w:sz="4" w:space="4" w:color="auto"/>
        </w:pBdr>
        <w:rPr>
          <w:noProof/>
          <w:u w:val="single"/>
        </w:rPr>
      </w:pPr>
      <w:r w:rsidRPr="002D52A1">
        <w:rPr>
          <w:noProof/>
          <w:u w:val="single"/>
        </w:rPr>
        <w:t>Špecifický cieľ č.</w:t>
      </w:r>
    </w:p>
    <w:p w14:paraId="4C7A5BD4" w14:textId="77777777" w:rsidR="002D52A1" w:rsidRPr="002D52A1" w:rsidRDefault="00C4624A" w:rsidP="00C4624A">
      <w:pPr>
        <w:ind w:firstLine="720"/>
        <w:rPr>
          <w:noProof/>
        </w:rPr>
      </w:pPr>
      <w:r w:rsidRPr="002D52A1">
        <w:rPr>
          <w:noProof/>
        </w:rPr>
        <w:t>„Podpora prosperity za hranicami EÚ“</w:t>
      </w:r>
    </w:p>
    <w:p w14:paraId="49B767DC" w14:textId="38198888" w:rsidR="00C4624A" w:rsidRPr="002D52A1" w:rsidRDefault="00C4624A" w:rsidP="00C4624A">
      <w:pPr>
        <w:pStyle w:val="Text1"/>
        <w:pBdr>
          <w:top w:val="single" w:sz="4" w:space="1" w:color="auto"/>
          <w:left w:val="single" w:sz="4" w:space="4" w:color="auto"/>
          <w:bottom w:val="single" w:sz="4" w:space="1" w:color="auto"/>
          <w:right w:val="single" w:sz="4" w:space="4" w:color="auto"/>
        </w:pBdr>
        <w:rPr>
          <w:noProof/>
          <w:u w:val="single"/>
        </w:rPr>
      </w:pPr>
      <w:r w:rsidRPr="002D52A1">
        <w:rPr>
          <w:noProof/>
          <w:u w:val="single"/>
        </w:rPr>
        <w:t>Príslušné činnosti</w:t>
      </w:r>
      <w:r w:rsidR="002D52A1">
        <w:rPr>
          <w:noProof/>
          <w:u w:val="single"/>
        </w:rPr>
        <w:t xml:space="preserve"> v </w:t>
      </w:r>
      <w:r w:rsidRPr="002D52A1">
        <w:rPr>
          <w:noProof/>
          <w:u w:val="single"/>
        </w:rPr>
        <w:t>rámci ABM/ABB</w:t>
      </w:r>
    </w:p>
    <w:p w14:paraId="538ABFB9" w14:textId="6E4F4B28" w:rsidR="002D52A1" w:rsidRPr="002D52A1" w:rsidRDefault="00C4624A" w:rsidP="00C4624A">
      <w:pPr>
        <w:ind w:firstLine="720"/>
        <w:rPr>
          <w:noProof/>
        </w:rPr>
      </w:pPr>
      <w:r w:rsidRPr="002D52A1">
        <w:rPr>
          <w:noProof/>
        </w:rPr>
        <w:t>Činnosti súvisiace</w:t>
      </w:r>
      <w:r w:rsidR="002D52A1">
        <w:rPr>
          <w:noProof/>
        </w:rPr>
        <w:t xml:space="preserve"> s </w:t>
      </w:r>
      <w:r w:rsidRPr="002D52A1">
        <w:rPr>
          <w:noProof/>
        </w:rPr>
        <w:t>GR pre hospodárske</w:t>
      </w:r>
      <w:r w:rsidR="002D52A1">
        <w:rPr>
          <w:noProof/>
        </w:rPr>
        <w:t xml:space="preserve"> a </w:t>
      </w:r>
      <w:r w:rsidRPr="002D52A1">
        <w:rPr>
          <w:noProof/>
        </w:rPr>
        <w:t>finančné záležitosti (GR ECFIN) sa týkajú</w:t>
      </w:r>
      <w:r w:rsidR="002D52A1" w:rsidRPr="002D52A1">
        <w:rPr>
          <w:noProof/>
        </w:rPr>
        <w:t>:</w:t>
      </w:r>
    </w:p>
    <w:p w14:paraId="60C3F478" w14:textId="24993D4E" w:rsidR="002D52A1" w:rsidRPr="002D52A1" w:rsidRDefault="00C4624A" w:rsidP="00C4624A">
      <w:pPr>
        <w:ind w:left="720"/>
        <w:rPr>
          <w:noProof/>
        </w:rPr>
      </w:pPr>
      <w:r w:rsidRPr="002D52A1">
        <w:rPr>
          <w:noProof/>
        </w:rPr>
        <w:t>a)</w:t>
      </w:r>
      <w:r w:rsidRPr="002D52A1">
        <w:rPr>
          <w:noProof/>
        </w:rPr>
        <w:tab/>
        <w:t>podpory makrofinančnej stability</w:t>
      </w:r>
      <w:r w:rsidR="002D52A1">
        <w:rPr>
          <w:noProof/>
        </w:rPr>
        <w:t xml:space="preserve"> a </w:t>
      </w:r>
      <w:r w:rsidRPr="002D52A1">
        <w:rPr>
          <w:noProof/>
        </w:rPr>
        <w:t>presadzovania reforiem na podporu rastu mimo EÚ,</w:t>
      </w:r>
      <w:r w:rsidR="002D52A1">
        <w:rPr>
          <w:noProof/>
        </w:rPr>
        <w:t xml:space="preserve"> a </w:t>
      </w:r>
      <w:r w:rsidRPr="002D52A1">
        <w:rPr>
          <w:noProof/>
        </w:rPr>
        <w:t>to aj prostredníctvom pravidelného hospodárskeho dialógu</w:t>
      </w:r>
      <w:r w:rsidR="002D52A1">
        <w:rPr>
          <w:noProof/>
        </w:rPr>
        <w:t xml:space="preserve"> s </w:t>
      </w:r>
      <w:r w:rsidRPr="002D52A1">
        <w:rPr>
          <w:noProof/>
        </w:rPr>
        <w:t>kľúčovými partnermi</w:t>
      </w:r>
      <w:r w:rsidR="002D52A1">
        <w:rPr>
          <w:noProof/>
        </w:rPr>
        <w:t xml:space="preserve"> a </w:t>
      </w:r>
      <w:r w:rsidRPr="002D52A1">
        <w:rPr>
          <w:noProof/>
        </w:rPr>
        <w:t>poskytnutím makrofinančnej pomoci,</w:t>
      </w:r>
      <w:r w:rsidR="002D52A1" w:rsidRPr="002D52A1">
        <w:rPr>
          <w:noProof/>
        </w:rPr>
        <w:t xml:space="preserve"> a</w:t>
      </w:r>
    </w:p>
    <w:p w14:paraId="22E586E2" w14:textId="77D37F63" w:rsidR="00C4624A" w:rsidRPr="002D52A1" w:rsidRDefault="00C4624A" w:rsidP="00C4624A">
      <w:pPr>
        <w:ind w:left="720"/>
        <w:rPr>
          <w:rFonts w:eastAsia="Times New Roman"/>
          <w:noProof/>
          <w:szCs w:val="24"/>
        </w:rPr>
      </w:pPr>
      <w:r w:rsidRPr="002D52A1">
        <w:rPr>
          <w:noProof/>
        </w:rPr>
        <w:t>b)</w:t>
      </w:r>
      <w:r w:rsidRPr="002D52A1">
        <w:rPr>
          <w:noProof/>
        </w:rPr>
        <w:tab/>
        <w:t>podpory procesu rozširovania, vykonávania politiky EÚ</w:t>
      </w:r>
      <w:r w:rsidR="002D52A1">
        <w:rPr>
          <w:noProof/>
        </w:rPr>
        <w:t xml:space="preserve"> v </w:t>
      </w:r>
      <w:r w:rsidRPr="002D52A1">
        <w:rPr>
          <w:noProof/>
        </w:rPr>
        <w:t>oblasti rozširovania</w:t>
      </w:r>
      <w:r w:rsidR="002D52A1">
        <w:rPr>
          <w:noProof/>
        </w:rPr>
        <w:t xml:space="preserve"> a </w:t>
      </w:r>
      <w:r w:rsidRPr="002D52A1">
        <w:rPr>
          <w:noProof/>
        </w:rPr>
        <w:t>susedstva</w:t>
      </w:r>
      <w:r w:rsidR="002D52A1">
        <w:rPr>
          <w:noProof/>
        </w:rPr>
        <w:t xml:space="preserve"> a </w:t>
      </w:r>
      <w:r w:rsidRPr="002D52A1">
        <w:rPr>
          <w:noProof/>
        </w:rPr>
        <w:t>iných priorít EÚ</w:t>
      </w:r>
      <w:r w:rsidR="002D52A1">
        <w:rPr>
          <w:noProof/>
        </w:rPr>
        <w:t xml:space="preserve"> u </w:t>
      </w:r>
      <w:r w:rsidRPr="002D52A1">
        <w:rPr>
          <w:noProof/>
        </w:rPr>
        <w:t>partnerov vykonávaním hospodárskej analýzy</w:t>
      </w:r>
      <w:r w:rsidR="002D52A1">
        <w:rPr>
          <w:noProof/>
        </w:rPr>
        <w:t xml:space="preserve"> a </w:t>
      </w:r>
      <w:r w:rsidRPr="002D52A1">
        <w:rPr>
          <w:noProof/>
        </w:rPr>
        <w:t>poskytovaním posúdení</w:t>
      </w:r>
      <w:r w:rsidR="002D52A1">
        <w:rPr>
          <w:noProof/>
        </w:rPr>
        <w:t xml:space="preserve"> a </w:t>
      </w:r>
      <w:r w:rsidRPr="002D52A1">
        <w:rPr>
          <w:noProof/>
        </w:rPr>
        <w:t>poradenstva pri tvorbe politík.</w:t>
      </w:r>
    </w:p>
    <w:p w14:paraId="5A7447AB" w14:textId="77777777" w:rsidR="00C4624A" w:rsidRPr="002D52A1" w:rsidRDefault="00C4624A" w:rsidP="00C4624A">
      <w:pPr>
        <w:pStyle w:val="Text1"/>
        <w:rPr>
          <w:rFonts w:eastAsia="Calibri"/>
          <w:noProof/>
          <w:szCs w:val="24"/>
        </w:rPr>
      </w:pPr>
    </w:p>
    <w:p w14:paraId="39EE5479" w14:textId="040C99D9" w:rsidR="00C4624A" w:rsidRPr="002D52A1" w:rsidRDefault="00D05784" w:rsidP="00D05784">
      <w:pPr>
        <w:pStyle w:val="ManualHeading3"/>
        <w:rPr>
          <w:noProof/>
        </w:rPr>
      </w:pPr>
      <w:bookmarkStart w:id="19" w:name="_Toc514938019"/>
      <w:bookmarkStart w:id="20" w:name="_Toc520485032"/>
      <w:r w:rsidRPr="00D05784">
        <w:t>1.4.3.</w:t>
      </w:r>
      <w:r w:rsidRPr="00D05784">
        <w:tab/>
      </w:r>
      <w:r w:rsidR="00C4624A" w:rsidRPr="002D52A1">
        <w:rPr>
          <w:noProof/>
        </w:rPr>
        <w:t>Očakávané výsledky</w:t>
      </w:r>
      <w:r w:rsidR="002D52A1">
        <w:rPr>
          <w:noProof/>
        </w:rPr>
        <w:t xml:space="preserve"> a </w:t>
      </w:r>
      <w:r w:rsidR="00C4624A" w:rsidRPr="002D52A1">
        <w:rPr>
          <w:noProof/>
        </w:rPr>
        <w:t>vplyv</w:t>
      </w:r>
      <w:bookmarkEnd w:id="19"/>
      <w:bookmarkEnd w:id="20"/>
    </w:p>
    <w:p w14:paraId="072B6846" w14:textId="77777777" w:rsidR="00C4624A" w:rsidRPr="002D52A1" w:rsidRDefault="00C4624A" w:rsidP="00C4624A">
      <w:pPr>
        <w:pStyle w:val="Text1"/>
        <w:rPr>
          <w:i/>
          <w:noProof/>
          <w:sz w:val="20"/>
        </w:rPr>
      </w:pPr>
      <w:r w:rsidRPr="002D52A1">
        <w:rPr>
          <w:i/>
          <w:noProof/>
          <w:sz w:val="20"/>
        </w:rPr>
        <w:t>Uveďte, aký vplyv by mal mať návrh/iniciatíva na prijímateľov/cieľové skupiny.</w:t>
      </w:r>
    </w:p>
    <w:p w14:paraId="274BEF64" w14:textId="75C00483" w:rsidR="00C4624A" w:rsidRPr="002D52A1" w:rsidRDefault="00C4624A" w:rsidP="005C7190">
      <w:pPr>
        <w:pStyle w:val="Bullet1"/>
        <w:numPr>
          <w:ilvl w:val="0"/>
          <w:numId w:val="27"/>
        </w:numPr>
        <w:rPr>
          <w:rFonts w:eastAsiaTheme="minorEastAsia"/>
          <w:noProof/>
        </w:rPr>
      </w:pPr>
      <w:r w:rsidRPr="002D52A1">
        <w:rPr>
          <w:noProof/>
        </w:rPr>
        <w:t>Poskytnúť Ukrajine makrofinančnú pomoc</w:t>
      </w:r>
      <w:r w:rsidR="002D52A1">
        <w:rPr>
          <w:noProof/>
        </w:rPr>
        <w:t xml:space="preserve"> s </w:t>
      </w:r>
      <w:r w:rsidRPr="002D52A1">
        <w:rPr>
          <w:noProof/>
        </w:rPr>
        <w:t>cieľom podporiť jej hospodársku odolnosť</w:t>
      </w:r>
      <w:r w:rsidR="002D52A1">
        <w:rPr>
          <w:noProof/>
        </w:rPr>
        <w:t xml:space="preserve"> a </w:t>
      </w:r>
      <w:r w:rsidRPr="002D52A1">
        <w:rPr>
          <w:noProof/>
        </w:rPr>
        <w:t>stabilitu za vojnových okolností.</w:t>
      </w:r>
    </w:p>
    <w:p w14:paraId="272B9E61" w14:textId="7CA38C88" w:rsidR="00C4624A" w:rsidRPr="002D52A1" w:rsidRDefault="00C4624A" w:rsidP="00C4624A">
      <w:pPr>
        <w:pStyle w:val="Bullet1"/>
        <w:rPr>
          <w:rFonts w:eastAsiaTheme="minorEastAsia"/>
          <w:noProof/>
          <w:szCs w:val="24"/>
        </w:rPr>
      </w:pPr>
      <w:r w:rsidRPr="002D52A1">
        <w:rPr>
          <w:noProof/>
        </w:rPr>
        <w:t>Prispieť</w:t>
      </w:r>
      <w:r w:rsidR="002D52A1">
        <w:rPr>
          <w:noProof/>
        </w:rPr>
        <w:t xml:space="preserve"> k </w:t>
      </w:r>
      <w:r w:rsidRPr="002D52A1">
        <w:rPr>
          <w:noProof/>
        </w:rPr>
        <w:t>zabezpečeniu potrieb vonkajšieho financovania Ukrajiny na rok 2022</w:t>
      </w:r>
      <w:r w:rsidR="002D52A1">
        <w:rPr>
          <w:noProof/>
        </w:rPr>
        <w:t xml:space="preserve"> v </w:t>
      </w:r>
      <w:r w:rsidRPr="002D52A1">
        <w:rPr>
          <w:noProof/>
        </w:rPr>
        <w:t>súvislosti</w:t>
      </w:r>
      <w:r w:rsidR="002D52A1">
        <w:rPr>
          <w:noProof/>
        </w:rPr>
        <w:t xml:space="preserve"> s </w:t>
      </w:r>
      <w:r w:rsidRPr="002D52A1">
        <w:rPr>
          <w:noProof/>
        </w:rPr>
        <w:t>výrazným zhoršením jej platobnej bilancie</w:t>
      </w:r>
      <w:r w:rsidR="002D52A1">
        <w:rPr>
          <w:noProof/>
        </w:rPr>
        <w:t xml:space="preserve"> v </w:t>
      </w:r>
      <w:r w:rsidRPr="002D52A1">
        <w:rPr>
          <w:noProof/>
        </w:rPr>
        <w:t>dôsledku nevyprovokovanej</w:t>
      </w:r>
      <w:r w:rsidR="002D52A1">
        <w:rPr>
          <w:noProof/>
        </w:rPr>
        <w:t xml:space="preserve"> a </w:t>
      </w:r>
      <w:r w:rsidRPr="002D52A1">
        <w:rPr>
          <w:noProof/>
        </w:rPr>
        <w:t>neodôvodnenej ruskej invázie na Ukrajinu.</w:t>
      </w:r>
    </w:p>
    <w:p w14:paraId="7953393B" w14:textId="77777777" w:rsidR="002D52A1" w:rsidRPr="002D52A1" w:rsidRDefault="00C4624A" w:rsidP="00C4624A">
      <w:pPr>
        <w:pStyle w:val="Bullet1"/>
        <w:rPr>
          <w:noProof/>
        </w:rPr>
      </w:pPr>
      <w:r w:rsidRPr="002D52A1">
        <w:rPr>
          <w:noProof/>
        </w:rPr>
        <w:t>Uľahčiť potreby financovania rozpočtu partnera ako pokračovanie už poskytnutej núdzovej pomoci</w:t>
      </w:r>
      <w:r w:rsidR="002D52A1" w:rsidRPr="002D52A1">
        <w:rPr>
          <w:noProof/>
        </w:rPr>
        <w:t>.</w:t>
      </w:r>
    </w:p>
    <w:p w14:paraId="597A8E61" w14:textId="4055D68C" w:rsidR="00C4624A" w:rsidRPr="002D52A1" w:rsidRDefault="00C4624A" w:rsidP="00C4624A">
      <w:pPr>
        <w:pStyle w:val="Bullet1"/>
        <w:rPr>
          <w:rFonts w:eastAsiaTheme="minorEastAsia"/>
          <w:noProof/>
          <w:szCs w:val="24"/>
        </w:rPr>
      </w:pPr>
      <w:r w:rsidRPr="002D52A1">
        <w:rPr>
          <w:noProof/>
        </w:rPr>
        <w:t>Podporiť štrukturálne reformy zamerané na zlepšovanie celkového makroekonomického riadenia, posilňovanie správy hospodárskych záležitostí</w:t>
      </w:r>
      <w:r w:rsidR="002D52A1">
        <w:rPr>
          <w:noProof/>
        </w:rPr>
        <w:t xml:space="preserve"> a </w:t>
      </w:r>
      <w:r w:rsidRPr="002D52A1">
        <w:rPr>
          <w:noProof/>
        </w:rPr>
        <w:t>transparentnosti</w:t>
      </w:r>
      <w:r w:rsidR="002D52A1">
        <w:rPr>
          <w:noProof/>
        </w:rPr>
        <w:t xml:space="preserve"> a </w:t>
      </w:r>
      <w:r w:rsidRPr="002D52A1">
        <w:rPr>
          <w:noProof/>
        </w:rPr>
        <w:t>zlepšovanie podmienok pre udržateľný rast.</w:t>
      </w:r>
    </w:p>
    <w:p w14:paraId="4DB5043E" w14:textId="77777777" w:rsidR="00C4624A" w:rsidRPr="002D52A1" w:rsidRDefault="00C4624A" w:rsidP="00C4624A">
      <w:pPr>
        <w:pStyle w:val="Text1"/>
        <w:rPr>
          <w:rFonts w:eastAsia="Calibri"/>
          <w:noProof/>
          <w:szCs w:val="24"/>
        </w:rPr>
      </w:pPr>
    </w:p>
    <w:p w14:paraId="347092AB" w14:textId="740F2508" w:rsidR="00C4624A" w:rsidRPr="002D52A1" w:rsidRDefault="00D05784" w:rsidP="00D05784">
      <w:pPr>
        <w:pStyle w:val="ManualHeading3"/>
        <w:rPr>
          <w:noProof/>
          <w:szCs w:val="24"/>
        </w:rPr>
      </w:pPr>
      <w:bookmarkStart w:id="21" w:name="_Toc514938023"/>
      <w:bookmarkStart w:id="22" w:name="_Toc520485033"/>
      <w:r w:rsidRPr="00D05784">
        <w:t>1.4.4.</w:t>
      </w:r>
      <w:r w:rsidRPr="00D05784">
        <w:tab/>
      </w:r>
      <w:r w:rsidR="00C4624A" w:rsidRPr="002D52A1">
        <w:rPr>
          <w:noProof/>
        </w:rPr>
        <w:t>Ukazovatele výkonnosti</w:t>
      </w:r>
      <w:bookmarkEnd w:id="21"/>
      <w:bookmarkEnd w:id="22"/>
    </w:p>
    <w:p w14:paraId="5DB78349" w14:textId="0644661C" w:rsidR="00C4624A" w:rsidRPr="002D52A1" w:rsidRDefault="00C4624A" w:rsidP="00C4624A">
      <w:pPr>
        <w:pStyle w:val="Text1"/>
        <w:rPr>
          <w:i/>
          <w:noProof/>
          <w:sz w:val="20"/>
        </w:rPr>
      </w:pPr>
      <w:r w:rsidRPr="002D52A1">
        <w:rPr>
          <w:i/>
          <w:noProof/>
          <w:sz w:val="20"/>
        </w:rPr>
        <w:t>Uveďte ukazovatele na monitorovanie pokroku</w:t>
      </w:r>
      <w:r w:rsidR="002D52A1">
        <w:rPr>
          <w:i/>
          <w:noProof/>
          <w:sz w:val="20"/>
        </w:rPr>
        <w:t xml:space="preserve"> a </w:t>
      </w:r>
      <w:r w:rsidRPr="002D52A1">
        <w:rPr>
          <w:i/>
          <w:noProof/>
          <w:sz w:val="20"/>
        </w:rPr>
        <w:t>dosiahnutých výsledkov.</w:t>
      </w:r>
    </w:p>
    <w:p w14:paraId="6696E722" w14:textId="79C43C64" w:rsidR="002D52A1" w:rsidRPr="002D52A1" w:rsidRDefault="00C4624A" w:rsidP="00C4624A">
      <w:pPr>
        <w:pBdr>
          <w:top w:val="single" w:sz="4" w:space="1" w:color="auto"/>
          <w:left w:val="single" w:sz="4" w:space="4" w:color="auto"/>
          <w:bottom w:val="single" w:sz="4" w:space="1" w:color="auto"/>
          <w:right w:val="single" w:sz="4" w:space="4" w:color="auto"/>
        </w:pBdr>
        <w:rPr>
          <w:noProof/>
        </w:rPr>
      </w:pPr>
      <w:r w:rsidRPr="002D52A1">
        <w:rPr>
          <w:noProof/>
        </w:rPr>
        <w:t>Od ukrajinských orgánov sa bude vyžadovať, aby útvarom Komisie pravidelne podávali správy</w:t>
      </w:r>
      <w:r w:rsidR="002D52A1">
        <w:rPr>
          <w:noProof/>
        </w:rPr>
        <w:t xml:space="preserve"> o </w:t>
      </w:r>
      <w:r w:rsidRPr="002D52A1">
        <w:rPr>
          <w:noProof/>
        </w:rPr>
        <w:t>súbore ekonomických ukazovateľov</w:t>
      </w:r>
      <w:r w:rsidR="002D52A1">
        <w:rPr>
          <w:noProof/>
        </w:rPr>
        <w:t xml:space="preserve"> a o </w:t>
      </w:r>
      <w:r w:rsidRPr="002D52A1">
        <w:rPr>
          <w:noProof/>
        </w:rPr>
        <w:t>požiadavkách na podávanie správ zahrnutých</w:t>
      </w:r>
      <w:r w:rsidR="002D52A1">
        <w:rPr>
          <w:noProof/>
        </w:rPr>
        <w:t xml:space="preserve"> v </w:t>
      </w:r>
      <w:r w:rsidRPr="002D52A1">
        <w:rPr>
          <w:noProof/>
        </w:rPr>
        <w:t>MoP</w:t>
      </w:r>
      <w:r w:rsidR="002D52A1" w:rsidRPr="002D52A1">
        <w:rPr>
          <w:noProof/>
        </w:rPr>
        <w:t>.</w:t>
      </w:r>
    </w:p>
    <w:p w14:paraId="6E31516B" w14:textId="1BDFE3AA" w:rsidR="002D52A1" w:rsidRPr="002D52A1" w:rsidRDefault="00C4624A" w:rsidP="00C4624A">
      <w:pPr>
        <w:pBdr>
          <w:top w:val="single" w:sz="4" w:space="1" w:color="auto"/>
          <w:left w:val="single" w:sz="4" w:space="4" w:color="auto"/>
          <w:bottom w:val="single" w:sz="4" w:space="1" w:color="auto"/>
          <w:right w:val="single" w:sz="4" w:space="4" w:color="auto"/>
        </w:pBdr>
        <w:rPr>
          <w:noProof/>
        </w:rPr>
      </w:pPr>
      <w:r w:rsidRPr="002D52A1">
        <w:rPr>
          <w:noProof/>
        </w:rPr>
        <w:t>Útvary Komisie budú aj naďalej monitorovať riadenie verejných financií,</w:t>
      </w:r>
      <w:r w:rsidR="002D52A1">
        <w:rPr>
          <w:noProof/>
        </w:rPr>
        <w:t xml:space="preserve"> a </w:t>
      </w:r>
      <w:r w:rsidRPr="002D52A1">
        <w:rPr>
          <w:noProof/>
        </w:rPr>
        <w:t>to</w:t>
      </w:r>
      <w:r w:rsidR="002D52A1">
        <w:rPr>
          <w:noProof/>
        </w:rPr>
        <w:t xml:space="preserve"> v </w:t>
      </w:r>
      <w:r w:rsidRPr="002D52A1">
        <w:rPr>
          <w:noProof/>
        </w:rPr>
        <w:t>nadväznosti na operatívne posúdenie finančných tokov</w:t>
      </w:r>
      <w:r w:rsidR="002D52A1">
        <w:rPr>
          <w:noProof/>
        </w:rPr>
        <w:t xml:space="preserve"> a </w:t>
      </w:r>
      <w:r w:rsidRPr="002D52A1">
        <w:rPr>
          <w:noProof/>
        </w:rPr>
        <w:t>administratívnych postupov na Ukrajine, ktoré bolo vykonané</w:t>
      </w:r>
      <w:r w:rsidR="002D52A1">
        <w:rPr>
          <w:noProof/>
        </w:rPr>
        <w:t xml:space="preserve"> v </w:t>
      </w:r>
      <w:r w:rsidRPr="002D52A1">
        <w:rPr>
          <w:noProof/>
        </w:rPr>
        <w:t>júni 2020. Komisia uskutoční druhé operatívne posúdenie počas vykonávania operácie</w:t>
      </w:r>
      <w:r w:rsidR="002D52A1" w:rsidRPr="002D52A1">
        <w:rPr>
          <w:noProof/>
        </w:rPr>
        <w:t>.</w:t>
      </w:r>
    </w:p>
    <w:p w14:paraId="20356B8D" w14:textId="2C5BAAF9" w:rsidR="002D52A1" w:rsidRPr="002D52A1" w:rsidRDefault="00C4624A" w:rsidP="00C4624A">
      <w:pPr>
        <w:pBdr>
          <w:top w:val="single" w:sz="4" w:space="1" w:color="auto"/>
          <w:left w:val="single" w:sz="4" w:space="4" w:color="auto"/>
          <w:bottom w:val="single" w:sz="4" w:space="1" w:color="auto"/>
          <w:right w:val="single" w:sz="4" w:space="4" w:color="auto"/>
        </w:pBdr>
        <w:rPr>
          <w:noProof/>
        </w:rPr>
      </w:pPr>
      <w:r w:rsidRPr="002D52A1">
        <w:rPr>
          <w:noProof/>
        </w:rPr>
        <w:t>V navrhovanom legislatívnom rozhodnutí sa počíta</w:t>
      </w:r>
      <w:r w:rsidR="002D52A1">
        <w:rPr>
          <w:noProof/>
        </w:rPr>
        <w:t xml:space="preserve"> s </w:t>
      </w:r>
      <w:r w:rsidRPr="002D52A1">
        <w:rPr>
          <w:noProof/>
        </w:rPr>
        <w:t>výročnou správou Rade</w:t>
      </w:r>
      <w:r w:rsidR="002D52A1">
        <w:rPr>
          <w:noProof/>
        </w:rPr>
        <w:t xml:space="preserve"> a </w:t>
      </w:r>
      <w:r w:rsidRPr="002D52A1">
        <w:rPr>
          <w:noProof/>
        </w:rPr>
        <w:t>Európskemu parlamentu</w:t>
      </w:r>
      <w:r w:rsidR="002D52A1">
        <w:rPr>
          <w:noProof/>
        </w:rPr>
        <w:t xml:space="preserve"> o </w:t>
      </w:r>
      <w:r w:rsidRPr="002D52A1">
        <w:rPr>
          <w:noProof/>
        </w:rPr>
        <w:t xml:space="preserve">makrofinančnej pomoci, ktorá bude zahŕňať posúdenie vykonávania tejto operácie. Do dvoch rokov od uvoľnenia poslednej splátky sa uskutoční nezávislé hodnotenie pomoci </w:t>
      </w:r>
      <w:r w:rsidRPr="002D52A1">
        <w:rPr>
          <w:i/>
          <w:noProof/>
        </w:rPr>
        <w:t>ex post</w:t>
      </w:r>
      <w:r w:rsidR="002D52A1" w:rsidRPr="002D52A1">
        <w:rPr>
          <w:noProof/>
        </w:rPr>
        <w:t>.</w:t>
      </w:r>
    </w:p>
    <w:p w14:paraId="47577236" w14:textId="750D7459" w:rsidR="00C4624A" w:rsidRPr="002D52A1" w:rsidRDefault="00C4624A" w:rsidP="00C4624A">
      <w:pPr>
        <w:rPr>
          <w:rFonts w:eastAsia="Times New Roman"/>
          <w:noProof/>
        </w:rPr>
      </w:pPr>
    </w:p>
    <w:p w14:paraId="3D0C850B" w14:textId="1E77C6B7" w:rsidR="002D52A1" w:rsidRPr="002D52A1" w:rsidRDefault="00D05784" w:rsidP="00D05784">
      <w:pPr>
        <w:pStyle w:val="ManualHeading2"/>
        <w:rPr>
          <w:noProof/>
        </w:rPr>
      </w:pPr>
      <w:bookmarkStart w:id="23" w:name="_Toc514938025"/>
      <w:bookmarkStart w:id="24" w:name="_Toc520485034"/>
      <w:r w:rsidRPr="00D05784">
        <w:t>1.5.</w:t>
      </w:r>
      <w:r w:rsidRPr="00D05784">
        <w:tab/>
      </w:r>
      <w:r w:rsidR="00C4624A" w:rsidRPr="002D52A1">
        <w:rPr>
          <w:noProof/>
        </w:rPr>
        <w:t>Dôvody návrhu/iniciatívy</w:t>
      </w:r>
      <w:bookmarkEnd w:id="23"/>
      <w:bookmarkEnd w:id="24"/>
    </w:p>
    <w:p w14:paraId="310A09E1" w14:textId="20EC25ED" w:rsidR="00C4624A" w:rsidRPr="002D52A1" w:rsidRDefault="00D05784" w:rsidP="00D05784">
      <w:pPr>
        <w:pStyle w:val="ManualHeading3"/>
        <w:rPr>
          <w:noProof/>
        </w:rPr>
      </w:pPr>
      <w:bookmarkStart w:id="25" w:name="_Toc514938026"/>
      <w:bookmarkStart w:id="26" w:name="_Toc520485035"/>
      <w:r w:rsidRPr="00D05784">
        <w:t>1.5.1.</w:t>
      </w:r>
      <w:r w:rsidRPr="00D05784">
        <w:tab/>
      </w:r>
      <w:r w:rsidR="00C4624A" w:rsidRPr="002D52A1">
        <w:rPr>
          <w:noProof/>
        </w:rPr>
        <w:t>Požiadavky, ktoré sa majú splniť</w:t>
      </w:r>
      <w:r w:rsidR="002D52A1">
        <w:rPr>
          <w:noProof/>
        </w:rPr>
        <w:t xml:space="preserve"> v </w:t>
      </w:r>
      <w:r w:rsidR="00C4624A" w:rsidRPr="002D52A1">
        <w:rPr>
          <w:noProof/>
        </w:rPr>
        <w:t>krátkodobom alebo dlhodobom horizonte, vrátane podrobného harmonogramu prvotnej fázy vykonávania iniciatívy</w:t>
      </w:r>
      <w:bookmarkEnd w:id="25"/>
      <w:bookmarkEnd w:id="26"/>
    </w:p>
    <w:p w14:paraId="0D800D2F" w14:textId="6ECFFCC9" w:rsidR="002D52A1" w:rsidRPr="002D52A1" w:rsidRDefault="00C4624A" w:rsidP="00C4624A">
      <w:pPr>
        <w:rPr>
          <w:noProof/>
        </w:rPr>
      </w:pPr>
      <w:r w:rsidRPr="002D52A1">
        <w:rPr>
          <w:noProof/>
        </w:rPr>
        <w:t>Vyplácanie pomoci bude podmienené splnením politických podmienok uvedených</w:t>
      </w:r>
      <w:r w:rsidR="002D52A1">
        <w:rPr>
          <w:noProof/>
        </w:rPr>
        <w:t xml:space="preserve"> v </w:t>
      </w:r>
      <w:r w:rsidRPr="002D52A1">
        <w:rPr>
          <w:noProof/>
        </w:rPr>
        <w:t>memorande</w:t>
      </w:r>
      <w:r w:rsidR="002D52A1">
        <w:rPr>
          <w:noProof/>
        </w:rPr>
        <w:t xml:space="preserve"> o </w:t>
      </w:r>
      <w:r w:rsidRPr="002D52A1">
        <w:rPr>
          <w:noProof/>
        </w:rPr>
        <w:t>porozumení medzi Komisiou</w:t>
      </w:r>
      <w:r w:rsidR="002D52A1">
        <w:rPr>
          <w:noProof/>
        </w:rPr>
        <w:t xml:space="preserve"> a </w:t>
      </w:r>
      <w:r w:rsidRPr="002D52A1">
        <w:rPr>
          <w:noProof/>
        </w:rPr>
        <w:t>orgánmi Ukrajiny. Pomoc sa má vyplatiť vo viacerých splátkach. Uvoľnenie splátok by sa uskutočnilo rýchlo po schválení tohto návrhu</w:t>
      </w:r>
      <w:r w:rsidR="002D52A1">
        <w:rPr>
          <w:noProof/>
        </w:rPr>
        <w:t xml:space="preserve"> a </w:t>
      </w:r>
      <w:r w:rsidRPr="002D52A1">
        <w:rPr>
          <w:noProof/>
        </w:rPr>
        <w:t>nadobudnutí platnosti príslušného MoP</w:t>
      </w:r>
      <w:r w:rsidR="002D52A1">
        <w:rPr>
          <w:noProof/>
        </w:rPr>
        <w:t xml:space="preserve"> a v </w:t>
      </w:r>
      <w:r w:rsidRPr="002D52A1">
        <w:rPr>
          <w:rStyle w:val="findhit"/>
          <w:noProof/>
          <w:color w:val="000000"/>
        </w:rPr>
        <w:t>nadväznosti na to by sa splátky sprístupnili</w:t>
      </w:r>
      <w:r w:rsidR="002D52A1" w:rsidRPr="002D52A1">
        <w:rPr>
          <w:noProof/>
        </w:rPr>
        <w:t>.</w:t>
      </w:r>
    </w:p>
    <w:p w14:paraId="338E85F3" w14:textId="70B2D279" w:rsidR="002D52A1" w:rsidRPr="002D52A1" w:rsidRDefault="00C4624A" w:rsidP="00C4624A">
      <w:pPr>
        <w:pStyle w:val="Text1"/>
        <w:ind w:left="0"/>
        <w:rPr>
          <w:noProof/>
        </w:rPr>
      </w:pPr>
      <w:r w:rsidRPr="002D52A1">
        <w:rPr>
          <w:noProof/>
        </w:rPr>
        <w:t>Pomoc bude riadiť Komisia.</w:t>
      </w:r>
      <w:r w:rsidR="002D52A1">
        <w:rPr>
          <w:noProof/>
        </w:rPr>
        <w:t xml:space="preserve"> V </w:t>
      </w:r>
      <w:r w:rsidRPr="002D52A1">
        <w:rPr>
          <w:noProof/>
        </w:rPr>
        <w:t>súlade</w:t>
      </w:r>
      <w:r w:rsidR="002D52A1">
        <w:rPr>
          <w:noProof/>
        </w:rPr>
        <w:t xml:space="preserve"> s </w:t>
      </w:r>
      <w:r w:rsidRPr="002D52A1">
        <w:rPr>
          <w:noProof/>
        </w:rPr>
        <w:t>nariadením</w:t>
      </w:r>
      <w:r w:rsidR="002D52A1">
        <w:rPr>
          <w:noProof/>
        </w:rPr>
        <w:t xml:space="preserve"> o </w:t>
      </w:r>
      <w:r w:rsidRPr="002D52A1">
        <w:rPr>
          <w:noProof/>
        </w:rPr>
        <w:t>rozpočtových pravidlách sa uplatňujú osobitné ustanovenia týkajúce sa prevencie proti podvodom</w:t>
      </w:r>
      <w:r w:rsidR="002D52A1">
        <w:rPr>
          <w:noProof/>
        </w:rPr>
        <w:t xml:space="preserve"> a </w:t>
      </w:r>
      <w:r w:rsidRPr="002D52A1">
        <w:rPr>
          <w:noProof/>
        </w:rPr>
        <w:t>iným nezrovnalostiam</w:t>
      </w:r>
      <w:r w:rsidR="002D52A1" w:rsidRPr="002D52A1">
        <w:rPr>
          <w:noProof/>
        </w:rPr>
        <w:t>.</w:t>
      </w:r>
    </w:p>
    <w:p w14:paraId="1024DFA1" w14:textId="28F7608E" w:rsidR="00C4624A" w:rsidRPr="002D52A1" w:rsidRDefault="00C4624A" w:rsidP="00C4624A">
      <w:pPr>
        <w:spacing w:before="0" w:after="240"/>
        <w:rPr>
          <w:rFonts w:eastAsia="Arial Unicode MS"/>
          <w:noProof/>
        </w:rPr>
      </w:pPr>
      <w:r w:rsidRPr="002D52A1">
        <w:rPr>
          <w:noProof/>
        </w:rPr>
        <w:t>Komisia</w:t>
      </w:r>
      <w:r w:rsidR="002D52A1">
        <w:rPr>
          <w:noProof/>
        </w:rPr>
        <w:t xml:space="preserve"> a </w:t>
      </w:r>
      <w:r w:rsidRPr="002D52A1">
        <w:rPr>
          <w:noProof/>
        </w:rPr>
        <w:t>ukrajinské orgány sa dohodnú na memorande</w:t>
      </w:r>
      <w:r w:rsidR="002D52A1">
        <w:rPr>
          <w:noProof/>
        </w:rPr>
        <w:t xml:space="preserve"> o </w:t>
      </w:r>
      <w:r w:rsidRPr="002D52A1">
        <w:rPr>
          <w:noProof/>
        </w:rPr>
        <w:t>porozumení,</w:t>
      </w:r>
      <w:r w:rsidR="002D52A1">
        <w:rPr>
          <w:noProof/>
        </w:rPr>
        <w:t xml:space="preserve"> v </w:t>
      </w:r>
      <w:r w:rsidRPr="002D52A1">
        <w:rPr>
          <w:noProof/>
        </w:rPr>
        <w:t>ktorom sa stanovia požiadavky na podávanie správ. Komisia bude úzko spolupracovať</w:t>
      </w:r>
      <w:r w:rsidR="002D52A1">
        <w:rPr>
          <w:noProof/>
        </w:rPr>
        <w:t xml:space="preserve"> s </w:t>
      </w:r>
      <w:r w:rsidRPr="002D52A1">
        <w:rPr>
          <w:noProof/>
        </w:rPr>
        <w:t>medzinárodnými finančnými inštitúciami</w:t>
      </w:r>
      <w:r w:rsidR="002D52A1">
        <w:rPr>
          <w:noProof/>
        </w:rPr>
        <w:t xml:space="preserve"> a </w:t>
      </w:r>
      <w:r w:rsidRPr="002D52A1">
        <w:rPr>
          <w:noProof/>
        </w:rPr>
        <w:t>vnútroštátnymi orgánmi</w:t>
      </w:r>
      <w:r w:rsidR="002D52A1">
        <w:rPr>
          <w:noProof/>
        </w:rPr>
        <w:t xml:space="preserve"> s </w:t>
      </w:r>
      <w:r w:rsidRPr="002D52A1">
        <w:rPr>
          <w:noProof/>
        </w:rPr>
        <w:t>cieľom monitorovať príslušný vývoj</w:t>
      </w:r>
      <w:r w:rsidR="002D52A1">
        <w:rPr>
          <w:noProof/>
        </w:rPr>
        <w:t xml:space="preserve"> a </w:t>
      </w:r>
      <w:r w:rsidRPr="002D52A1">
        <w:rPr>
          <w:noProof/>
        </w:rPr>
        <w:t>uplatňovanie požiadaviek</w:t>
      </w:r>
      <w:r w:rsidR="002D52A1">
        <w:rPr>
          <w:noProof/>
        </w:rPr>
        <w:t xml:space="preserve"> a </w:t>
      </w:r>
      <w:r w:rsidRPr="002D52A1">
        <w:rPr>
          <w:noProof/>
        </w:rPr>
        <w:t>podmienok dohodnutých</w:t>
      </w:r>
      <w:r w:rsidR="002D52A1">
        <w:rPr>
          <w:noProof/>
        </w:rPr>
        <w:t xml:space="preserve"> v </w:t>
      </w:r>
      <w:r w:rsidRPr="002D52A1">
        <w:rPr>
          <w:noProof/>
        </w:rPr>
        <w:t>MoP.</w:t>
      </w:r>
    </w:p>
    <w:p w14:paraId="71A3D9F5" w14:textId="1826BB4D" w:rsidR="00C4624A" w:rsidRPr="002D52A1" w:rsidRDefault="00D05784" w:rsidP="00D05784">
      <w:pPr>
        <w:pStyle w:val="ManualHeading3"/>
        <w:rPr>
          <w:noProof/>
        </w:rPr>
      </w:pPr>
      <w:bookmarkStart w:id="27" w:name="_Toc514938029"/>
      <w:bookmarkStart w:id="28" w:name="_Toc520485036"/>
      <w:r w:rsidRPr="00D05784">
        <w:t>1.5.2.</w:t>
      </w:r>
      <w:r w:rsidRPr="00D05784">
        <w:tab/>
      </w:r>
      <w:r w:rsidR="00C4624A" w:rsidRPr="002D52A1">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bookmarkEnd w:id="27"/>
      <w:bookmarkEnd w:id="28"/>
    </w:p>
    <w:p w14:paraId="35ED8E3B" w14:textId="377D7BDE" w:rsidR="00C4624A" w:rsidRPr="002D52A1" w:rsidRDefault="00C4624A" w:rsidP="00C4624A">
      <w:pPr>
        <w:pBdr>
          <w:top w:val="nil"/>
          <w:left w:val="nil"/>
          <w:bottom w:val="nil"/>
          <w:right w:val="nil"/>
          <w:between w:val="nil"/>
          <w:bar w:val="nil"/>
        </w:pBdr>
        <w:spacing w:before="0" w:after="240"/>
        <w:rPr>
          <w:noProof/>
        </w:rPr>
      </w:pPr>
      <w:r w:rsidRPr="002D52A1">
        <w:rPr>
          <w:noProof/>
        </w:rPr>
        <w:t>Tento návrh makrofinančnej pomoci Ukrajine do výšky 5 mld. EUR je súčasťou cieľa EÚ poskytnúť 9 mld. EUR vo forme krátkodobej podpory likvidity. Návrh nadväzuje na rozhodnutie (EÚ) 2022/1201</w:t>
      </w:r>
      <w:r w:rsidR="002D52A1">
        <w:rPr>
          <w:noProof/>
        </w:rPr>
        <w:t xml:space="preserve"> o </w:t>
      </w:r>
      <w:r w:rsidRPr="002D52A1">
        <w:rPr>
          <w:noProof/>
        </w:rPr>
        <w:t>poskytnutí makrofinančnej pomoci Ukrajine vo výške 1 mld. EUR vo forme úverov, ktorá bola</w:t>
      </w:r>
      <w:r w:rsidR="002D52A1">
        <w:rPr>
          <w:noProof/>
        </w:rPr>
        <w:t xml:space="preserve"> v </w:t>
      </w:r>
      <w:r w:rsidRPr="002D52A1">
        <w:rPr>
          <w:noProof/>
        </w:rPr>
        <w:t>plnej výške vyplatená začiatkom augusta 2022,</w:t>
      </w:r>
      <w:r w:rsidR="002D52A1">
        <w:rPr>
          <w:noProof/>
        </w:rPr>
        <w:t xml:space="preserve"> a </w:t>
      </w:r>
      <w:r w:rsidRPr="002D52A1">
        <w:rPr>
          <w:noProof/>
        </w:rPr>
        <w:t>uvedené rozhodnutie sa ním mení. Touto makrofinančnou pomocou sa posilňujú aj akcie Únie na priamu humanitárnu</w:t>
      </w:r>
      <w:r w:rsidR="002D52A1">
        <w:rPr>
          <w:noProof/>
        </w:rPr>
        <w:t xml:space="preserve"> a </w:t>
      </w:r>
      <w:r w:rsidRPr="002D52A1">
        <w:rPr>
          <w:noProof/>
        </w:rPr>
        <w:t>hospodársku podporu</w:t>
      </w:r>
      <w:r w:rsidR="002D52A1">
        <w:rPr>
          <w:noProof/>
        </w:rPr>
        <w:t xml:space="preserve"> a </w:t>
      </w:r>
      <w:r w:rsidRPr="002D52A1">
        <w:rPr>
          <w:noProof/>
        </w:rPr>
        <w:t>podporu obrany, ako aj iniciatívy Únie na koordinovanie mnohostranných akcií, ako sú „Stand-up for Ukraine“ (Postav sa za Ukrajinu). Makrofinančná pomoc je vo svojej podstate katalyzátorom reforiem, ktoré posilňujú krátkodobú odolnosť krajiny</w:t>
      </w:r>
      <w:r w:rsidR="002D52A1">
        <w:rPr>
          <w:noProof/>
        </w:rPr>
        <w:t xml:space="preserve"> a </w:t>
      </w:r>
      <w:r w:rsidRPr="002D52A1">
        <w:rPr>
          <w:noProof/>
        </w:rPr>
        <w:t>prispievajú aj</w:t>
      </w:r>
      <w:r w:rsidR="002D52A1">
        <w:rPr>
          <w:noProof/>
        </w:rPr>
        <w:t xml:space="preserve"> k </w:t>
      </w:r>
      <w:r w:rsidRPr="002D52A1">
        <w:rPr>
          <w:noProof/>
        </w:rPr>
        <w:t>posilneniu dlhodobejšej stability. Tieto očakávané výsledky sú pre Ukrajinu obzvlášť dôležité</w:t>
      </w:r>
      <w:r w:rsidR="002D52A1">
        <w:rPr>
          <w:noProof/>
        </w:rPr>
        <w:t xml:space="preserve"> v </w:t>
      </w:r>
      <w:r w:rsidRPr="002D52A1">
        <w:rPr>
          <w:noProof/>
        </w:rPr>
        <w:t>tejto kritickej chvíli.</w:t>
      </w:r>
    </w:p>
    <w:p w14:paraId="75763B95" w14:textId="62234CF5" w:rsidR="00C4624A" w:rsidRPr="002D52A1" w:rsidRDefault="00C4624A" w:rsidP="00C4624A">
      <w:pPr>
        <w:pBdr>
          <w:top w:val="nil"/>
          <w:left w:val="nil"/>
          <w:bottom w:val="nil"/>
          <w:right w:val="nil"/>
          <w:between w:val="nil"/>
          <w:bar w:val="nil"/>
        </w:pBdr>
        <w:spacing w:before="0" w:after="240"/>
        <w:rPr>
          <w:noProof/>
        </w:rPr>
      </w:pPr>
      <w:r w:rsidRPr="002D52A1">
        <w:rPr>
          <w:noProof/>
        </w:rPr>
        <w:t>Poskytnutie ďalšej podpory Ukrajine vo forme úverov</w:t>
      </w:r>
      <w:r w:rsidR="002D52A1">
        <w:rPr>
          <w:noProof/>
        </w:rPr>
        <w:t xml:space="preserve"> v </w:t>
      </w:r>
      <w:r w:rsidRPr="002D52A1">
        <w:rPr>
          <w:noProof/>
        </w:rPr>
        <w:t>tomto okamihu môže ukrajinským orgánom pomôcť pri prekonávaní bezprostredných</w:t>
      </w:r>
      <w:r w:rsidR="002D52A1">
        <w:rPr>
          <w:noProof/>
        </w:rPr>
        <w:t xml:space="preserve"> a </w:t>
      </w:r>
      <w:r w:rsidRPr="002D52A1">
        <w:rPr>
          <w:noProof/>
        </w:rPr>
        <w:t>najnaliehavejších výziev</w:t>
      </w:r>
      <w:r w:rsidR="002D52A1">
        <w:rPr>
          <w:noProof/>
        </w:rPr>
        <w:t xml:space="preserve"> v </w:t>
      </w:r>
      <w:r w:rsidRPr="002D52A1">
        <w:rPr>
          <w:noProof/>
        </w:rPr>
        <w:t>oblasti financovania, ktoré vyplývajú</w:t>
      </w:r>
      <w:r w:rsidR="002D52A1">
        <w:rPr>
          <w:noProof/>
        </w:rPr>
        <w:t xml:space="preserve"> z </w:t>
      </w:r>
      <w:r w:rsidRPr="002D52A1">
        <w:rPr>
          <w:noProof/>
        </w:rPr>
        <w:t>vedenia vojny. Navyše podporou úsilia orgánov</w:t>
      </w:r>
      <w:r w:rsidR="002D52A1">
        <w:rPr>
          <w:noProof/>
        </w:rPr>
        <w:t xml:space="preserve"> o </w:t>
      </w:r>
      <w:r w:rsidRPr="002D52A1">
        <w:rPr>
          <w:noProof/>
        </w:rPr>
        <w:t>udržanie stabilného makrofinančného prostredia navrhovaná makrofinančná pomoc zvyšuje pridanú hodnotu celkového zapojenia EÚ na Ukrajine</w:t>
      </w:r>
      <w:r w:rsidR="002D52A1">
        <w:rPr>
          <w:noProof/>
        </w:rPr>
        <w:t xml:space="preserve"> a </w:t>
      </w:r>
      <w:r w:rsidRPr="002D52A1">
        <w:rPr>
          <w:noProof/>
        </w:rPr>
        <w:t>zlepšuje účinnosť ďalších foriem finančnej pomoci EÚ krajine vrátane operácií rozpočtovej podpory</w:t>
      </w:r>
      <w:r w:rsidR="002D52A1">
        <w:rPr>
          <w:noProof/>
        </w:rPr>
        <w:t xml:space="preserve"> a </w:t>
      </w:r>
      <w:r w:rsidRPr="002D52A1">
        <w:rPr>
          <w:noProof/>
        </w:rPr>
        <w:t>grantov dostupných prostredníctvom nástrojov na financovanie vonkajšej činnosti</w:t>
      </w:r>
      <w:r w:rsidR="002D52A1">
        <w:rPr>
          <w:noProof/>
        </w:rPr>
        <w:t xml:space="preserve"> v </w:t>
      </w:r>
      <w:r w:rsidRPr="002D52A1">
        <w:rPr>
          <w:noProof/>
        </w:rPr>
        <w:t>rámci aktuálneho viacročného finančného rámca na roky 2021 – 2027.</w:t>
      </w:r>
    </w:p>
    <w:p w14:paraId="53D8AE47" w14:textId="2989F1C7" w:rsidR="00C4624A" w:rsidRPr="002D52A1" w:rsidRDefault="00C4624A" w:rsidP="00C4624A">
      <w:pPr>
        <w:rPr>
          <w:noProof/>
        </w:rPr>
      </w:pPr>
      <w:r w:rsidRPr="002D52A1">
        <w:rPr>
          <w:noProof/>
        </w:rPr>
        <w:t>Projektové financovanie ani technická pomoc by neboli vhodné ani dostatočné na riešenie širších makrofinančných cieľov tejto výnimočnej makrofinančnej pomoci. Kľúčovou pridanou hodnotou makrofinančnej pomoci</w:t>
      </w:r>
      <w:r w:rsidR="002D52A1">
        <w:rPr>
          <w:noProof/>
        </w:rPr>
        <w:t xml:space="preserve"> v </w:t>
      </w:r>
      <w:r w:rsidRPr="002D52A1">
        <w:rPr>
          <w:noProof/>
        </w:rPr>
        <w:t>porovnaní</w:t>
      </w:r>
      <w:r w:rsidR="002D52A1">
        <w:rPr>
          <w:noProof/>
        </w:rPr>
        <w:t xml:space="preserve"> s </w:t>
      </w:r>
      <w:r w:rsidRPr="002D52A1">
        <w:rPr>
          <w:noProof/>
        </w:rPr>
        <w:t>inými nástrojmi EÚ je rýchle zmiernenie vonkajšieho finančného obmedzenia</w:t>
      </w:r>
      <w:r w:rsidR="002D52A1">
        <w:rPr>
          <w:noProof/>
        </w:rPr>
        <w:t xml:space="preserve"> a </w:t>
      </w:r>
      <w:r w:rsidRPr="002D52A1">
        <w:rPr>
          <w:noProof/>
        </w:rPr>
        <w:t>pomoc pri zaistení pretrvávajúceho stabilného makrofinančného rámca,</w:t>
      </w:r>
      <w:r w:rsidR="002D52A1">
        <w:rPr>
          <w:noProof/>
        </w:rPr>
        <w:t xml:space="preserve"> a </w:t>
      </w:r>
      <w:r w:rsidRPr="002D52A1">
        <w:rPr>
          <w:noProof/>
        </w:rPr>
        <w:t>to aj prostredníctvom podpory trvalej</w:t>
      </w:r>
      <w:r w:rsidR="002D52A1">
        <w:rPr>
          <w:noProof/>
        </w:rPr>
        <w:t xml:space="preserve"> a </w:t>
      </w:r>
      <w:r w:rsidRPr="002D52A1">
        <w:rPr>
          <w:noProof/>
        </w:rPr>
        <w:t>udržateľnej platobnej bilancie</w:t>
      </w:r>
      <w:r w:rsidR="002D52A1">
        <w:rPr>
          <w:noProof/>
        </w:rPr>
        <w:t xml:space="preserve"> a </w:t>
      </w:r>
      <w:r w:rsidRPr="002D52A1">
        <w:rPr>
          <w:noProof/>
        </w:rPr>
        <w:t>rozpočtovej situácie,</w:t>
      </w:r>
      <w:r w:rsidR="002D52A1">
        <w:rPr>
          <w:noProof/>
        </w:rPr>
        <w:t xml:space="preserve"> s </w:t>
      </w:r>
      <w:r w:rsidRPr="002D52A1">
        <w:rPr>
          <w:noProof/>
        </w:rPr>
        <w:t>uplatnením vhodného rámca pre požiadavky na podávanie správ. Vďaka tomu, že makrofinančná pomoc pomôže zaistiť vhodný celkový politický rámec, môže zvýšiť aj účinnosť opatrení financovaných na Ukrajine</w:t>
      </w:r>
      <w:r w:rsidR="002D52A1">
        <w:rPr>
          <w:noProof/>
        </w:rPr>
        <w:t xml:space="preserve"> v </w:t>
      </w:r>
      <w:r w:rsidRPr="002D52A1">
        <w:rPr>
          <w:noProof/>
        </w:rPr>
        <w:t>rámci iných, užšie zameraných finančných nástrojov EÚ.</w:t>
      </w:r>
    </w:p>
    <w:p w14:paraId="3AA2AA0B" w14:textId="028A8BED" w:rsidR="00C4624A" w:rsidRPr="002D52A1" w:rsidRDefault="00D05784" w:rsidP="00D05784">
      <w:pPr>
        <w:pStyle w:val="ManualHeading3"/>
        <w:rPr>
          <w:noProof/>
        </w:rPr>
      </w:pPr>
      <w:bookmarkStart w:id="29" w:name="_Toc514938030"/>
      <w:bookmarkStart w:id="30" w:name="_Toc520485037"/>
      <w:r w:rsidRPr="00D05784">
        <w:t>1.5.3.</w:t>
      </w:r>
      <w:r w:rsidRPr="00D05784">
        <w:tab/>
      </w:r>
      <w:r w:rsidR="00C4624A" w:rsidRPr="002D52A1">
        <w:rPr>
          <w:noProof/>
        </w:rPr>
        <w:t>Poznatky získané</w:t>
      </w:r>
      <w:r w:rsidR="002D52A1">
        <w:rPr>
          <w:noProof/>
        </w:rPr>
        <w:t xml:space="preserve"> z </w:t>
      </w:r>
      <w:r w:rsidR="00C4624A" w:rsidRPr="002D52A1">
        <w:rPr>
          <w:noProof/>
        </w:rPr>
        <w:t>podobných skúseností</w:t>
      </w:r>
      <w:r w:rsidR="002D52A1">
        <w:rPr>
          <w:noProof/>
        </w:rPr>
        <w:t xml:space="preserve"> v </w:t>
      </w:r>
      <w:r w:rsidR="00C4624A" w:rsidRPr="002D52A1">
        <w:rPr>
          <w:noProof/>
        </w:rPr>
        <w:t>minulosti</w:t>
      </w:r>
      <w:bookmarkEnd w:id="29"/>
      <w:bookmarkEnd w:id="30"/>
    </w:p>
    <w:p w14:paraId="39F873A4" w14:textId="0F05A52E" w:rsidR="002D52A1" w:rsidRPr="002D52A1" w:rsidRDefault="00C4624A" w:rsidP="00C4624A">
      <w:pPr>
        <w:spacing w:before="0" w:after="240"/>
        <w:rPr>
          <w:noProof/>
        </w:rPr>
      </w:pPr>
      <w:r w:rsidRPr="002D52A1">
        <w:rPr>
          <w:noProof/>
        </w:rPr>
        <w:t>Operácie makrofinančnej pomoci</w:t>
      </w:r>
      <w:r w:rsidR="002D52A1">
        <w:rPr>
          <w:noProof/>
        </w:rPr>
        <w:t xml:space="preserve"> u </w:t>
      </w:r>
      <w:r w:rsidRPr="002D52A1">
        <w:rPr>
          <w:noProof/>
        </w:rPr>
        <w:t xml:space="preserve">partnerov sú predmetom hodnotenia </w:t>
      </w:r>
      <w:r w:rsidRPr="002D52A1">
        <w:rPr>
          <w:i/>
          <w:noProof/>
        </w:rPr>
        <w:t>ex post</w:t>
      </w:r>
      <w:r w:rsidRPr="002D52A1">
        <w:rPr>
          <w:noProof/>
        </w:rPr>
        <w:t>.</w:t>
      </w:r>
      <w:r w:rsidR="002D52A1">
        <w:rPr>
          <w:noProof/>
        </w:rPr>
        <w:t xml:space="preserve"> Z </w:t>
      </w:r>
      <w:r w:rsidRPr="002D52A1">
        <w:rPr>
          <w:noProof/>
        </w:rPr>
        <w:t xml:space="preserve">minulých hodnotení </w:t>
      </w:r>
      <w:r w:rsidRPr="002D52A1">
        <w:rPr>
          <w:i/>
          <w:noProof/>
        </w:rPr>
        <w:t>ex post</w:t>
      </w:r>
      <w:r w:rsidRPr="002D52A1">
        <w:rPr>
          <w:noProof/>
        </w:rPr>
        <w:t xml:space="preserve"> týkajúcich sa predchádzajúcich operácií makrofinančnej pomoci Ukrajine vyplýva, že vo všeobecnosti boli</w:t>
      </w:r>
      <w:r w:rsidR="002D52A1">
        <w:rPr>
          <w:noProof/>
        </w:rPr>
        <w:t xml:space="preserve"> z </w:t>
      </w:r>
      <w:r w:rsidRPr="002D52A1">
        <w:rPr>
          <w:noProof/>
        </w:rPr>
        <w:t>hľadiska svojich cieľov, finančného krytia</w:t>
      </w:r>
      <w:r w:rsidR="002D52A1">
        <w:rPr>
          <w:noProof/>
        </w:rPr>
        <w:t xml:space="preserve"> a </w:t>
      </w:r>
      <w:r w:rsidRPr="002D52A1">
        <w:rPr>
          <w:noProof/>
        </w:rPr>
        <w:t>politických cieľov veľmi relevantné</w:t>
      </w:r>
      <w:r w:rsidR="002D52A1" w:rsidRPr="002D52A1">
        <w:rPr>
          <w:noProof/>
        </w:rPr>
        <w:t>.</w:t>
      </w:r>
    </w:p>
    <w:p w14:paraId="0ADB3F11" w14:textId="58918DF0" w:rsidR="00C4624A" w:rsidRPr="002D52A1" w:rsidRDefault="00C4624A" w:rsidP="00C4624A">
      <w:pPr>
        <w:spacing w:before="0" w:after="240"/>
        <w:rPr>
          <w:rFonts w:eastAsia="Arial Unicode MS"/>
          <w:noProof/>
        </w:rPr>
      </w:pPr>
      <w:r w:rsidRPr="002D52A1">
        <w:rPr>
          <w:noProof/>
        </w:rPr>
        <w:t>Zásadne podporili Ukrajinu pri riešení jej problémov</w:t>
      </w:r>
      <w:r w:rsidR="002D52A1">
        <w:rPr>
          <w:noProof/>
        </w:rPr>
        <w:t xml:space="preserve"> s </w:t>
      </w:r>
      <w:r w:rsidRPr="002D52A1">
        <w:rPr>
          <w:noProof/>
        </w:rPr>
        <w:t>platobnou bilanciou</w:t>
      </w:r>
      <w:r w:rsidR="002D52A1">
        <w:rPr>
          <w:noProof/>
        </w:rPr>
        <w:t xml:space="preserve"> a </w:t>
      </w:r>
      <w:r w:rsidRPr="002D52A1">
        <w:rPr>
          <w:noProof/>
        </w:rPr>
        <w:t>vykonávaní kľúčových štrukturálnych reforiem</w:t>
      </w:r>
      <w:r w:rsidR="002D52A1">
        <w:rPr>
          <w:noProof/>
        </w:rPr>
        <w:t xml:space="preserve"> s </w:t>
      </w:r>
      <w:r w:rsidRPr="002D52A1">
        <w:rPr>
          <w:noProof/>
        </w:rPr>
        <w:t>cieľom stabilizovať hospodárstvo</w:t>
      </w:r>
      <w:r w:rsidR="002D52A1">
        <w:rPr>
          <w:noProof/>
        </w:rPr>
        <w:t xml:space="preserve"> a </w:t>
      </w:r>
      <w:r w:rsidRPr="002D52A1">
        <w:rPr>
          <w:noProof/>
        </w:rPr>
        <w:t>posilniť udržateľnosť jej zahraničnej pozície. Umožnili fiškálne úspory</w:t>
      </w:r>
      <w:r w:rsidR="002D52A1">
        <w:rPr>
          <w:noProof/>
        </w:rPr>
        <w:t xml:space="preserve"> a </w:t>
      </w:r>
      <w:r w:rsidRPr="002D52A1">
        <w:rPr>
          <w:noProof/>
        </w:rPr>
        <w:t>finančné výhody</w:t>
      </w:r>
      <w:r w:rsidR="002D52A1">
        <w:rPr>
          <w:noProof/>
        </w:rPr>
        <w:t xml:space="preserve"> a </w:t>
      </w:r>
      <w:r w:rsidRPr="002D52A1">
        <w:rPr>
          <w:noProof/>
        </w:rPr>
        <w:t>pôsobili ako katalyzátor ďalšej finančnej podpory</w:t>
      </w:r>
      <w:r w:rsidR="002D52A1">
        <w:rPr>
          <w:noProof/>
        </w:rPr>
        <w:t xml:space="preserve"> a </w:t>
      </w:r>
      <w:r w:rsidRPr="002D52A1">
        <w:rPr>
          <w:noProof/>
        </w:rPr>
        <w:t>dôvery investorov. Balík podmienok spojených</w:t>
      </w:r>
      <w:r w:rsidR="002D52A1">
        <w:rPr>
          <w:noProof/>
        </w:rPr>
        <w:t xml:space="preserve"> s </w:t>
      </w:r>
      <w:r w:rsidRPr="002D52A1">
        <w:rPr>
          <w:noProof/>
        </w:rPr>
        <w:t>makrofinančnou pomocou bol</w:t>
      </w:r>
      <w:r w:rsidR="002D52A1">
        <w:rPr>
          <w:noProof/>
        </w:rPr>
        <w:t xml:space="preserve"> v </w:t>
      </w:r>
      <w:r w:rsidRPr="002D52A1">
        <w:rPr>
          <w:noProof/>
        </w:rPr>
        <w:t>plnom súlade so súvisiacim programom MMF</w:t>
      </w:r>
      <w:r w:rsidR="002D52A1">
        <w:rPr>
          <w:noProof/>
        </w:rPr>
        <w:t xml:space="preserve"> a </w:t>
      </w:r>
      <w:r w:rsidRPr="002D52A1">
        <w:rPr>
          <w:noProof/>
        </w:rPr>
        <w:t>na politickej úrovni sa ním vytvoril posilňujúci účinok, ktorý prispel</w:t>
      </w:r>
      <w:r w:rsidR="002D52A1">
        <w:rPr>
          <w:noProof/>
        </w:rPr>
        <w:t xml:space="preserve"> k </w:t>
      </w:r>
      <w:r w:rsidRPr="002D52A1">
        <w:rPr>
          <w:noProof/>
        </w:rPr>
        <w:t>mobilizácii ukrajinských orgánov</w:t>
      </w:r>
      <w:r w:rsidR="002D52A1">
        <w:rPr>
          <w:noProof/>
        </w:rPr>
        <w:t xml:space="preserve"> v </w:t>
      </w:r>
      <w:r w:rsidRPr="002D52A1">
        <w:rPr>
          <w:noProof/>
        </w:rPr>
        <w:t>súvislosti so zásadnými reformami, najmä</w:t>
      </w:r>
      <w:r w:rsidR="002D52A1">
        <w:rPr>
          <w:noProof/>
        </w:rPr>
        <w:t xml:space="preserve"> v </w:t>
      </w:r>
      <w:r w:rsidRPr="002D52A1">
        <w:rPr>
          <w:noProof/>
        </w:rPr>
        <w:t>oblastiach, na ktoré sa nevzťahovali iné medzinárodné darcovské programy.</w:t>
      </w:r>
    </w:p>
    <w:p w14:paraId="180F33D0" w14:textId="01AA6FAA" w:rsidR="00C4624A" w:rsidRPr="002D52A1" w:rsidRDefault="00D05784" w:rsidP="00D05784">
      <w:pPr>
        <w:pStyle w:val="ManualHeading3"/>
        <w:rPr>
          <w:noProof/>
        </w:rPr>
      </w:pPr>
      <w:bookmarkStart w:id="31" w:name="_Toc514938033"/>
      <w:bookmarkStart w:id="32" w:name="_Toc520485038"/>
      <w:r w:rsidRPr="00D05784">
        <w:t>1.5.4.</w:t>
      </w:r>
      <w:r w:rsidRPr="00D05784">
        <w:tab/>
      </w:r>
      <w:r w:rsidR="00C4624A" w:rsidRPr="002D52A1">
        <w:rPr>
          <w:noProof/>
        </w:rPr>
        <w:t>Zlučiteľnosť</w:t>
      </w:r>
      <w:r w:rsidR="002D52A1">
        <w:rPr>
          <w:noProof/>
        </w:rPr>
        <w:t xml:space="preserve"> s </w:t>
      </w:r>
      <w:r w:rsidR="00C4624A" w:rsidRPr="002D52A1">
        <w:rPr>
          <w:noProof/>
        </w:rPr>
        <w:t>viacročným finančným rámcom</w:t>
      </w:r>
      <w:r w:rsidR="002D52A1">
        <w:rPr>
          <w:noProof/>
        </w:rPr>
        <w:t xml:space="preserve"> a </w:t>
      </w:r>
      <w:r w:rsidR="00C4624A" w:rsidRPr="002D52A1">
        <w:rPr>
          <w:noProof/>
        </w:rPr>
        <w:t>možná synergia</w:t>
      </w:r>
      <w:r w:rsidR="002D52A1">
        <w:rPr>
          <w:noProof/>
        </w:rPr>
        <w:t xml:space="preserve"> s </w:t>
      </w:r>
      <w:r w:rsidR="00C4624A" w:rsidRPr="002D52A1">
        <w:rPr>
          <w:noProof/>
        </w:rPr>
        <w:t>inými vhodnými nástrojmi</w:t>
      </w:r>
      <w:bookmarkEnd w:id="31"/>
      <w:bookmarkEnd w:id="32"/>
    </w:p>
    <w:p w14:paraId="1A4374BA" w14:textId="77777777" w:rsidR="00C4624A" w:rsidRPr="002D52A1" w:rsidRDefault="00C4624A" w:rsidP="00C4624A">
      <w:pPr>
        <w:pStyle w:val="Text1"/>
        <w:rPr>
          <w:noProof/>
        </w:rPr>
      </w:pPr>
    </w:p>
    <w:p w14:paraId="423351AF" w14:textId="455595D2" w:rsidR="002D52A1" w:rsidRPr="002D52A1" w:rsidRDefault="00C4624A" w:rsidP="00C4624A">
      <w:pPr>
        <w:rPr>
          <w:noProof/>
        </w:rPr>
      </w:pPr>
      <w:r w:rsidRPr="002D52A1">
        <w:rPr>
          <w:noProof/>
        </w:rPr>
        <w:t>Rezervy na makrofinančnú pomoc vo VFR na roky 2021 – 2027 sa</w:t>
      </w:r>
      <w:r w:rsidR="002D52A1">
        <w:rPr>
          <w:noProof/>
        </w:rPr>
        <w:t xml:space="preserve"> v </w:t>
      </w:r>
      <w:r w:rsidRPr="002D52A1">
        <w:rPr>
          <w:noProof/>
        </w:rPr>
        <w:t>zásade tvoria</w:t>
      </w:r>
      <w:r w:rsidR="002D52A1">
        <w:rPr>
          <w:noProof/>
        </w:rPr>
        <w:t xml:space="preserve"> s </w:t>
      </w:r>
      <w:r w:rsidRPr="002D52A1">
        <w:rPr>
          <w:noProof/>
        </w:rPr>
        <w:t>mierou 9</w:t>
      </w:r>
      <w:r w:rsidR="002D52A1">
        <w:rPr>
          <w:noProof/>
        </w:rPr>
        <w:t> %</w:t>
      </w:r>
      <w:r w:rsidRPr="002D52A1">
        <w:rPr>
          <w:noProof/>
        </w:rPr>
        <w:t xml:space="preserve"> do spoločného rezervného fondu zriadeného podľa článku 212 nariadenia Európskeho parlamentu</w:t>
      </w:r>
      <w:r w:rsidR="002D52A1">
        <w:rPr>
          <w:noProof/>
        </w:rPr>
        <w:t xml:space="preserve"> a </w:t>
      </w:r>
      <w:r w:rsidRPr="002D52A1">
        <w:rPr>
          <w:noProof/>
        </w:rPr>
        <w:t>Rady (EÚ, Euratom) 2018/1046</w:t>
      </w:r>
      <w:r w:rsidR="002D52A1" w:rsidRPr="002D52A1">
        <w:rPr>
          <w:noProof/>
        </w:rPr>
        <w:t>.</w:t>
      </w:r>
    </w:p>
    <w:p w14:paraId="10917BAF" w14:textId="1B831439" w:rsidR="002D52A1" w:rsidRPr="002D52A1" w:rsidRDefault="00C4624A" w:rsidP="00C4624A">
      <w:pPr>
        <w:rPr>
          <w:rStyle w:val="normaltextrun"/>
          <w:noProof/>
          <w:color w:val="000000"/>
          <w:shd w:val="clear" w:color="auto" w:fill="FFFFFF"/>
        </w:rPr>
      </w:pPr>
      <w:r w:rsidRPr="002D52A1">
        <w:rPr>
          <w:noProof/>
        </w:rPr>
        <w:t>V súlade so zásadou správneho finančného riadenia</w:t>
      </w:r>
      <w:r w:rsidR="002D52A1">
        <w:rPr>
          <w:noProof/>
        </w:rPr>
        <w:t xml:space="preserve"> a </w:t>
      </w:r>
      <w:r w:rsidRPr="002D52A1">
        <w:rPr>
          <w:noProof/>
        </w:rPr>
        <w:t>vzhľadom na</w:t>
      </w:r>
      <w:r w:rsidR="002D52A1">
        <w:rPr>
          <w:noProof/>
        </w:rPr>
        <w:t xml:space="preserve"> v </w:t>
      </w:r>
      <w:r w:rsidRPr="002D52A1">
        <w:rPr>
          <w:noProof/>
        </w:rPr>
        <w:t>súčasnosti odhadovanú expozíciu voči riziku je potrebné zaviesť 70</w:t>
      </w:r>
      <w:r w:rsidR="002D52A1">
        <w:rPr>
          <w:noProof/>
        </w:rPr>
        <w:t> %</w:t>
      </w:r>
      <w:r w:rsidRPr="002D52A1">
        <w:rPr>
          <w:noProof/>
        </w:rPr>
        <w:t xml:space="preserve"> krytie týchto dodatočných expozícii súvisiacich so situáciou na Ukrajine.</w:t>
      </w:r>
      <w:r w:rsidR="002D52A1">
        <w:rPr>
          <w:noProof/>
        </w:rPr>
        <w:t xml:space="preserve"> Z </w:t>
      </w:r>
      <w:r w:rsidRPr="002D52A1">
        <w:rPr>
          <w:rStyle w:val="normaltextrun"/>
          <w:noProof/>
          <w:color w:val="000000"/>
          <w:shd w:val="clear" w:color="auto" w:fill="FFFFFF"/>
        </w:rPr>
        <w:t xml:space="preserve">rozpočtu EÚ sa poskytne zabezpečenie pri prvej strate </w:t>
      </w:r>
      <w:r w:rsidRPr="002D52A1">
        <w:rPr>
          <w:rStyle w:val="normaltextrun"/>
          <w:noProof/>
          <w:color w:val="000000"/>
        </w:rPr>
        <w:t>na 9</w:t>
      </w:r>
      <w:r w:rsidR="002D52A1">
        <w:rPr>
          <w:rStyle w:val="normaltextrun"/>
          <w:noProof/>
          <w:color w:val="000000"/>
          <w:shd w:val="clear" w:color="auto" w:fill="FFFFFF"/>
        </w:rPr>
        <w:t> % z </w:t>
      </w:r>
      <w:r w:rsidRPr="002D52A1">
        <w:rPr>
          <w:rStyle w:val="normaltextrun"/>
          <w:noProof/>
          <w:color w:val="000000"/>
          <w:shd w:val="clear" w:color="auto" w:fill="FFFFFF"/>
        </w:rPr>
        <w:t xml:space="preserve">celkového balíka 6 mld. EUR vo forme úverov. To by bolo posilnené zárukami členských štátov na </w:t>
      </w:r>
      <w:r w:rsidRPr="002D52A1">
        <w:rPr>
          <w:rStyle w:val="normaltextrun"/>
          <w:noProof/>
          <w:color w:val="000000"/>
        </w:rPr>
        <w:t>ďalších</w:t>
      </w:r>
      <w:r w:rsidRPr="002D52A1">
        <w:rPr>
          <w:rStyle w:val="findhit"/>
          <w:noProof/>
          <w:color w:val="000000"/>
        </w:rPr>
        <w:t>61</w:t>
      </w:r>
      <w:r w:rsidR="002D52A1">
        <w:rPr>
          <w:rStyle w:val="normaltextrun"/>
          <w:noProof/>
          <w:color w:val="000000"/>
        </w:rPr>
        <w:t> %</w:t>
      </w:r>
      <w:r w:rsidRPr="002D52A1">
        <w:rPr>
          <w:rStyle w:val="normaltextrun"/>
          <w:noProof/>
          <w:color w:val="000000"/>
        </w:rPr>
        <w:t xml:space="preserve"> hodnoty</w:t>
      </w:r>
      <w:r w:rsidRPr="002D52A1">
        <w:rPr>
          <w:rStyle w:val="normaltextrun"/>
          <w:noProof/>
          <w:color w:val="000000"/>
          <w:shd w:val="clear" w:color="auto" w:fill="FFFFFF"/>
        </w:rPr>
        <w:t xml:space="preserve"> úverov</w:t>
      </w:r>
      <w:r w:rsidR="002D52A1" w:rsidRPr="002D52A1">
        <w:rPr>
          <w:rStyle w:val="normaltextrun"/>
          <w:noProof/>
          <w:color w:val="000000"/>
          <w:shd w:val="clear" w:color="auto" w:fill="FFFFFF"/>
        </w:rPr>
        <w:t>.</w:t>
      </w:r>
    </w:p>
    <w:p w14:paraId="19E1718A" w14:textId="07C4CE22" w:rsidR="00C4624A" w:rsidRPr="00AD77F1" w:rsidRDefault="00C4624A" w:rsidP="00C4624A">
      <w:pPr>
        <w:rPr>
          <w:noProof/>
          <w:spacing w:val="-8"/>
        </w:rPr>
      </w:pPr>
      <w:r w:rsidRPr="00AD77F1">
        <w:rPr>
          <w:noProof/>
          <w:spacing w:val="-8"/>
        </w:rPr>
        <w:t>Okrem toho vzhľadom na ťažkú situáciu Ukrajiny</w:t>
      </w:r>
      <w:r w:rsidR="002D52A1" w:rsidRPr="00AD77F1">
        <w:rPr>
          <w:noProof/>
          <w:spacing w:val="-8"/>
        </w:rPr>
        <w:t xml:space="preserve"> a s </w:t>
      </w:r>
      <w:r w:rsidRPr="00AD77F1">
        <w:rPr>
          <w:noProof/>
          <w:spacing w:val="-8"/>
        </w:rPr>
        <w:t>cieľom podporiť ju na ceste dlhodobej stability by Únia mala mať možnosť mimoriadne kryť náklady na úrokovú sadzbu</w:t>
      </w:r>
      <w:r w:rsidR="002D52A1" w:rsidRPr="00AD77F1">
        <w:rPr>
          <w:noProof/>
          <w:spacing w:val="-8"/>
        </w:rPr>
        <w:t xml:space="preserve"> a </w:t>
      </w:r>
      <w:r w:rsidRPr="00AD77F1">
        <w:rPr>
          <w:noProof/>
          <w:spacing w:val="-8"/>
        </w:rPr>
        <w:t>odpustiť Ukrajine administratívne náklady. Bonifikácia úrokov by sa počas VFR na roky 2021 – 2027 mala hradiť</w:t>
      </w:r>
      <w:r w:rsidR="002D52A1" w:rsidRPr="00AD77F1">
        <w:rPr>
          <w:noProof/>
          <w:spacing w:val="-8"/>
        </w:rPr>
        <w:t xml:space="preserve"> z </w:t>
      </w:r>
      <w:r w:rsidRPr="00AD77F1">
        <w:rPr>
          <w:noProof/>
          <w:spacing w:val="-8"/>
        </w:rPr>
        <w:t>finančného krytia uvedeného</w:t>
      </w:r>
      <w:r w:rsidR="002D52A1" w:rsidRPr="00AD77F1">
        <w:rPr>
          <w:noProof/>
          <w:spacing w:val="-8"/>
        </w:rPr>
        <w:t xml:space="preserve"> v </w:t>
      </w:r>
      <w:r w:rsidRPr="00AD77F1">
        <w:rPr>
          <w:noProof/>
          <w:spacing w:val="-8"/>
        </w:rPr>
        <w:t>článku 6 ods. 2 písm. a) prvej zarážke nariadenia (EÚ) 2021/947.</w:t>
      </w:r>
    </w:p>
    <w:p w14:paraId="6FAB61E8" w14:textId="63D96050" w:rsidR="002D52A1" w:rsidRPr="002D52A1" w:rsidRDefault="00C4624A" w:rsidP="00C4624A">
      <w:pPr>
        <w:rPr>
          <w:noProof/>
        </w:rPr>
      </w:pPr>
      <w:r w:rsidRPr="002D52A1">
        <w:rPr>
          <w:noProof/>
        </w:rPr>
        <w:t>Okrem poskytovania priamej podpory Európska komisia</w:t>
      </w:r>
      <w:r w:rsidR="002D52A1">
        <w:rPr>
          <w:noProof/>
        </w:rPr>
        <w:t xml:space="preserve"> v </w:t>
      </w:r>
      <w:r w:rsidRPr="002D52A1">
        <w:rPr>
          <w:noProof/>
        </w:rPr>
        <w:t>júli 2022 odsúhlasila zmenu účelu úverov vo výške 1,59 mld. EUR</w:t>
      </w:r>
      <w:r w:rsidR="002D52A1">
        <w:rPr>
          <w:noProof/>
        </w:rPr>
        <w:t xml:space="preserve"> v </w:t>
      </w:r>
      <w:r w:rsidRPr="002D52A1">
        <w:rPr>
          <w:noProof/>
        </w:rPr>
        <w:t>rámci mandátu Európskej investičnej banky (EIB) na poskytovanie vonkajších úverov (ELM) Ukrajine podporených zárukami</w:t>
      </w:r>
      <w:r w:rsidR="002D52A1">
        <w:rPr>
          <w:noProof/>
        </w:rPr>
        <w:t xml:space="preserve"> z </w:t>
      </w:r>
      <w:r w:rsidRPr="002D52A1">
        <w:rPr>
          <w:noProof/>
        </w:rPr>
        <w:t>rozpočtu EÚ. EIB vyplatí sumu 1,05 mld. EUR počas tretieho štvrťroka 2022. Ďalších 536 mil. EUR vo forme úverov má EIB vyplatiť</w:t>
      </w:r>
      <w:r w:rsidR="002D52A1">
        <w:rPr>
          <w:noProof/>
        </w:rPr>
        <w:t xml:space="preserve"> v </w:t>
      </w:r>
      <w:r w:rsidRPr="002D52A1">
        <w:rPr>
          <w:noProof/>
        </w:rPr>
        <w:t>rokoch 2022 až 2023</w:t>
      </w:r>
      <w:r w:rsidR="002D52A1">
        <w:rPr>
          <w:noProof/>
        </w:rPr>
        <w:t xml:space="preserve"> s </w:t>
      </w:r>
      <w:r w:rsidRPr="002D52A1">
        <w:rPr>
          <w:noProof/>
        </w:rPr>
        <w:t>cieľom pomôcť financovať obnovenie vybraných investičných projektov. Keďže ide</w:t>
      </w:r>
      <w:r w:rsidR="002D52A1">
        <w:rPr>
          <w:noProof/>
        </w:rPr>
        <w:t xml:space="preserve"> o </w:t>
      </w:r>
      <w:r w:rsidRPr="002D52A1">
        <w:rPr>
          <w:noProof/>
        </w:rPr>
        <w:t>úvery poskytované ukrajinskému štátu (alebo ním zaručené), predstavujú rovnakú úroveň rizika ako úvery výnimočnej makrofinančnej pomoci. Podľa dohôd</w:t>
      </w:r>
      <w:r w:rsidR="002D52A1">
        <w:rPr>
          <w:noProof/>
        </w:rPr>
        <w:t xml:space="preserve"> o </w:t>
      </w:r>
      <w:r w:rsidRPr="002D52A1">
        <w:rPr>
          <w:noProof/>
        </w:rPr>
        <w:t>záruke</w:t>
      </w:r>
      <w:r w:rsidR="002D52A1">
        <w:rPr>
          <w:noProof/>
        </w:rPr>
        <w:t xml:space="preserve"> v </w:t>
      </w:r>
      <w:r w:rsidRPr="002D52A1">
        <w:rPr>
          <w:noProof/>
        </w:rPr>
        <w:t>rámci ELM má EIB právo na plnenie</w:t>
      </w:r>
      <w:r w:rsidR="002D52A1">
        <w:rPr>
          <w:noProof/>
        </w:rPr>
        <w:t xml:space="preserve"> z </w:t>
      </w:r>
      <w:r w:rsidRPr="002D52A1">
        <w:rPr>
          <w:noProof/>
        </w:rPr>
        <w:t>rozpočtu EÚ do plnej výšky strát, ktoré jej vzniknú</w:t>
      </w:r>
      <w:r w:rsidR="002D52A1">
        <w:rPr>
          <w:noProof/>
        </w:rPr>
        <w:t xml:space="preserve"> v </w:t>
      </w:r>
      <w:r w:rsidRPr="002D52A1">
        <w:rPr>
          <w:noProof/>
        </w:rPr>
        <w:t>súvislosti</w:t>
      </w:r>
      <w:r w:rsidR="002D52A1">
        <w:rPr>
          <w:noProof/>
        </w:rPr>
        <w:t xml:space="preserve"> s </w:t>
      </w:r>
      <w:r w:rsidRPr="002D52A1">
        <w:rPr>
          <w:noProof/>
        </w:rPr>
        <w:t>týmito úvermi. Malo by sa preto objasniť, že na tieto expozície by sa mal uplatňovať rovnaký prístup predbežnej opatrnosti</w:t>
      </w:r>
      <w:r w:rsidR="002D52A1">
        <w:rPr>
          <w:noProof/>
        </w:rPr>
        <w:t xml:space="preserve"> a </w:t>
      </w:r>
      <w:r w:rsidRPr="002D52A1">
        <w:rPr>
          <w:noProof/>
        </w:rPr>
        <w:t>že príslušné dodatočné rezervy by sa mali vytvoriť</w:t>
      </w:r>
      <w:r w:rsidR="002D52A1">
        <w:rPr>
          <w:noProof/>
        </w:rPr>
        <w:t xml:space="preserve"> v </w:t>
      </w:r>
      <w:r w:rsidRPr="002D52A1">
        <w:rPr>
          <w:noProof/>
        </w:rPr>
        <w:t>osobitnej spoločnej zložke spoločného rezervného fondu (SRF) vyhradenej pre Ukrajinu.</w:t>
      </w:r>
      <w:r w:rsidR="002D52A1">
        <w:rPr>
          <w:noProof/>
        </w:rPr>
        <w:t xml:space="preserve"> V </w:t>
      </w:r>
      <w:r w:rsidRPr="002D52A1">
        <w:rPr>
          <w:noProof/>
        </w:rPr>
        <w:t>tomto návrhu sa preto predpokladá rozšírenie 70</w:t>
      </w:r>
      <w:r w:rsidR="002D52A1">
        <w:rPr>
          <w:noProof/>
        </w:rPr>
        <w:t> %</w:t>
      </w:r>
      <w:r w:rsidRPr="002D52A1">
        <w:rPr>
          <w:noProof/>
        </w:rPr>
        <w:t xml:space="preserve"> miery tvorby rezerv na uvedenú dodatočnú expozíciu vo výške 1,59 mld. EUR vyplývajúcu</w:t>
      </w:r>
      <w:r w:rsidR="002D52A1">
        <w:rPr>
          <w:noProof/>
        </w:rPr>
        <w:t xml:space="preserve"> z </w:t>
      </w:r>
      <w:r w:rsidRPr="002D52A1">
        <w:rPr>
          <w:noProof/>
        </w:rPr>
        <w:t>úverov EIB so zmeneným účelom</w:t>
      </w:r>
      <w:r w:rsidR="002D52A1" w:rsidRPr="002D52A1">
        <w:rPr>
          <w:noProof/>
        </w:rPr>
        <w:t>.</w:t>
      </w:r>
    </w:p>
    <w:p w14:paraId="7FC7FDEC" w14:textId="1FCED899" w:rsidR="00C4624A" w:rsidRPr="002D52A1" w:rsidRDefault="00C4624A" w:rsidP="00C4624A">
      <w:pPr>
        <w:spacing w:before="240" w:after="240"/>
        <w:rPr>
          <w:rFonts w:eastAsia="Times New Roman"/>
          <w:i/>
          <w:iCs/>
          <w:noProof/>
          <w:szCs w:val="24"/>
        </w:rPr>
      </w:pPr>
      <w:r w:rsidRPr="002D52A1">
        <w:rPr>
          <w:i/>
          <w:noProof/>
        </w:rPr>
        <w:t>Možné synergie</w:t>
      </w:r>
      <w:r w:rsidR="002D52A1">
        <w:rPr>
          <w:i/>
          <w:noProof/>
        </w:rPr>
        <w:t xml:space="preserve"> s </w:t>
      </w:r>
      <w:r w:rsidRPr="002D52A1">
        <w:rPr>
          <w:i/>
          <w:noProof/>
        </w:rPr>
        <w:t>inými vhodnými nástrojmi</w:t>
      </w:r>
    </w:p>
    <w:p w14:paraId="36653DA6" w14:textId="627C7248" w:rsidR="00C4624A" w:rsidRPr="002D52A1" w:rsidRDefault="00C4624A" w:rsidP="00C4624A">
      <w:pPr>
        <w:pBdr>
          <w:top w:val="nil"/>
          <w:left w:val="nil"/>
          <w:bottom w:val="nil"/>
          <w:right w:val="nil"/>
          <w:between w:val="nil"/>
          <w:bar w:val="nil"/>
        </w:pBdr>
        <w:spacing w:before="0" w:after="240"/>
        <w:rPr>
          <w:noProof/>
        </w:rPr>
      </w:pPr>
      <w:r w:rsidRPr="002D52A1">
        <w:rPr>
          <w:noProof/>
        </w:rPr>
        <w:t>EÚ patrí</w:t>
      </w:r>
      <w:r w:rsidR="002D52A1">
        <w:rPr>
          <w:noProof/>
        </w:rPr>
        <w:t xml:space="preserve"> k </w:t>
      </w:r>
      <w:r w:rsidRPr="002D52A1">
        <w:rPr>
          <w:noProof/>
        </w:rPr>
        <w:t>hlavným darcom</w:t>
      </w:r>
      <w:r w:rsidR="002D52A1">
        <w:rPr>
          <w:noProof/>
        </w:rPr>
        <w:t xml:space="preserve"> v </w:t>
      </w:r>
      <w:r w:rsidRPr="002D52A1">
        <w:rPr>
          <w:noProof/>
        </w:rPr>
        <w:t>prospech Ukrajiny, podporuje jej hospodárske, štrukturálne</w:t>
      </w:r>
      <w:r w:rsidR="002D52A1">
        <w:rPr>
          <w:noProof/>
        </w:rPr>
        <w:t xml:space="preserve"> a </w:t>
      </w:r>
      <w:r w:rsidRPr="002D52A1">
        <w:rPr>
          <w:noProof/>
        </w:rPr>
        <w:t>inštitucionálne reformy, ako aj občiansku spoločnosť. Poskytnutie ďalšej podpory Ukrajine vo forme úverov</w:t>
      </w:r>
      <w:r w:rsidR="002D52A1">
        <w:rPr>
          <w:noProof/>
        </w:rPr>
        <w:t xml:space="preserve"> v </w:t>
      </w:r>
      <w:r w:rsidRPr="002D52A1">
        <w:rPr>
          <w:noProof/>
        </w:rPr>
        <w:t>tomto momente môže ukrajinským orgánom pomôcť pri prekonávaní významných výziev</w:t>
      </w:r>
      <w:r w:rsidR="002D52A1">
        <w:rPr>
          <w:noProof/>
        </w:rPr>
        <w:t xml:space="preserve"> v </w:t>
      </w:r>
      <w:r w:rsidRPr="002D52A1">
        <w:rPr>
          <w:noProof/>
        </w:rPr>
        <w:t>oblasti financovania, ktoré vyplývajú</w:t>
      </w:r>
      <w:r w:rsidR="002D52A1">
        <w:rPr>
          <w:noProof/>
        </w:rPr>
        <w:t xml:space="preserve"> z </w:t>
      </w:r>
      <w:r w:rsidRPr="002D52A1">
        <w:rPr>
          <w:noProof/>
        </w:rPr>
        <w:t>vedenia vojny. Navyše podporou úsilia orgánov</w:t>
      </w:r>
      <w:r w:rsidR="002D52A1">
        <w:rPr>
          <w:noProof/>
        </w:rPr>
        <w:t xml:space="preserve"> o </w:t>
      </w:r>
      <w:r w:rsidRPr="002D52A1">
        <w:rPr>
          <w:noProof/>
        </w:rPr>
        <w:t>udržanie stabilného makrofinančného prostredia navrhovaná makrofinančná pomoc zvyšuje pridanú hodnotu celkového zapojenia EÚ na Ukrajine</w:t>
      </w:r>
      <w:r w:rsidR="002D52A1">
        <w:rPr>
          <w:noProof/>
        </w:rPr>
        <w:t xml:space="preserve"> a </w:t>
      </w:r>
      <w:r w:rsidRPr="002D52A1">
        <w:rPr>
          <w:noProof/>
        </w:rPr>
        <w:t>zlepšuje účinnosť ďalších foriem finančnej pomoci EÚ krajine vrátane operácií rozpočtovej podpory</w:t>
      </w:r>
      <w:r w:rsidR="002D52A1">
        <w:rPr>
          <w:noProof/>
        </w:rPr>
        <w:t xml:space="preserve"> a </w:t>
      </w:r>
      <w:r w:rsidRPr="002D52A1">
        <w:rPr>
          <w:noProof/>
        </w:rPr>
        <w:t>grantov dostupných prostredníctvom nástrojov na financovanie vonkajšej činnosti</w:t>
      </w:r>
      <w:r w:rsidR="002D52A1">
        <w:rPr>
          <w:noProof/>
        </w:rPr>
        <w:t xml:space="preserve"> v </w:t>
      </w:r>
      <w:r w:rsidRPr="002D52A1">
        <w:rPr>
          <w:noProof/>
        </w:rPr>
        <w:t>rámci aktuálneho viacročného finančného rámca na roky 2021 – 2027. Navrhovaná makrofinančná pomoc je zároveň súčasťou širšej iniciatívy EÚ na podporu</w:t>
      </w:r>
      <w:r w:rsidR="002D52A1">
        <w:rPr>
          <w:noProof/>
        </w:rPr>
        <w:t xml:space="preserve"> a </w:t>
      </w:r>
      <w:r w:rsidRPr="002D52A1">
        <w:rPr>
          <w:noProof/>
        </w:rPr>
        <w:t>obnovu Ukrajiny</w:t>
      </w:r>
      <w:r w:rsidR="002D52A1">
        <w:rPr>
          <w:noProof/>
        </w:rPr>
        <w:t xml:space="preserve"> a </w:t>
      </w:r>
      <w:r w:rsidRPr="002D52A1">
        <w:rPr>
          <w:noProof/>
        </w:rPr>
        <w:t>je neoddeliteľnou súčasťou celkovej medzinárodnej podpory pre Ukrajinu</w:t>
      </w:r>
      <w:r w:rsidRPr="002D52A1">
        <w:rPr>
          <w:rStyle w:val="FootnoteReference"/>
          <w:noProof/>
          <w:lang w:eastAsia="ko-KR"/>
        </w:rPr>
        <w:footnoteReference w:id="29"/>
      </w:r>
      <w:r w:rsidRPr="002D52A1">
        <w:rPr>
          <w:noProof/>
        </w:rPr>
        <w:t>.</w:t>
      </w:r>
    </w:p>
    <w:p w14:paraId="64FAC6F8" w14:textId="77777777" w:rsidR="00C4624A" w:rsidRPr="002D52A1" w:rsidRDefault="00C4624A" w:rsidP="00C4624A">
      <w:pPr>
        <w:pBdr>
          <w:top w:val="nil"/>
          <w:left w:val="nil"/>
          <w:bottom w:val="nil"/>
          <w:right w:val="nil"/>
          <w:between w:val="nil"/>
          <w:bar w:val="nil"/>
        </w:pBdr>
        <w:spacing w:before="0" w:after="240"/>
        <w:rPr>
          <w:noProof/>
        </w:rPr>
      </w:pPr>
    </w:p>
    <w:p w14:paraId="03B004BE" w14:textId="6923135B" w:rsidR="00C4624A" w:rsidRPr="002D52A1" w:rsidRDefault="00D05784" w:rsidP="00D05784">
      <w:pPr>
        <w:pStyle w:val="ManualHeading3"/>
        <w:rPr>
          <w:noProof/>
        </w:rPr>
      </w:pPr>
      <w:bookmarkStart w:id="33" w:name="_Toc514938036"/>
      <w:bookmarkStart w:id="34" w:name="_Toc520485039"/>
      <w:r w:rsidRPr="00D05784">
        <w:t>1.5.5.</w:t>
      </w:r>
      <w:r w:rsidRPr="00D05784">
        <w:tab/>
      </w:r>
      <w:r w:rsidR="00C4624A" w:rsidRPr="002D52A1">
        <w:rPr>
          <w:noProof/>
        </w:rPr>
        <w:t>Posúdenie rôznych disponibilných možností financovania vrátane možnosti prerozdelenia</w:t>
      </w:r>
      <w:bookmarkEnd w:id="33"/>
      <w:bookmarkEnd w:id="34"/>
    </w:p>
    <w:p w14:paraId="257E86A4" w14:textId="3BBA492F" w:rsidR="002D52A1" w:rsidRPr="002D52A1" w:rsidRDefault="00C4624A" w:rsidP="00C4624A">
      <w:pPr>
        <w:rPr>
          <w:noProof/>
        </w:rPr>
      </w:pPr>
      <w:r w:rsidRPr="002D52A1">
        <w:rPr>
          <w:noProof/>
        </w:rPr>
        <w:t>Vďaka používaniu úverov poskytnutie makrofinančnej pomoci zvyšuje účinnosť rozpočtu EÚ pomocou pákového efektu</w:t>
      </w:r>
      <w:r w:rsidR="002D52A1">
        <w:rPr>
          <w:noProof/>
        </w:rPr>
        <w:t xml:space="preserve"> a </w:t>
      </w:r>
      <w:r w:rsidRPr="002D52A1">
        <w:rPr>
          <w:noProof/>
        </w:rPr>
        <w:t>zabezpečuje najlepšiu nákladovo efektívnu možnosť</w:t>
      </w:r>
      <w:r w:rsidR="002D52A1" w:rsidRPr="002D52A1">
        <w:rPr>
          <w:noProof/>
        </w:rPr>
        <w:t>.</w:t>
      </w:r>
    </w:p>
    <w:p w14:paraId="6BF1C715" w14:textId="63616DFC" w:rsidR="00C4624A" w:rsidRPr="002D52A1" w:rsidRDefault="00C4624A" w:rsidP="00C4624A">
      <w:pPr>
        <w:rPr>
          <w:rFonts w:eastAsia="Times New Roman"/>
          <w:noProof/>
          <w:szCs w:val="24"/>
        </w:rPr>
      </w:pPr>
      <w:r w:rsidRPr="002D52A1">
        <w:rPr>
          <w:noProof/>
        </w:rPr>
        <w:t>Komisia je splnomocnená požičiavať si finančné prostriedky</w:t>
      </w:r>
      <w:r w:rsidR="002D52A1">
        <w:rPr>
          <w:noProof/>
        </w:rPr>
        <w:t xml:space="preserve"> z </w:t>
      </w:r>
      <w:r w:rsidRPr="002D52A1">
        <w:rPr>
          <w:noProof/>
        </w:rPr>
        <w:t>kapitálových trhov</w:t>
      </w:r>
      <w:r w:rsidR="002D52A1">
        <w:rPr>
          <w:noProof/>
        </w:rPr>
        <w:t xml:space="preserve"> v </w:t>
      </w:r>
      <w:r w:rsidRPr="002D52A1">
        <w:rPr>
          <w:noProof/>
        </w:rPr>
        <w:t>mene Európskej únie, ako aj Euratomu</w:t>
      </w:r>
      <w:r w:rsidR="002D52A1">
        <w:rPr>
          <w:noProof/>
        </w:rPr>
        <w:t xml:space="preserve"> s </w:t>
      </w:r>
      <w:r w:rsidRPr="002D52A1">
        <w:rPr>
          <w:noProof/>
        </w:rPr>
        <w:t>využitím záruky rozpočtu EÚ. Cieľom je získať finančné prostriedky na trhu za najlepšie dostupné sadzby vďaka svojmu špičkovému úverovému postaveniu EÚ/Euratomu (rating AAA od agentúr Fitch, Moody's</w:t>
      </w:r>
      <w:r w:rsidR="002D52A1">
        <w:rPr>
          <w:noProof/>
        </w:rPr>
        <w:t xml:space="preserve"> a </w:t>
      </w:r>
      <w:r w:rsidRPr="002D52A1">
        <w:rPr>
          <w:noProof/>
        </w:rPr>
        <w:t>DBRS, rating AA od S&amp;P, všetky so stabilným výhľadom)</w:t>
      </w:r>
      <w:r w:rsidR="002D52A1">
        <w:rPr>
          <w:noProof/>
        </w:rPr>
        <w:t xml:space="preserve"> a </w:t>
      </w:r>
      <w:r w:rsidRPr="002D52A1">
        <w:rPr>
          <w:noProof/>
        </w:rPr>
        <w:t>potom ich ďalej požičať oprávneným dlžníkom</w:t>
      </w:r>
      <w:r w:rsidR="002D52A1">
        <w:rPr>
          <w:noProof/>
        </w:rPr>
        <w:t xml:space="preserve"> v </w:t>
      </w:r>
      <w:r w:rsidRPr="002D52A1">
        <w:rPr>
          <w:noProof/>
        </w:rPr>
        <w:t>kontexte poskytovania úverov</w:t>
      </w:r>
      <w:r w:rsidR="002D52A1">
        <w:rPr>
          <w:noProof/>
        </w:rPr>
        <w:t xml:space="preserve"> v </w:t>
      </w:r>
      <w:r w:rsidRPr="002D52A1">
        <w:rPr>
          <w:noProof/>
        </w:rPr>
        <w:t>rámci Európskeho finančného stabilizačného mechanizmu, platobnej bilancie, makrofinančnej pomoci</w:t>
      </w:r>
      <w:r w:rsidR="002D52A1">
        <w:rPr>
          <w:noProof/>
        </w:rPr>
        <w:t xml:space="preserve"> a </w:t>
      </w:r>
      <w:r w:rsidRPr="002D52A1">
        <w:rPr>
          <w:noProof/>
        </w:rPr>
        <w:t>projektov Euratomu. Prijímanie</w:t>
      </w:r>
      <w:r w:rsidR="002D52A1">
        <w:rPr>
          <w:noProof/>
        </w:rPr>
        <w:t xml:space="preserve"> a </w:t>
      </w:r>
      <w:r w:rsidRPr="002D52A1">
        <w:rPr>
          <w:noProof/>
        </w:rPr>
        <w:t>poskytovanie pôžičiek sa uskutočňuje ako nadväzná operácia, čím sa zabezpečuje, aby rozpočet EÚ nebol vystavený žiadnemu úrokovému ani devízovému riziku. Cieľ získania finančných prostriedkov za najlepšie dostupné sadzby pre činnosti prijímania</w:t>
      </w:r>
      <w:r w:rsidR="002D52A1">
        <w:rPr>
          <w:noProof/>
        </w:rPr>
        <w:t xml:space="preserve"> a </w:t>
      </w:r>
      <w:r w:rsidRPr="002D52A1">
        <w:rPr>
          <w:noProof/>
        </w:rPr>
        <w:t>poskytovania pôžičiek bol dosiahnutý, pretože uvedené sadzby sú</w:t>
      </w:r>
      <w:r w:rsidR="002D52A1">
        <w:rPr>
          <w:noProof/>
        </w:rPr>
        <w:t xml:space="preserve"> v </w:t>
      </w:r>
      <w:r w:rsidRPr="002D52A1">
        <w:rPr>
          <w:noProof/>
        </w:rPr>
        <w:t>súlade</w:t>
      </w:r>
      <w:r w:rsidR="002D52A1">
        <w:rPr>
          <w:noProof/>
        </w:rPr>
        <w:t xml:space="preserve"> s </w:t>
      </w:r>
      <w:r w:rsidRPr="002D52A1">
        <w:rPr>
          <w:noProof/>
        </w:rPr>
        <w:t>partnerskými inštitúciami (Európska investičná banka, Európsky finančný stabilizačný mechanizmus</w:t>
      </w:r>
      <w:r w:rsidR="002D52A1">
        <w:rPr>
          <w:noProof/>
        </w:rPr>
        <w:t xml:space="preserve"> a </w:t>
      </w:r>
      <w:r w:rsidRPr="002D52A1">
        <w:rPr>
          <w:noProof/>
        </w:rPr>
        <w:t>Európsky mechanizmus pre stabilitu).</w:t>
      </w:r>
    </w:p>
    <w:p w14:paraId="356F502A" w14:textId="77777777" w:rsidR="00C4624A" w:rsidRPr="002D52A1" w:rsidRDefault="00C4624A" w:rsidP="00C4624A">
      <w:pPr>
        <w:rPr>
          <w:noProof/>
        </w:rPr>
      </w:pPr>
    </w:p>
    <w:p w14:paraId="0A632584" w14:textId="77777777" w:rsidR="00C4624A" w:rsidRPr="002D52A1" w:rsidRDefault="00C4624A" w:rsidP="00C4624A">
      <w:pPr>
        <w:rPr>
          <w:rFonts w:eastAsia="Times New Roman"/>
          <w:noProof/>
          <w:szCs w:val="24"/>
        </w:rPr>
      </w:pPr>
    </w:p>
    <w:p w14:paraId="18A2ECA8" w14:textId="77777777" w:rsidR="00C4624A" w:rsidRPr="002D52A1" w:rsidRDefault="00C4624A" w:rsidP="00C4624A">
      <w:pPr>
        <w:pStyle w:val="Text1"/>
        <w:rPr>
          <w:rFonts w:eastAsia="Calibri"/>
          <w:noProof/>
          <w:szCs w:val="24"/>
        </w:rPr>
      </w:pPr>
    </w:p>
    <w:p w14:paraId="3D5DA93F" w14:textId="77777777" w:rsidR="00C4624A" w:rsidRPr="002D52A1" w:rsidRDefault="00C4624A" w:rsidP="00C4624A">
      <w:pPr>
        <w:pStyle w:val="Text1"/>
        <w:rPr>
          <w:noProof/>
        </w:rPr>
      </w:pPr>
    </w:p>
    <w:p w14:paraId="4D32A2EA" w14:textId="4D8457A4" w:rsidR="00C4624A" w:rsidRPr="002D52A1" w:rsidRDefault="00C4624A" w:rsidP="00D05784">
      <w:pPr>
        <w:pStyle w:val="ManualHeading2"/>
        <w:rPr>
          <w:noProof/>
          <w:szCs w:val="24"/>
        </w:rPr>
      </w:pPr>
      <w:r w:rsidRPr="002D52A1">
        <w:rPr>
          <w:noProof/>
        </w:rPr>
        <w:br w:type="page"/>
      </w:r>
      <w:bookmarkStart w:id="35" w:name="_Toc514938039"/>
      <w:bookmarkStart w:id="36" w:name="_Toc520485040"/>
      <w:r w:rsidR="00D05784" w:rsidRPr="00D05784">
        <w:t>1.6.</w:t>
      </w:r>
      <w:r w:rsidR="00D05784" w:rsidRPr="00D05784">
        <w:tab/>
      </w:r>
      <w:r w:rsidRPr="002D52A1">
        <w:rPr>
          <w:noProof/>
        </w:rPr>
        <w:t>Trvanie</w:t>
      </w:r>
      <w:r w:rsidR="002D52A1">
        <w:rPr>
          <w:noProof/>
        </w:rPr>
        <w:t xml:space="preserve"> a </w:t>
      </w:r>
      <w:r w:rsidRPr="002D52A1">
        <w:rPr>
          <w:noProof/>
        </w:rPr>
        <w:t>finančný vplyv návrhu/iniciatívy</w:t>
      </w:r>
      <w:bookmarkEnd w:id="35"/>
      <w:bookmarkEnd w:id="36"/>
    </w:p>
    <w:p w14:paraId="6779C74C" w14:textId="77777777" w:rsidR="002D52A1" w:rsidRPr="002D52A1" w:rsidRDefault="00C4624A" w:rsidP="00C4624A">
      <w:pPr>
        <w:pStyle w:val="Text1"/>
        <w:rPr>
          <w:b/>
          <w:noProof/>
        </w:rPr>
      </w:pPr>
      <w:r w:rsidRPr="002D52A1">
        <w:rPr>
          <w:rFonts w:ascii="Wingdings" w:hAnsi="Wingdings"/>
          <w:noProof/>
        </w:rPr>
        <w:t></w:t>
      </w:r>
      <w:r w:rsidRPr="002D52A1">
        <w:rPr>
          <w:b/>
          <w:noProof/>
        </w:rPr>
        <w:t> obmedzené trvanie</w:t>
      </w:r>
    </w:p>
    <w:p w14:paraId="2FBE24B2" w14:textId="77777777" w:rsidR="002D52A1" w:rsidRPr="002D52A1" w:rsidRDefault="00C4624A" w:rsidP="00C4624A">
      <w:pPr>
        <w:pStyle w:val="ListDash2"/>
        <w:rPr>
          <w:noProof/>
        </w:rPr>
      </w:pPr>
      <w:r w:rsidRPr="002D52A1">
        <w:rPr>
          <w:rFonts w:ascii="Wingdings" w:hAnsi="Wingdings"/>
          <w:noProof/>
        </w:rPr>
        <w:t></w:t>
      </w:r>
      <w:r w:rsidRPr="002D52A1">
        <w:rPr>
          <w:noProof/>
        </w:rPr>
        <w:tab/>
        <w:t>v platnosti od [DD/MM]RRRR do [DD/MM]RRRR</w:t>
      </w:r>
    </w:p>
    <w:p w14:paraId="5679A873" w14:textId="603EE172" w:rsidR="002D52A1" w:rsidRPr="002D52A1" w:rsidRDefault="00C4624A" w:rsidP="00C4624A">
      <w:pPr>
        <w:pStyle w:val="ListDash2"/>
        <w:rPr>
          <w:noProof/>
        </w:rPr>
      </w:pPr>
      <w:r w:rsidRPr="002D52A1">
        <w:rPr>
          <w:rFonts w:ascii="Wingdings" w:hAnsi="Wingdings"/>
          <w:noProof/>
        </w:rPr>
        <w:t></w:t>
      </w:r>
      <w:r w:rsidRPr="002D52A1">
        <w:rPr>
          <w:noProof/>
        </w:rPr>
        <w:tab/>
        <w:t>Finančný vplyv trvá od roku 2021 do roku 2027</w:t>
      </w:r>
      <w:r w:rsidR="002D52A1">
        <w:rPr>
          <w:noProof/>
        </w:rPr>
        <w:t xml:space="preserve"> v </w:t>
      </w:r>
      <w:r w:rsidRPr="002D52A1">
        <w:rPr>
          <w:noProof/>
        </w:rPr>
        <w:t>prípade viazaných rozpočtových prostriedkov</w:t>
      </w:r>
      <w:r w:rsidR="002D52A1">
        <w:rPr>
          <w:noProof/>
        </w:rPr>
        <w:t xml:space="preserve"> a </w:t>
      </w:r>
      <w:r w:rsidRPr="002D52A1">
        <w:rPr>
          <w:noProof/>
        </w:rPr>
        <w:t>od roku 2022 do roku 2027</w:t>
      </w:r>
      <w:r w:rsidR="002D52A1">
        <w:rPr>
          <w:noProof/>
        </w:rPr>
        <w:t xml:space="preserve"> v </w:t>
      </w:r>
      <w:r w:rsidRPr="002D52A1">
        <w:rPr>
          <w:noProof/>
        </w:rPr>
        <w:t>prípade platobných rozpočtových prostriedkov</w:t>
      </w:r>
      <w:r w:rsidR="002D52A1" w:rsidRPr="002D52A1">
        <w:rPr>
          <w:noProof/>
        </w:rPr>
        <w:t>.</w:t>
      </w:r>
    </w:p>
    <w:p w14:paraId="6239BF86" w14:textId="02000983" w:rsidR="00C4624A" w:rsidRPr="002D52A1" w:rsidRDefault="00C4624A" w:rsidP="00C4624A">
      <w:pPr>
        <w:pStyle w:val="Text1"/>
        <w:rPr>
          <w:noProof/>
        </w:rPr>
      </w:pPr>
      <w:r w:rsidRPr="002D52A1">
        <w:rPr>
          <w:rFonts w:ascii="Wingdings" w:hAnsi="Wingdings"/>
          <w:noProof/>
        </w:rPr>
        <w:t></w:t>
      </w:r>
      <w:r w:rsidRPr="002D52A1">
        <w:rPr>
          <w:b/>
          <w:noProof/>
        </w:rPr>
        <w:t> neobmedzené trvanie</w:t>
      </w:r>
    </w:p>
    <w:p w14:paraId="5C756B11" w14:textId="77777777" w:rsidR="00C4624A" w:rsidRPr="002D52A1" w:rsidRDefault="00C4624A" w:rsidP="00C4624A">
      <w:pPr>
        <w:pStyle w:val="ListDash1"/>
        <w:rPr>
          <w:noProof/>
        </w:rPr>
      </w:pPr>
      <w:r w:rsidRPr="002D52A1">
        <w:rPr>
          <w:noProof/>
        </w:rPr>
        <w:t>Počiatočná fáza vykonávania bude trvať od RRRR do RRRR,</w:t>
      </w:r>
    </w:p>
    <w:p w14:paraId="1F9960E4" w14:textId="52FB208F" w:rsidR="00C4624A" w:rsidRPr="002D52A1" w:rsidRDefault="00C4624A" w:rsidP="00C4624A">
      <w:pPr>
        <w:pStyle w:val="ListDash1"/>
        <w:rPr>
          <w:noProof/>
        </w:rPr>
      </w:pPr>
      <w:r w:rsidRPr="002D52A1">
        <w:rPr>
          <w:noProof/>
        </w:rPr>
        <w:t>a potom bude implementácia pokračovať</w:t>
      </w:r>
      <w:r w:rsidR="002D52A1">
        <w:rPr>
          <w:noProof/>
        </w:rPr>
        <w:t xml:space="preserve"> v </w:t>
      </w:r>
      <w:r w:rsidRPr="002D52A1">
        <w:rPr>
          <w:noProof/>
        </w:rPr>
        <w:t>plnom rozsahu.</w:t>
      </w:r>
    </w:p>
    <w:p w14:paraId="5A26CC04" w14:textId="579D6DA6" w:rsidR="00C4624A" w:rsidRPr="002D52A1" w:rsidRDefault="00D05784" w:rsidP="00D05784">
      <w:pPr>
        <w:pStyle w:val="ManualHeading2"/>
        <w:rPr>
          <w:noProof/>
        </w:rPr>
      </w:pPr>
      <w:bookmarkStart w:id="37" w:name="_Toc514938040"/>
      <w:bookmarkStart w:id="38" w:name="_Toc520485041"/>
      <w:r w:rsidRPr="00D05784">
        <w:t>1.7.</w:t>
      </w:r>
      <w:r w:rsidRPr="00D05784">
        <w:tab/>
      </w:r>
      <w:r w:rsidR="00C4624A" w:rsidRPr="002D52A1">
        <w:rPr>
          <w:noProof/>
        </w:rPr>
        <w:t>Plánovaný spôsob riadenia</w:t>
      </w:r>
      <w:bookmarkEnd w:id="37"/>
      <w:bookmarkEnd w:id="38"/>
    </w:p>
    <w:p w14:paraId="1D6D9058" w14:textId="77777777" w:rsidR="00C4624A" w:rsidRPr="002D52A1" w:rsidRDefault="00C4624A" w:rsidP="00C4624A">
      <w:pPr>
        <w:pStyle w:val="Text1"/>
        <w:rPr>
          <w:noProof/>
        </w:rPr>
      </w:pPr>
      <w:r w:rsidRPr="002D52A1">
        <w:rPr>
          <w:rFonts w:ascii="Wingdings" w:hAnsi="Wingdings"/>
          <w:noProof/>
        </w:rPr>
        <w:t></w:t>
      </w:r>
      <w:r w:rsidRPr="002D52A1">
        <w:rPr>
          <w:i/>
          <w:noProof/>
        </w:rPr>
        <w:t xml:space="preserve"> </w:t>
      </w:r>
      <w:r w:rsidRPr="002D52A1">
        <w:rPr>
          <w:b/>
          <w:noProof/>
        </w:rPr>
        <w:t>Priame riadenie</w:t>
      </w:r>
      <w:r w:rsidRPr="002D52A1">
        <w:rPr>
          <w:noProof/>
        </w:rPr>
        <w:t xml:space="preserve"> na úrovni Komisie</w:t>
      </w:r>
    </w:p>
    <w:p w14:paraId="0C4FDA4B" w14:textId="7EFFD37E" w:rsidR="002D52A1" w:rsidRPr="002D52A1" w:rsidRDefault="00C4624A" w:rsidP="00C4624A">
      <w:pPr>
        <w:pStyle w:val="ListDash2"/>
        <w:rPr>
          <w:noProof/>
        </w:rPr>
      </w:pPr>
      <w:r w:rsidRPr="002D52A1">
        <w:rPr>
          <w:rFonts w:ascii="Wingdings" w:hAnsi="Wingdings"/>
          <w:noProof/>
        </w:rPr>
        <w:t></w:t>
      </w:r>
      <w:r w:rsidRPr="002D52A1">
        <w:rPr>
          <w:noProof/>
        </w:rPr>
        <w:t> prostredníctvom jej útvarov vrátane zamestnancov</w:t>
      </w:r>
      <w:r w:rsidR="002D52A1">
        <w:rPr>
          <w:noProof/>
        </w:rPr>
        <w:t xml:space="preserve"> v </w:t>
      </w:r>
      <w:r w:rsidRPr="002D52A1">
        <w:rPr>
          <w:noProof/>
        </w:rPr>
        <w:t>delegáciách Únie</w:t>
      </w:r>
    </w:p>
    <w:p w14:paraId="7E8B933A" w14:textId="2C9286F3" w:rsidR="002D52A1" w:rsidRPr="002D52A1" w:rsidRDefault="00C4624A" w:rsidP="00C4624A">
      <w:pPr>
        <w:pStyle w:val="ListDash2"/>
        <w:rPr>
          <w:noProof/>
        </w:rPr>
      </w:pPr>
      <w:r w:rsidRPr="002D52A1">
        <w:rPr>
          <w:rFonts w:ascii="Wingdings" w:hAnsi="Wingdings"/>
          <w:noProof/>
        </w:rPr>
        <w:t></w:t>
      </w:r>
      <w:r w:rsidRPr="002D52A1">
        <w:rPr>
          <w:noProof/>
        </w:rPr>
        <w:tab/>
        <w:t>prostredníctvom výkonných agentúr</w:t>
      </w:r>
      <w:r w:rsidR="002D52A1" w:rsidRPr="002D52A1">
        <w:rPr>
          <w:noProof/>
        </w:rPr>
        <w:t>.</w:t>
      </w:r>
    </w:p>
    <w:p w14:paraId="45444333" w14:textId="6FD4F14B" w:rsidR="002D52A1" w:rsidRPr="002D52A1" w:rsidRDefault="00C4624A" w:rsidP="00C4624A">
      <w:pPr>
        <w:pStyle w:val="Text1"/>
        <w:rPr>
          <w:noProof/>
        </w:rPr>
      </w:pPr>
      <w:r w:rsidRPr="002D52A1">
        <w:rPr>
          <w:rFonts w:ascii="Wingdings" w:hAnsi="Wingdings"/>
          <w:noProof/>
        </w:rPr>
        <w:t></w:t>
      </w:r>
      <w:r w:rsidRPr="002D52A1">
        <w:rPr>
          <w:b/>
          <w:i/>
          <w:noProof/>
        </w:rPr>
        <w:t xml:space="preserve"> </w:t>
      </w:r>
      <w:r w:rsidRPr="002D52A1">
        <w:rPr>
          <w:b/>
          <w:noProof/>
        </w:rPr>
        <w:t>Zdieľané riadenie</w:t>
      </w:r>
      <w:r w:rsidR="002D52A1">
        <w:rPr>
          <w:noProof/>
        </w:rPr>
        <w:t xml:space="preserve"> s </w:t>
      </w:r>
      <w:r w:rsidRPr="002D52A1">
        <w:rPr>
          <w:noProof/>
        </w:rPr>
        <w:t>členskými štátmi</w:t>
      </w:r>
    </w:p>
    <w:p w14:paraId="2F193F18" w14:textId="6E7623B2" w:rsidR="00C4624A" w:rsidRPr="002D52A1" w:rsidRDefault="00C4624A" w:rsidP="00C4624A">
      <w:pPr>
        <w:pStyle w:val="Text1"/>
        <w:rPr>
          <w:noProof/>
        </w:rPr>
      </w:pPr>
      <w:r w:rsidRPr="002D52A1">
        <w:rPr>
          <w:rFonts w:ascii="Wingdings" w:hAnsi="Wingdings"/>
          <w:noProof/>
        </w:rPr>
        <w:t></w:t>
      </w:r>
      <w:r w:rsidRPr="002D52A1">
        <w:rPr>
          <w:i/>
          <w:noProof/>
        </w:rPr>
        <w:t xml:space="preserve"> </w:t>
      </w:r>
      <w:r w:rsidRPr="002D52A1">
        <w:rPr>
          <w:b/>
          <w:noProof/>
        </w:rPr>
        <w:t>Nepriame riadenie</w:t>
      </w:r>
      <w:r w:rsidRPr="002D52A1">
        <w:rPr>
          <w:noProof/>
        </w:rPr>
        <w:t>, pri ktorom sa plnením rozpočtu poveria:</w:t>
      </w:r>
    </w:p>
    <w:p w14:paraId="76965A20" w14:textId="77777777" w:rsidR="00C4624A" w:rsidRPr="002D52A1" w:rsidRDefault="00C4624A" w:rsidP="00C4624A">
      <w:pPr>
        <w:pStyle w:val="ListDash2"/>
        <w:rPr>
          <w:noProof/>
        </w:rPr>
      </w:pPr>
      <w:r w:rsidRPr="002D52A1">
        <w:rPr>
          <w:rFonts w:ascii="Wingdings" w:hAnsi="Wingdings"/>
          <w:noProof/>
        </w:rPr>
        <w:t></w:t>
      </w:r>
      <w:r w:rsidRPr="002D52A1">
        <w:rPr>
          <w:noProof/>
        </w:rPr>
        <w:t> tretie krajiny alebo subjekty, ktoré tieto krajiny určili,</w:t>
      </w:r>
    </w:p>
    <w:p w14:paraId="010C78BD" w14:textId="452251CF" w:rsidR="00C4624A" w:rsidRPr="002D52A1" w:rsidRDefault="00C4624A" w:rsidP="00C4624A">
      <w:pPr>
        <w:pStyle w:val="ListDash2"/>
        <w:rPr>
          <w:noProof/>
        </w:rPr>
      </w:pPr>
      <w:r w:rsidRPr="002D52A1">
        <w:rPr>
          <w:rFonts w:ascii="Wingdings" w:hAnsi="Wingdings"/>
          <w:noProof/>
        </w:rPr>
        <w:t></w:t>
      </w:r>
      <w:r w:rsidRPr="002D52A1">
        <w:rPr>
          <w:noProof/>
        </w:rPr>
        <w:t> medzinárodné organizácie</w:t>
      </w:r>
      <w:r w:rsidR="002D52A1">
        <w:rPr>
          <w:noProof/>
        </w:rPr>
        <w:t xml:space="preserve"> a </w:t>
      </w:r>
      <w:r w:rsidRPr="002D52A1">
        <w:rPr>
          <w:noProof/>
        </w:rPr>
        <w:t>ich agentúry (uveďte),</w:t>
      </w:r>
    </w:p>
    <w:p w14:paraId="5680888E" w14:textId="08D718D1" w:rsidR="00C4624A" w:rsidRPr="002D52A1" w:rsidRDefault="00C4624A" w:rsidP="00C4624A">
      <w:pPr>
        <w:pStyle w:val="ListDash2"/>
        <w:rPr>
          <w:noProof/>
        </w:rPr>
      </w:pPr>
      <w:r w:rsidRPr="002D52A1">
        <w:rPr>
          <w:rFonts w:ascii="Wingdings" w:hAnsi="Wingdings"/>
          <w:noProof/>
        </w:rPr>
        <w:t></w:t>
      </w:r>
      <w:r w:rsidRPr="002D52A1">
        <w:rPr>
          <w:noProof/>
        </w:rPr>
        <w:t> Európska investičná banka (EIB)</w:t>
      </w:r>
      <w:r w:rsidR="002D52A1">
        <w:rPr>
          <w:noProof/>
        </w:rPr>
        <w:t xml:space="preserve"> a </w:t>
      </w:r>
      <w:r w:rsidRPr="002D52A1">
        <w:rPr>
          <w:noProof/>
        </w:rPr>
        <w:t>Európsky investičný fond,</w:t>
      </w:r>
    </w:p>
    <w:p w14:paraId="1C039BA3" w14:textId="2B99A5C0" w:rsidR="00C4624A" w:rsidRPr="002D52A1" w:rsidRDefault="00C4624A" w:rsidP="00C4624A">
      <w:pPr>
        <w:pStyle w:val="ListDash2"/>
        <w:rPr>
          <w:noProof/>
        </w:rPr>
      </w:pPr>
      <w:r w:rsidRPr="002D52A1">
        <w:rPr>
          <w:rFonts w:ascii="Wingdings" w:hAnsi="Wingdings"/>
          <w:noProof/>
        </w:rPr>
        <w:t></w:t>
      </w:r>
      <w:r w:rsidRPr="002D52A1">
        <w:rPr>
          <w:noProof/>
        </w:rPr>
        <w:t> subjekty uvedené</w:t>
      </w:r>
      <w:r w:rsidR="002D52A1">
        <w:rPr>
          <w:noProof/>
        </w:rPr>
        <w:t xml:space="preserve"> v </w:t>
      </w:r>
      <w:r w:rsidRPr="002D52A1">
        <w:rPr>
          <w:noProof/>
        </w:rPr>
        <w:t>článkoch 70</w:t>
      </w:r>
      <w:r w:rsidR="002D52A1">
        <w:rPr>
          <w:noProof/>
        </w:rPr>
        <w:t xml:space="preserve"> a </w:t>
      </w:r>
      <w:r w:rsidRPr="002D52A1">
        <w:rPr>
          <w:noProof/>
        </w:rPr>
        <w:t>71 nariadenia</w:t>
      </w:r>
      <w:r w:rsidR="002D52A1">
        <w:rPr>
          <w:noProof/>
        </w:rPr>
        <w:t xml:space="preserve"> o </w:t>
      </w:r>
      <w:r w:rsidRPr="002D52A1">
        <w:rPr>
          <w:noProof/>
        </w:rPr>
        <w:t>rozpočtových pravidlách,</w:t>
      </w:r>
    </w:p>
    <w:p w14:paraId="5176784E" w14:textId="77777777" w:rsidR="00C4624A" w:rsidRPr="002D52A1" w:rsidRDefault="00C4624A" w:rsidP="00C4624A">
      <w:pPr>
        <w:pStyle w:val="ListDash2"/>
        <w:rPr>
          <w:noProof/>
        </w:rPr>
      </w:pPr>
      <w:r w:rsidRPr="002D52A1">
        <w:rPr>
          <w:rFonts w:ascii="Wingdings" w:hAnsi="Wingdings"/>
          <w:noProof/>
        </w:rPr>
        <w:t></w:t>
      </w:r>
      <w:r w:rsidRPr="002D52A1">
        <w:rPr>
          <w:noProof/>
        </w:rPr>
        <w:t> verejnoprávne subjekty,</w:t>
      </w:r>
    </w:p>
    <w:p w14:paraId="48F23C1A" w14:textId="77777777" w:rsidR="00C4624A" w:rsidRPr="002D52A1" w:rsidRDefault="00C4624A" w:rsidP="00C4624A">
      <w:pPr>
        <w:pStyle w:val="ListDash2"/>
        <w:rPr>
          <w:noProof/>
        </w:rPr>
      </w:pPr>
      <w:r w:rsidRPr="002D52A1">
        <w:rPr>
          <w:rFonts w:ascii="Wingdings" w:hAnsi="Wingdings"/>
          <w:noProof/>
        </w:rPr>
        <w:t></w:t>
      </w:r>
      <w:r w:rsidRPr="002D52A1">
        <w:rPr>
          <w:noProof/>
        </w:rPr>
        <w:t> súkromnoprávne subjekty poverené vykonávaním verejnej služby, pokiaľ sú im poskytnuté primerané finančné záruky,</w:t>
      </w:r>
    </w:p>
    <w:p w14:paraId="0FF87D47" w14:textId="6B2D6F96" w:rsidR="00C4624A" w:rsidRPr="002D52A1" w:rsidRDefault="00C4624A" w:rsidP="00C4624A">
      <w:pPr>
        <w:pStyle w:val="ListDash2"/>
        <w:rPr>
          <w:noProof/>
        </w:rPr>
      </w:pPr>
      <w:r w:rsidRPr="002D52A1">
        <w:rPr>
          <w:rFonts w:ascii="Wingdings" w:hAnsi="Wingdings"/>
          <w:noProof/>
        </w:rPr>
        <w:t></w:t>
      </w:r>
      <w:r w:rsidRPr="002D52A1">
        <w:rPr>
          <w:noProof/>
        </w:rPr>
        <w:t> súkromnoprávne subjekty spravované právom členského štátu, ktoré sú poverené vykonávaním verejno-súkromného partnerstva</w:t>
      </w:r>
      <w:r w:rsidR="002D52A1">
        <w:rPr>
          <w:noProof/>
        </w:rPr>
        <w:t xml:space="preserve"> a </w:t>
      </w:r>
      <w:r w:rsidRPr="002D52A1">
        <w:rPr>
          <w:noProof/>
        </w:rPr>
        <w:t>ktorým sú poskytnuté primerané finančné záruky,</w:t>
      </w:r>
    </w:p>
    <w:p w14:paraId="4AEAB960" w14:textId="3CD76212" w:rsidR="00C4624A" w:rsidRPr="002D52A1" w:rsidRDefault="00C4624A" w:rsidP="00C4624A">
      <w:pPr>
        <w:pStyle w:val="ListDash2"/>
        <w:rPr>
          <w:noProof/>
        </w:rPr>
      </w:pPr>
      <w:r w:rsidRPr="002D52A1">
        <w:rPr>
          <w:rFonts w:ascii="Wingdings" w:hAnsi="Wingdings"/>
          <w:noProof/>
        </w:rPr>
        <w:t></w:t>
      </w:r>
      <w:r w:rsidRPr="002D52A1">
        <w:rPr>
          <w:noProof/>
        </w:rPr>
        <w:t> osoby poverené vykonávaním osobitných činností</w:t>
      </w:r>
      <w:r w:rsidR="002D52A1">
        <w:rPr>
          <w:noProof/>
        </w:rPr>
        <w:t xml:space="preserve"> v </w:t>
      </w:r>
      <w:r w:rsidRPr="002D52A1">
        <w:rPr>
          <w:noProof/>
        </w:rPr>
        <w:t>oblasti SZBP podľa hlavy</w:t>
      </w:r>
      <w:r w:rsidR="002D52A1">
        <w:rPr>
          <w:noProof/>
        </w:rPr>
        <w:t xml:space="preserve"> V </w:t>
      </w:r>
      <w:r w:rsidRPr="002D52A1">
        <w:rPr>
          <w:noProof/>
        </w:rPr>
        <w:t>Zmluvy</w:t>
      </w:r>
      <w:r w:rsidR="002D52A1">
        <w:rPr>
          <w:noProof/>
        </w:rPr>
        <w:t xml:space="preserve"> o </w:t>
      </w:r>
      <w:r w:rsidRPr="002D52A1">
        <w:rPr>
          <w:noProof/>
        </w:rPr>
        <w:t>Európskej únii</w:t>
      </w:r>
      <w:r w:rsidR="002D52A1">
        <w:rPr>
          <w:noProof/>
        </w:rPr>
        <w:t xml:space="preserve"> a </w:t>
      </w:r>
      <w:r w:rsidRPr="002D52A1">
        <w:rPr>
          <w:noProof/>
        </w:rPr>
        <w:t>určené</w:t>
      </w:r>
      <w:r w:rsidR="002D52A1">
        <w:rPr>
          <w:noProof/>
        </w:rPr>
        <w:t xml:space="preserve"> v </w:t>
      </w:r>
      <w:r w:rsidRPr="002D52A1">
        <w:rPr>
          <w:noProof/>
        </w:rPr>
        <w:t>príslušnom základnom akte.</w:t>
      </w:r>
    </w:p>
    <w:p w14:paraId="29D674A3" w14:textId="0035BD9D" w:rsidR="00C4624A" w:rsidRPr="002D52A1" w:rsidRDefault="00C4624A" w:rsidP="00C4624A">
      <w:pPr>
        <w:pStyle w:val="ListDash2"/>
        <w:rPr>
          <w:i/>
          <w:noProof/>
          <w:sz w:val="18"/>
          <w:u w:val="single"/>
        </w:rPr>
      </w:pPr>
      <w:r w:rsidRPr="002D52A1">
        <w:rPr>
          <w:i/>
          <w:noProof/>
          <w:sz w:val="18"/>
        </w:rPr>
        <w:t>V prípade viacerých spôsobov riadenia uveďte</w:t>
      </w:r>
      <w:r w:rsidR="002D52A1">
        <w:rPr>
          <w:i/>
          <w:noProof/>
          <w:sz w:val="18"/>
        </w:rPr>
        <w:t xml:space="preserve"> v </w:t>
      </w:r>
      <w:r w:rsidRPr="002D52A1">
        <w:rPr>
          <w:i/>
          <w:noProof/>
          <w:sz w:val="18"/>
        </w:rPr>
        <w:t>oddiele „Poznámky“ presnejšie vysvetlenie.</w:t>
      </w:r>
    </w:p>
    <w:p w14:paraId="2345661C" w14:textId="77777777" w:rsidR="00C4624A" w:rsidRPr="002D52A1" w:rsidRDefault="00C4624A" w:rsidP="00C4624A">
      <w:pPr>
        <w:rPr>
          <w:noProof/>
        </w:rPr>
        <w:sectPr w:rsidR="00C4624A" w:rsidRPr="002D52A1" w:rsidSect="00A6081D">
          <w:pgSz w:w="11907" w:h="16840" w:code="9"/>
          <w:pgMar w:top="1134" w:right="1418" w:bottom="1134" w:left="1418" w:header="709" w:footer="709" w:gutter="0"/>
          <w:cols w:space="720"/>
          <w:docGrid w:linePitch="360"/>
        </w:sectPr>
      </w:pPr>
    </w:p>
    <w:p w14:paraId="3EFA63B8" w14:textId="029635DF" w:rsidR="002D52A1" w:rsidRPr="002D52A1" w:rsidRDefault="00D05784" w:rsidP="00D05784">
      <w:pPr>
        <w:pStyle w:val="ManualHeading1"/>
        <w:rPr>
          <w:noProof/>
        </w:rPr>
      </w:pPr>
      <w:bookmarkStart w:id="39" w:name="_Toc514938041"/>
      <w:bookmarkStart w:id="40" w:name="_Toc520485042"/>
      <w:r w:rsidRPr="00D05784">
        <w:t>2.</w:t>
      </w:r>
      <w:r w:rsidRPr="00D05784">
        <w:tab/>
      </w:r>
      <w:r w:rsidR="00C4624A" w:rsidRPr="002D52A1">
        <w:rPr>
          <w:noProof/>
        </w:rPr>
        <w:t>OPATRENIA</w:t>
      </w:r>
      <w:r w:rsidR="002D52A1">
        <w:rPr>
          <w:noProof/>
        </w:rPr>
        <w:t xml:space="preserve"> V </w:t>
      </w:r>
      <w:r w:rsidR="00C4624A" w:rsidRPr="002D52A1">
        <w:rPr>
          <w:noProof/>
        </w:rPr>
        <w:t>OBLASTI RIADENIA</w:t>
      </w:r>
      <w:bookmarkEnd w:id="39"/>
      <w:bookmarkEnd w:id="40"/>
    </w:p>
    <w:p w14:paraId="22778EDF" w14:textId="40E093E3" w:rsidR="002D52A1" w:rsidRPr="002D52A1" w:rsidRDefault="00D05784" w:rsidP="00D05784">
      <w:pPr>
        <w:pStyle w:val="ManualHeading2"/>
        <w:rPr>
          <w:noProof/>
        </w:rPr>
      </w:pPr>
      <w:bookmarkStart w:id="41" w:name="_Toc514938042"/>
      <w:bookmarkStart w:id="42" w:name="_Toc520485043"/>
      <w:r w:rsidRPr="00D05784">
        <w:t>2.1.</w:t>
      </w:r>
      <w:r w:rsidRPr="00D05784">
        <w:tab/>
      </w:r>
      <w:r w:rsidR="00C4624A" w:rsidRPr="002D52A1">
        <w:rPr>
          <w:noProof/>
        </w:rPr>
        <w:t>Pravidlá monitorovania</w:t>
      </w:r>
      <w:r w:rsidR="002D52A1">
        <w:rPr>
          <w:noProof/>
        </w:rPr>
        <w:t xml:space="preserve"> a </w:t>
      </w:r>
      <w:r w:rsidR="00C4624A" w:rsidRPr="002D52A1">
        <w:rPr>
          <w:noProof/>
        </w:rPr>
        <w:t>podávania správ</w:t>
      </w:r>
      <w:bookmarkEnd w:id="41"/>
      <w:bookmarkEnd w:id="42"/>
    </w:p>
    <w:p w14:paraId="4D08957E" w14:textId="5DBF1463" w:rsidR="00C4624A" w:rsidRPr="002D52A1" w:rsidRDefault="00C4624A" w:rsidP="00C4624A">
      <w:pPr>
        <w:pStyle w:val="Text1"/>
        <w:rPr>
          <w:noProof/>
          <w:sz w:val="20"/>
          <w:szCs w:val="18"/>
        </w:rPr>
      </w:pPr>
      <w:r w:rsidRPr="002D52A1">
        <w:rPr>
          <w:noProof/>
          <w:sz w:val="20"/>
        </w:rPr>
        <w:t>Uveďte frekvenciu</w:t>
      </w:r>
      <w:r w:rsidR="002D52A1">
        <w:rPr>
          <w:noProof/>
          <w:sz w:val="20"/>
        </w:rPr>
        <w:t xml:space="preserve"> a </w:t>
      </w:r>
      <w:r w:rsidRPr="002D52A1">
        <w:rPr>
          <w:noProof/>
          <w:sz w:val="20"/>
        </w:rPr>
        <w:t>podmienky, ktoré sa vzťahujú na tieto opatrenia.</w:t>
      </w:r>
    </w:p>
    <w:p w14:paraId="404A70EF" w14:textId="241DBD80" w:rsidR="002D52A1" w:rsidRPr="002D52A1" w:rsidRDefault="00C4624A" w:rsidP="00C4624A">
      <w:pPr>
        <w:rPr>
          <w:noProof/>
        </w:rPr>
      </w:pPr>
      <w:r w:rsidRPr="002D52A1">
        <w:rPr>
          <w:noProof/>
        </w:rPr>
        <w:t>Opatrenia, ktoré sa majú financovať podľa tohto rozhodnutia, sa budú vykonávať</w:t>
      </w:r>
      <w:r w:rsidR="002D52A1">
        <w:rPr>
          <w:noProof/>
        </w:rPr>
        <w:t xml:space="preserve"> s </w:t>
      </w:r>
      <w:r w:rsidRPr="002D52A1">
        <w:rPr>
          <w:noProof/>
        </w:rPr>
        <w:t>priamym riadením na úrovni Komisie</w:t>
      </w:r>
      <w:r w:rsidR="002D52A1">
        <w:rPr>
          <w:noProof/>
        </w:rPr>
        <w:t xml:space="preserve"> z </w:t>
      </w:r>
      <w:r w:rsidRPr="002D52A1">
        <w:rPr>
          <w:noProof/>
        </w:rPr>
        <w:t>ústredia</w:t>
      </w:r>
      <w:r w:rsidR="002D52A1" w:rsidRPr="002D52A1">
        <w:rPr>
          <w:noProof/>
        </w:rPr>
        <w:t>.</w:t>
      </w:r>
    </w:p>
    <w:p w14:paraId="266AD8E2" w14:textId="33C4F190" w:rsidR="00C4624A" w:rsidRPr="002D52A1" w:rsidRDefault="00C4624A" w:rsidP="00C4624A">
      <w:pPr>
        <w:rPr>
          <w:rFonts w:eastAsia="Times New Roman"/>
          <w:noProof/>
          <w:szCs w:val="24"/>
        </w:rPr>
      </w:pPr>
      <w:r w:rsidRPr="002D52A1">
        <w:rPr>
          <w:noProof/>
        </w:rPr>
        <w:t>Táto pomoc má makroekonomický charakter. Útvary Komisie budú monitorovať akciu na základe konkrétnych opatrení, ktoré budú dohodnuté</w:t>
      </w:r>
      <w:r w:rsidR="002D52A1">
        <w:rPr>
          <w:noProof/>
        </w:rPr>
        <w:t xml:space="preserve"> s </w:t>
      </w:r>
      <w:r w:rsidRPr="002D52A1">
        <w:rPr>
          <w:noProof/>
        </w:rPr>
        <w:t>ukrajinskými orgánmi</w:t>
      </w:r>
      <w:r w:rsidR="002D52A1">
        <w:rPr>
          <w:noProof/>
        </w:rPr>
        <w:t xml:space="preserve"> v </w:t>
      </w:r>
      <w:r w:rsidRPr="002D52A1">
        <w:rPr>
          <w:noProof/>
        </w:rPr>
        <w:t>memorande</w:t>
      </w:r>
      <w:r w:rsidR="002D52A1">
        <w:rPr>
          <w:noProof/>
        </w:rPr>
        <w:t xml:space="preserve"> o </w:t>
      </w:r>
      <w:r w:rsidRPr="002D52A1">
        <w:rPr>
          <w:noProof/>
        </w:rPr>
        <w:t>porozumení.</w:t>
      </w:r>
    </w:p>
    <w:p w14:paraId="1E333598" w14:textId="6DBB2DFF" w:rsidR="002D52A1" w:rsidRPr="002D52A1" w:rsidRDefault="00D05784" w:rsidP="00D05784">
      <w:pPr>
        <w:pStyle w:val="ManualHeading2"/>
        <w:rPr>
          <w:noProof/>
        </w:rPr>
      </w:pPr>
      <w:bookmarkStart w:id="43" w:name="_Toc514938045"/>
      <w:bookmarkStart w:id="44" w:name="_Toc520485044"/>
      <w:r w:rsidRPr="00D05784">
        <w:t>2.2.</w:t>
      </w:r>
      <w:r w:rsidRPr="00D05784">
        <w:tab/>
      </w:r>
      <w:r w:rsidR="00C4624A" w:rsidRPr="002D52A1">
        <w:rPr>
          <w:noProof/>
        </w:rPr>
        <w:t>Systémy riadenia</w:t>
      </w:r>
      <w:r w:rsidR="002D52A1">
        <w:rPr>
          <w:noProof/>
        </w:rPr>
        <w:t xml:space="preserve"> a </w:t>
      </w:r>
      <w:r w:rsidR="00C4624A" w:rsidRPr="002D52A1">
        <w:rPr>
          <w:noProof/>
        </w:rPr>
        <w:t>kontroly</w:t>
      </w:r>
      <w:bookmarkEnd w:id="43"/>
      <w:bookmarkEnd w:id="44"/>
    </w:p>
    <w:p w14:paraId="1C39530A" w14:textId="463B5866" w:rsidR="00C4624A" w:rsidRPr="002D52A1" w:rsidRDefault="00D05784" w:rsidP="00D05784">
      <w:pPr>
        <w:pStyle w:val="ManualHeading3"/>
        <w:rPr>
          <w:noProof/>
        </w:rPr>
      </w:pPr>
      <w:bookmarkStart w:id="45" w:name="_Toc514938046"/>
      <w:bookmarkStart w:id="46" w:name="_Toc520485045"/>
      <w:r w:rsidRPr="00D05784">
        <w:t>2.2.1.</w:t>
      </w:r>
      <w:r w:rsidRPr="00D05784">
        <w:tab/>
      </w:r>
      <w:r w:rsidR="00C4624A" w:rsidRPr="002D52A1">
        <w:rPr>
          <w:noProof/>
        </w:rPr>
        <w:t>Opodstatnenie navrhovaných spôsobov riadenia, mechanizmov vykonávania financovania, spôsobov platby</w:t>
      </w:r>
      <w:r w:rsidR="002D52A1">
        <w:rPr>
          <w:noProof/>
        </w:rPr>
        <w:t xml:space="preserve"> a </w:t>
      </w:r>
      <w:r w:rsidR="00C4624A" w:rsidRPr="002D52A1">
        <w:rPr>
          <w:noProof/>
        </w:rPr>
        <w:t>stratégie kontroly</w:t>
      </w:r>
      <w:bookmarkEnd w:id="45"/>
      <w:bookmarkEnd w:id="46"/>
    </w:p>
    <w:p w14:paraId="326EB1BC" w14:textId="05824551" w:rsidR="002D52A1" w:rsidRPr="002D52A1" w:rsidRDefault="00C4624A" w:rsidP="00C4624A">
      <w:pPr>
        <w:rPr>
          <w:noProof/>
        </w:rPr>
      </w:pPr>
      <w:r w:rsidRPr="002D52A1">
        <w:rPr>
          <w:noProof/>
        </w:rPr>
        <w:t>Opatrenia, ktoré sa majú financovať podľa tohto rozhodnutia, sa budú vykonávať</w:t>
      </w:r>
      <w:r w:rsidR="002D52A1">
        <w:rPr>
          <w:noProof/>
        </w:rPr>
        <w:t xml:space="preserve"> s </w:t>
      </w:r>
      <w:r w:rsidRPr="002D52A1">
        <w:rPr>
          <w:noProof/>
        </w:rPr>
        <w:t>priamym riadením na úrovni Komisie</w:t>
      </w:r>
      <w:r w:rsidR="002D52A1">
        <w:rPr>
          <w:noProof/>
        </w:rPr>
        <w:t xml:space="preserve"> z </w:t>
      </w:r>
      <w:r w:rsidRPr="002D52A1">
        <w:rPr>
          <w:noProof/>
        </w:rPr>
        <w:t>ústredia</w:t>
      </w:r>
      <w:r w:rsidR="002D52A1" w:rsidRPr="002D52A1">
        <w:rPr>
          <w:noProof/>
        </w:rPr>
        <w:t>.</w:t>
      </w:r>
    </w:p>
    <w:p w14:paraId="72CFB8F2" w14:textId="732F35B7" w:rsidR="00C4624A" w:rsidRPr="002D52A1" w:rsidRDefault="00C4624A" w:rsidP="00C4624A">
      <w:pPr>
        <w:rPr>
          <w:rFonts w:eastAsia="Times New Roman"/>
          <w:noProof/>
          <w:szCs w:val="24"/>
        </w:rPr>
      </w:pPr>
      <w:r w:rsidRPr="002D52A1">
        <w:rPr>
          <w:noProof/>
        </w:rPr>
        <w:t>Vyplácanie makrofinančnej pomoci závisí od úspešných preskúmaní</w:t>
      </w:r>
      <w:r w:rsidR="002D52A1">
        <w:rPr>
          <w:noProof/>
        </w:rPr>
        <w:t xml:space="preserve"> a </w:t>
      </w:r>
      <w:r w:rsidRPr="002D52A1">
        <w:rPr>
          <w:noProof/>
        </w:rPr>
        <w:t>je naviazané na splnenie politických podmienok spojených</w:t>
      </w:r>
      <w:r w:rsidR="002D52A1">
        <w:rPr>
          <w:noProof/>
        </w:rPr>
        <w:t xml:space="preserve"> s </w:t>
      </w:r>
      <w:r w:rsidRPr="002D52A1">
        <w:rPr>
          <w:noProof/>
        </w:rPr>
        <w:t>operáciou. Komisia dôsledne monitoruje dodržiavanie týchto podmienok.</w:t>
      </w:r>
    </w:p>
    <w:p w14:paraId="25F70B7C" w14:textId="0F1225A8" w:rsidR="00C4624A" w:rsidRPr="002D52A1" w:rsidRDefault="00D05784" w:rsidP="00D05784">
      <w:pPr>
        <w:pStyle w:val="ManualHeading3"/>
        <w:rPr>
          <w:noProof/>
          <w:szCs w:val="24"/>
        </w:rPr>
      </w:pPr>
      <w:bookmarkStart w:id="47" w:name="_Toc514938047"/>
      <w:bookmarkStart w:id="48" w:name="_Toc520485046"/>
      <w:r w:rsidRPr="00D05784">
        <w:t>2.2.2.</w:t>
      </w:r>
      <w:r w:rsidRPr="00D05784">
        <w:tab/>
      </w:r>
      <w:r w:rsidR="00C4624A" w:rsidRPr="002D52A1">
        <w:rPr>
          <w:noProof/>
        </w:rPr>
        <w:t>Informácie</w:t>
      </w:r>
      <w:r w:rsidR="002D52A1">
        <w:rPr>
          <w:noProof/>
        </w:rPr>
        <w:t xml:space="preserve"> o </w:t>
      </w:r>
      <w:r w:rsidR="00C4624A" w:rsidRPr="002D52A1">
        <w:rPr>
          <w:noProof/>
        </w:rPr>
        <w:t>zistených rizikách</w:t>
      </w:r>
      <w:r w:rsidR="002D52A1">
        <w:rPr>
          <w:noProof/>
        </w:rPr>
        <w:t xml:space="preserve"> a </w:t>
      </w:r>
      <w:r w:rsidR="00C4624A" w:rsidRPr="002D52A1">
        <w:rPr>
          <w:noProof/>
        </w:rPr>
        <w:t>systémoch vnútornej kontroly zavedených na ich zmierňovanie</w:t>
      </w:r>
      <w:bookmarkEnd w:id="47"/>
      <w:bookmarkEnd w:id="48"/>
    </w:p>
    <w:p w14:paraId="1180595C" w14:textId="77777777"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i/>
          <w:iCs/>
          <w:noProof/>
          <w:szCs w:val="24"/>
        </w:rPr>
      </w:pPr>
      <w:r w:rsidRPr="002D52A1">
        <w:rPr>
          <w:i/>
          <w:noProof/>
        </w:rPr>
        <w:t xml:space="preserve"> Zistené riziká</w:t>
      </w:r>
    </w:p>
    <w:p w14:paraId="6F9BB816" w14:textId="73066F60" w:rsidR="002D52A1" w:rsidRPr="002D52A1" w:rsidRDefault="00C4624A" w:rsidP="00C4624A">
      <w:pPr>
        <w:pBdr>
          <w:top w:val="single" w:sz="4" w:space="1" w:color="auto"/>
          <w:left w:val="single" w:sz="4" w:space="4" w:color="auto"/>
          <w:bottom w:val="single" w:sz="4" w:space="1" w:color="auto"/>
          <w:right w:val="single" w:sz="4" w:space="4" w:color="auto"/>
        </w:pBdr>
        <w:rPr>
          <w:noProof/>
        </w:rPr>
      </w:pPr>
      <w:r w:rsidRPr="002D52A1">
        <w:rPr>
          <w:noProof/>
        </w:rPr>
        <w:t>S navrhovanými operáciami makrofinančnej pomoci súvisia politické, správcovské</w:t>
      </w:r>
      <w:r w:rsidR="002D52A1">
        <w:rPr>
          <w:noProof/>
        </w:rPr>
        <w:t xml:space="preserve"> a </w:t>
      </w:r>
      <w:r w:rsidRPr="002D52A1">
        <w:rPr>
          <w:noProof/>
        </w:rPr>
        <w:t>metodické riziká</w:t>
      </w:r>
      <w:r w:rsidR="002D52A1" w:rsidRPr="002D52A1">
        <w:rPr>
          <w:noProof/>
        </w:rPr>
        <w:t>.</w:t>
      </w:r>
    </w:p>
    <w:p w14:paraId="3A49B096" w14:textId="03A1B9EE" w:rsidR="002D52A1" w:rsidRPr="002D52A1" w:rsidRDefault="00C4624A" w:rsidP="00C4624A">
      <w:pPr>
        <w:pBdr>
          <w:top w:val="single" w:sz="4" w:space="1" w:color="auto"/>
          <w:left w:val="single" w:sz="4" w:space="4" w:color="auto"/>
          <w:bottom w:val="single" w:sz="4" w:space="1" w:color="auto"/>
          <w:right w:val="single" w:sz="4" w:space="4" w:color="auto"/>
        </w:pBdr>
        <w:rPr>
          <w:noProof/>
        </w:rPr>
      </w:pPr>
      <w:r w:rsidRPr="002D52A1">
        <w:rPr>
          <w:noProof/>
        </w:rPr>
        <w:t>Hlavné riziko pre operáciu vyplýva</w:t>
      </w:r>
      <w:r w:rsidR="002D52A1">
        <w:rPr>
          <w:noProof/>
        </w:rPr>
        <w:t xml:space="preserve"> z </w:t>
      </w:r>
      <w:r w:rsidRPr="002D52A1">
        <w:rPr>
          <w:noProof/>
        </w:rPr>
        <w:t>pokračovania vojny spôsobenej neodôvodnenou</w:t>
      </w:r>
      <w:r w:rsidR="002D52A1">
        <w:rPr>
          <w:noProof/>
        </w:rPr>
        <w:t xml:space="preserve"> a </w:t>
      </w:r>
      <w:r w:rsidRPr="002D52A1">
        <w:rPr>
          <w:noProof/>
        </w:rPr>
        <w:t>nevyprovokovanou inváziou Ruska na Ukrajinu, ktorá by mohla mať ďalší negatívny vplyv na makroekonomickú stabilitu Ukrajiny</w:t>
      </w:r>
      <w:r w:rsidR="002D52A1">
        <w:rPr>
          <w:noProof/>
        </w:rPr>
        <w:t xml:space="preserve"> a </w:t>
      </w:r>
      <w:r w:rsidRPr="002D52A1">
        <w:rPr>
          <w:noProof/>
        </w:rPr>
        <w:t>ovplyvniť vyplácanie a/alebo splácanie navrhovanej makrofinančnej pomoci</w:t>
      </w:r>
      <w:r w:rsidR="002D52A1" w:rsidRPr="002D52A1">
        <w:rPr>
          <w:noProof/>
        </w:rPr>
        <w:t>.</w:t>
      </w:r>
    </w:p>
    <w:p w14:paraId="31F3E17A" w14:textId="360B0ADC"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noProof/>
          <w:szCs w:val="24"/>
        </w:rPr>
      </w:pPr>
      <w:r w:rsidRPr="002D52A1">
        <w:rPr>
          <w:noProof/>
        </w:rPr>
        <w:t>Existuje riziko, že makrofinančná pomoc by sa mohla použiť podvodne. Keďže makrofinančná pomoc nie je vyhradená na konkrétne výdavky (napríklad na rozdiel od projektového financovania), toto riziko sa vzťahuje na faktory ako všeobecná kvalita riadiacich systémov Národnej banky Ukrajiny</w:t>
      </w:r>
      <w:r w:rsidR="002D52A1">
        <w:rPr>
          <w:noProof/>
        </w:rPr>
        <w:t xml:space="preserve"> a </w:t>
      </w:r>
      <w:r w:rsidRPr="002D52A1">
        <w:rPr>
          <w:noProof/>
        </w:rPr>
        <w:t>ministerstva financií, administratívne postupy, funkcie kontroly</w:t>
      </w:r>
      <w:r w:rsidR="002D52A1">
        <w:rPr>
          <w:noProof/>
        </w:rPr>
        <w:t xml:space="preserve"> a </w:t>
      </w:r>
      <w:r w:rsidRPr="002D52A1">
        <w:rPr>
          <w:noProof/>
        </w:rPr>
        <w:t>dohľadu, bezpečnosť IT systémov</w:t>
      </w:r>
      <w:r w:rsidR="002D52A1">
        <w:rPr>
          <w:noProof/>
        </w:rPr>
        <w:t xml:space="preserve"> a </w:t>
      </w:r>
      <w:r w:rsidRPr="002D52A1">
        <w:rPr>
          <w:noProof/>
        </w:rPr>
        <w:t>primeranosť kapacity interného</w:t>
      </w:r>
      <w:r w:rsidR="002D52A1">
        <w:rPr>
          <w:noProof/>
        </w:rPr>
        <w:t xml:space="preserve"> a </w:t>
      </w:r>
      <w:r w:rsidRPr="002D52A1">
        <w:rPr>
          <w:noProof/>
        </w:rPr>
        <w:t>externého auditu.</w:t>
      </w:r>
    </w:p>
    <w:p w14:paraId="741DD6EA" w14:textId="510D4697"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noProof/>
          <w:szCs w:val="24"/>
        </w:rPr>
      </w:pPr>
      <w:r w:rsidRPr="002D52A1">
        <w:rPr>
          <w:noProof/>
        </w:rPr>
        <w:t>Tretie riziko vyplýva</w:t>
      </w:r>
      <w:r w:rsidR="002D52A1">
        <w:rPr>
          <w:noProof/>
        </w:rPr>
        <w:t xml:space="preserve"> z </w:t>
      </w:r>
      <w:r w:rsidRPr="002D52A1">
        <w:rPr>
          <w:noProof/>
        </w:rPr>
        <w:t>možnosti, že Ukrajina si nebude plniť svoje finančné záväzky voči EÚ vyplývajúce</w:t>
      </w:r>
      <w:r w:rsidR="002D52A1">
        <w:rPr>
          <w:noProof/>
        </w:rPr>
        <w:t xml:space="preserve"> z </w:t>
      </w:r>
      <w:r w:rsidRPr="002D52A1">
        <w:rPr>
          <w:noProof/>
        </w:rPr>
        <w:t>navrhovaného úveru</w:t>
      </w:r>
      <w:r w:rsidR="002D52A1">
        <w:rPr>
          <w:noProof/>
        </w:rPr>
        <w:t xml:space="preserve"> v </w:t>
      </w:r>
      <w:r w:rsidRPr="002D52A1">
        <w:rPr>
          <w:noProof/>
        </w:rPr>
        <w:t>rámci makrofinančnej pomoci (riziko zlyhania alebo úverové riziko), čo by mohlo byť spôsobené napríklad významným ďalším zhoršením platobnej bilancie</w:t>
      </w:r>
      <w:r w:rsidR="002D52A1">
        <w:rPr>
          <w:noProof/>
        </w:rPr>
        <w:t xml:space="preserve"> a </w:t>
      </w:r>
      <w:r w:rsidRPr="002D52A1">
        <w:rPr>
          <w:noProof/>
        </w:rPr>
        <w:t>fiškálnej pozície partnera.</w:t>
      </w:r>
    </w:p>
    <w:p w14:paraId="37CAC7CB" w14:textId="77777777"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i/>
          <w:iCs/>
          <w:noProof/>
          <w:szCs w:val="24"/>
        </w:rPr>
      </w:pPr>
      <w:r w:rsidRPr="002D52A1">
        <w:rPr>
          <w:i/>
          <w:noProof/>
        </w:rPr>
        <w:t>Systémy vnútornej kontroly</w:t>
      </w:r>
    </w:p>
    <w:p w14:paraId="795F8917" w14:textId="1A73BAC9"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noProof/>
          <w:szCs w:val="24"/>
        </w:rPr>
      </w:pPr>
      <w:r w:rsidRPr="002D52A1">
        <w:rPr>
          <w:noProof/>
        </w:rPr>
        <w:t>Za overovanie, kontrolu</w:t>
      </w:r>
      <w:r w:rsidR="002D52A1">
        <w:rPr>
          <w:noProof/>
        </w:rPr>
        <w:t xml:space="preserve"> a </w:t>
      </w:r>
      <w:r w:rsidRPr="002D52A1">
        <w:rPr>
          <w:noProof/>
        </w:rPr>
        <w:t>audit makrofinančnej pomoci bude zodpovedať Komisia vrátane Európskeho úradu pre boj proti podvodom (OLAF)</w:t>
      </w:r>
      <w:r w:rsidR="002D52A1">
        <w:rPr>
          <w:noProof/>
        </w:rPr>
        <w:t xml:space="preserve"> a </w:t>
      </w:r>
      <w:r w:rsidRPr="002D52A1">
        <w:rPr>
          <w:noProof/>
        </w:rPr>
        <w:t>Európsky dvor audítorov, ako sa predpokladá</w:t>
      </w:r>
      <w:r w:rsidR="002D52A1">
        <w:rPr>
          <w:noProof/>
        </w:rPr>
        <w:t xml:space="preserve"> v </w:t>
      </w:r>
      <w:r w:rsidRPr="002D52A1">
        <w:rPr>
          <w:noProof/>
        </w:rPr>
        <w:t>článku 129 nariadenia</w:t>
      </w:r>
      <w:r w:rsidR="002D52A1">
        <w:rPr>
          <w:noProof/>
        </w:rPr>
        <w:t xml:space="preserve"> o </w:t>
      </w:r>
      <w:r w:rsidRPr="002D52A1">
        <w:rPr>
          <w:noProof/>
        </w:rPr>
        <w:t>rozpočtových pravidlách.</w:t>
      </w:r>
    </w:p>
    <w:p w14:paraId="611B2918" w14:textId="0BAB4AFC"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noProof/>
          <w:szCs w:val="24"/>
        </w:rPr>
      </w:pPr>
      <w:r w:rsidRPr="002D52A1">
        <w:rPr>
          <w:noProof/>
        </w:rPr>
        <w:t>Komisia bude počas vykonávania pravidelne kontrolovať vyhlásenia partnera. Platba podlieha: 1. monitorovaniu zamestnancami GR ECFIN</w:t>
      </w:r>
      <w:r w:rsidR="002D52A1">
        <w:rPr>
          <w:noProof/>
        </w:rPr>
        <w:t xml:space="preserve"> a </w:t>
      </w:r>
      <w:r w:rsidRPr="002D52A1">
        <w:rPr>
          <w:noProof/>
        </w:rPr>
        <w:t>2. bežnému kontrolnému postupu stanovenému finančným tokom (model 2) používaným</w:t>
      </w:r>
      <w:r w:rsidR="002D52A1">
        <w:rPr>
          <w:noProof/>
        </w:rPr>
        <w:t xml:space="preserve"> v </w:t>
      </w:r>
      <w:r w:rsidRPr="002D52A1">
        <w:rPr>
          <w:noProof/>
        </w:rPr>
        <w:t xml:space="preserve">GR ECFIN. Vyplácanie týkajúce sa operácií makrofinančnej pomoci môže podliehať ďalším nezávislým (listinným a/alebo na mieste) overeniam </w:t>
      </w:r>
      <w:r w:rsidRPr="002D52A1">
        <w:rPr>
          <w:i/>
          <w:noProof/>
        </w:rPr>
        <w:t>ex post</w:t>
      </w:r>
      <w:r w:rsidRPr="002D52A1">
        <w:rPr>
          <w:noProof/>
        </w:rPr>
        <w:t xml:space="preserve"> úradníkmi tímu pre kontroly </w:t>
      </w:r>
      <w:r w:rsidRPr="002D52A1">
        <w:rPr>
          <w:i/>
          <w:noProof/>
        </w:rPr>
        <w:t>ex post</w:t>
      </w:r>
      <w:r w:rsidRPr="002D52A1">
        <w:rPr>
          <w:noProof/>
        </w:rPr>
        <w:t xml:space="preserve"> daného GR. Takéto overenia sa môžu začať aj na žiadosť zodpovedného povoľujúceho úradníka vymenovaného subdelegovaním. Prerušenie</w:t>
      </w:r>
      <w:r w:rsidR="002D52A1">
        <w:rPr>
          <w:noProof/>
        </w:rPr>
        <w:t xml:space="preserve"> a </w:t>
      </w:r>
      <w:r w:rsidRPr="002D52A1">
        <w:rPr>
          <w:noProof/>
        </w:rPr>
        <w:t>pozastavenie platieb, finančné opravy (realizované Komisiou)</w:t>
      </w:r>
      <w:r w:rsidR="002D52A1">
        <w:rPr>
          <w:noProof/>
        </w:rPr>
        <w:t xml:space="preserve"> a </w:t>
      </w:r>
      <w:r w:rsidRPr="002D52A1">
        <w:rPr>
          <w:noProof/>
        </w:rPr>
        <w:t>vymáhanie prostriedkov sa môžu vykonávať, ak je to potrebné (dosiaľ sa nevyskytli),</w:t>
      </w:r>
      <w:r w:rsidR="002D52A1">
        <w:rPr>
          <w:noProof/>
        </w:rPr>
        <w:t xml:space="preserve"> a </w:t>
      </w:r>
      <w:r w:rsidRPr="002D52A1">
        <w:rPr>
          <w:noProof/>
        </w:rPr>
        <w:t>vyslovene sa predpokladajú</w:t>
      </w:r>
      <w:r w:rsidR="002D52A1">
        <w:rPr>
          <w:noProof/>
        </w:rPr>
        <w:t xml:space="preserve"> v </w:t>
      </w:r>
      <w:r w:rsidRPr="002D52A1">
        <w:rPr>
          <w:noProof/>
        </w:rPr>
        <w:t>dohodách</w:t>
      </w:r>
      <w:r w:rsidR="002D52A1">
        <w:rPr>
          <w:noProof/>
        </w:rPr>
        <w:t xml:space="preserve"> o </w:t>
      </w:r>
      <w:r w:rsidRPr="002D52A1">
        <w:rPr>
          <w:noProof/>
        </w:rPr>
        <w:t>financovaní</w:t>
      </w:r>
      <w:r w:rsidR="002D52A1">
        <w:rPr>
          <w:noProof/>
        </w:rPr>
        <w:t xml:space="preserve"> s </w:t>
      </w:r>
      <w:r w:rsidRPr="002D52A1">
        <w:rPr>
          <w:noProof/>
        </w:rPr>
        <w:t>partnermi.</w:t>
      </w:r>
    </w:p>
    <w:p w14:paraId="23FB0C70" w14:textId="494249B3" w:rsidR="002D52A1" w:rsidRPr="002D52A1" w:rsidRDefault="00D05784" w:rsidP="00D05784">
      <w:pPr>
        <w:pStyle w:val="ManualHeading3"/>
        <w:rPr>
          <w:noProof/>
        </w:rPr>
      </w:pPr>
      <w:bookmarkStart w:id="49" w:name="_Toc514938048"/>
      <w:bookmarkStart w:id="50" w:name="_Toc520485047"/>
      <w:r w:rsidRPr="00D05784">
        <w:t>2.2.3.</w:t>
      </w:r>
      <w:r w:rsidRPr="00D05784">
        <w:tab/>
      </w:r>
      <w:r w:rsidR="00C4624A" w:rsidRPr="002D52A1">
        <w:rPr>
          <w:noProof/>
        </w:rPr>
        <w:t>Odhad</w:t>
      </w:r>
      <w:r w:rsidR="002D52A1">
        <w:rPr>
          <w:noProof/>
        </w:rPr>
        <w:t xml:space="preserve"> a </w:t>
      </w:r>
      <w:r w:rsidR="00C4624A" w:rsidRPr="002D52A1">
        <w:rPr>
          <w:noProof/>
        </w:rPr>
        <w:t>opodstatnenie nákladovej účinnosti kontrol (pomer medzi nákladmi na kontroly</w:t>
      </w:r>
      <w:r w:rsidR="002D52A1">
        <w:rPr>
          <w:noProof/>
        </w:rPr>
        <w:t xml:space="preserve"> a </w:t>
      </w:r>
      <w:r w:rsidR="00C4624A" w:rsidRPr="002D52A1">
        <w:rPr>
          <w:noProof/>
        </w:rPr>
        <w:t>hodnotou súvisiacich riadených finančných prostriedkov)</w:t>
      </w:r>
      <w:r w:rsidR="002D52A1">
        <w:rPr>
          <w:noProof/>
        </w:rPr>
        <w:t xml:space="preserve"> a </w:t>
      </w:r>
      <w:r w:rsidR="00C4624A" w:rsidRPr="002D52A1">
        <w:rPr>
          <w:noProof/>
        </w:rPr>
        <w:t>posúdenie očakávaných úrovní rizika chyby (pri platbe</w:t>
      </w:r>
      <w:r w:rsidR="002D52A1">
        <w:rPr>
          <w:noProof/>
        </w:rPr>
        <w:t xml:space="preserve"> a </w:t>
      </w:r>
      <w:r w:rsidR="00C4624A" w:rsidRPr="002D52A1">
        <w:rPr>
          <w:noProof/>
        </w:rPr>
        <w:t>uzavretí)</w:t>
      </w:r>
      <w:bookmarkEnd w:id="49"/>
      <w:bookmarkEnd w:id="50"/>
    </w:p>
    <w:p w14:paraId="47D8A9FF" w14:textId="29E94F84" w:rsidR="00C4624A" w:rsidRPr="002D52A1" w:rsidRDefault="00C4624A" w:rsidP="00C4624A">
      <w:pPr>
        <w:pBdr>
          <w:top w:val="single" w:sz="4" w:space="1" w:color="auto"/>
          <w:left w:val="single" w:sz="4" w:space="4" w:color="auto"/>
          <w:bottom w:val="single" w:sz="4" w:space="1" w:color="auto"/>
          <w:right w:val="single" w:sz="4" w:space="4" w:color="auto"/>
        </w:pBdr>
        <w:rPr>
          <w:rFonts w:eastAsia="Times New Roman"/>
          <w:noProof/>
          <w:szCs w:val="24"/>
        </w:rPr>
      </w:pPr>
      <w:r w:rsidRPr="002D52A1">
        <w:rPr>
          <w:noProof/>
        </w:rPr>
        <w:t>Zavedené systémy kontroly zabezpečili</w:t>
      </w:r>
      <w:r w:rsidR="002D52A1">
        <w:rPr>
          <w:noProof/>
        </w:rPr>
        <w:t xml:space="preserve"> v </w:t>
      </w:r>
      <w:r w:rsidRPr="002D52A1">
        <w:rPr>
          <w:noProof/>
        </w:rPr>
        <w:t>prípade platieb makrofinančnej pomoci účinnú mieru chybovosti 0</w:t>
      </w:r>
      <w:r w:rsidR="002D52A1">
        <w:rPr>
          <w:noProof/>
        </w:rPr>
        <w:t> %</w:t>
      </w:r>
      <w:r w:rsidRPr="002D52A1">
        <w:rPr>
          <w:noProof/>
        </w:rPr>
        <w:t>. Nie sú známe prípady podvodu, korupcie ani nezákonnej činnosti. Operácie makrofinančnej pomoci majú jasnú intervenčnú logiku – takú, ktorá Komisii umožňuje hodnotiť ich vplyv. Kontroly umožňujú potvrdenie uistenia</w:t>
      </w:r>
      <w:r w:rsidR="002D52A1">
        <w:rPr>
          <w:noProof/>
        </w:rPr>
        <w:t xml:space="preserve"> a </w:t>
      </w:r>
      <w:r w:rsidRPr="002D52A1">
        <w:rPr>
          <w:noProof/>
        </w:rPr>
        <w:t>dosiahnutia politických cieľov</w:t>
      </w:r>
      <w:r w:rsidR="002D52A1">
        <w:rPr>
          <w:noProof/>
        </w:rPr>
        <w:t xml:space="preserve"> a </w:t>
      </w:r>
      <w:r w:rsidRPr="002D52A1">
        <w:rPr>
          <w:noProof/>
        </w:rPr>
        <w:t>priorít.</w:t>
      </w:r>
    </w:p>
    <w:p w14:paraId="667657E3" w14:textId="14382724" w:rsidR="002D52A1" w:rsidRPr="002D52A1" w:rsidRDefault="00D05784" w:rsidP="00D05784">
      <w:pPr>
        <w:pStyle w:val="ManualHeading2"/>
        <w:rPr>
          <w:noProof/>
        </w:rPr>
      </w:pPr>
      <w:bookmarkStart w:id="51" w:name="_Toc514938049"/>
      <w:bookmarkStart w:id="52" w:name="_Toc520485048"/>
      <w:r w:rsidRPr="00D05784">
        <w:t>2.3.</w:t>
      </w:r>
      <w:r w:rsidRPr="00D05784">
        <w:tab/>
      </w:r>
      <w:r w:rsidR="00C4624A" w:rsidRPr="002D52A1">
        <w:rPr>
          <w:noProof/>
        </w:rPr>
        <w:t>Opatrenia na predchádzanie podvodom</w:t>
      </w:r>
      <w:r w:rsidR="002D52A1">
        <w:rPr>
          <w:noProof/>
        </w:rPr>
        <w:t xml:space="preserve"> a </w:t>
      </w:r>
      <w:r w:rsidR="00C4624A" w:rsidRPr="002D52A1">
        <w:rPr>
          <w:noProof/>
        </w:rPr>
        <w:t>nezrovnalostiam</w:t>
      </w:r>
      <w:bookmarkEnd w:id="51"/>
      <w:bookmarkEnd w:id="52"/>
    </w:p>
    <w:p w14:paraId="039D75A3" w14:textId="6F16E7B4" w:rsidR="00C4624A" w:rsidRPr="002D52A1" w:rsidRDefault="00C4624A" w:rsidP="00C4624A">
      <w:pPr>
        <w:pStyle w:val="Text1"/>
        <w:rPr>
          <w:noProof/>
          <w:sz w:val="20"/>
          <w:szCs w:val="18"/>
        </w:rPr>
      </w:pPr>
      <w:r w:rsidRPr="002D52A1">
        <w:rPr>
          <w:noProof/>
          <w:sz w:val="20"/>
        </w:rPr>
        <w:t>Uveďte existujúce alebo plánované preventívne</w:t>
      </w:r>
      <w:r w:rsidR="002D52A1">
        <w:rPr>
          <w:noProof/>
          <w:sz w:val="20"/>
        </w:rPr>
        <w:t xml:space="preserve"> a </w:t>
      </w:r>
      <w:r w:rsidRPr="002D52A1">
        <w:rPr>
          <w:noProof/>
          <w:sz w:val="20"/>
        </w:rPr>
        <w:t>ochranné opatrenia, napr. zo stratégie boja proti podvodom.</w:t>
      </w:r>
    </w:p>
    <w:p w14:paraId="072F14EC" w14:textId="5EFDB161" w:rsidR="002D52A1" w:rsidRPr="002D52A1" w:rsidRDefault="00C4624A" w:rsidP="00C4624A">
      <w:pPr>
        <w:rPr>
          <w:noProof/>
        </w:rPr>
      </w:pPr>
      <w:r w:rsidRPr="002D52A1">
        <w:rPr>
          <w:noProof/>
        </w:rPr>
        <w:t>Na zmiernenie rizík podvodného používania sa prijalo</w:t>
      </w:r>
      <w:r w:rsidR="002D52A1">
        <w:rPr>
          <w:noProof/>
        </w:rPr>
        <w:t xml:space="preserve"> a </w:t>
      </w:r>
      <w:r w:rsidRPr="002D52A1">
        <w:rPr>
          <w:noProof/>
        </w:rPr>
        <w:t>prijme niekoľko opatrení</w:t>
      </w:r>
      <w:r w:rsidR="002D52A1" w:rsidRPr="002D52A1">
        <w:rPr>
          <w:noProof/>
        </w:rPr>
        <w:t>:</w:t>
      </w:r>
    </w:p>
    <w:p w14:paraId="2E74B699" w14:textId="26E873C1" w:rsidR="002D52A1" w:rsidRPr="002D52A1" w:rsidRDefault="00C4624A" w:rsidP="00C4624A">
      <w:pPr>
        <w:rPr>
          <w:noProof/>
        </w:rPr>
      </w:pPr>
      <w:r w:rsidRPr="002D52A1">
        <w:rPr>
          <w:noProof/>
        </w:rPr>
        <w:t>Po prvé, dohoda</w:t>
      </w:r>
      <w:r w:rsidR="002D52A1">
        <w:rPr>
          <w:noProof/>
        </w:rPr>
        <w:t xml:space="preserve"> o </w:t>
      </w:r>
      <w:r w:rsidRPr="002D52A1">
        <w:rPr>
          <w:noProof/>
        </w:rPr>
        <w:t>úvere bude zahŕňať súbor ustanovení</w:t>
      </w:r>
      <w:r w:rsidR="002D52A1">
        <w:rPr>
          <w:noProof/>
        </w:rPr>
        <w:t xml:space="preserve"> o </w:t>
      </w:r>
      <w:r w:rsidRPr="002D52A1">
        <w:rPr>
          <w:noProof/>
        </w:rPr>
        <w:t>inšpekciách, predchádzaní podvodom, auditoch</w:t>
      </w:r>
      <w:r w:rsidR="002D52A1">
        <w:rPr>
          <w:noProof/>
        </w:rPr>
        <w:t xml:space="preserve"> a </w:t>
      </w:r>
      <w:r w:rsidRPr="002D52A1">
        <w:rPr>
          <w:noProof/>
        </w:rPr>
        <w:t>vymáhaní finančných prostriedkov</w:t>
      </w:r>
      <w:r w:rsidR="002D52A1">
        <w:rPr>
          <w:noProof/>
        </w:rPr>
        <w:t xml:space="preserve"> v </w:t>
      </w:r>
      <w:r w:rsidRPr="002D52A1">
        <w:rPr>
          <w:noProof/>
        </w:rPr>
        <w:t>prípade podvodu alebo korupcie. Ďalej sa predpokladá, že</w:t>
      </w:r>
      <w:r w:rsidR="002D52A1">
        <w:rPr>
          <w:noProof/>
        </w:rPr>
        <w:t xml:space="preserve"> s </w:t>
      </w:r>
      <w:r w:rsidRPr="002D52A1">
        <w:rPr>
          <w:noProof/>
        </w:rPr>
        <w:t>pomocou bude spojených niekoľko požiadaviek na podávanie správ</w:t>
      </w:r>
      <w:r w:rsidR="002D52A1">
        <w:rPr>
          <w:noProof/>
        </w:rPr>
        <w:t xml:space="preserve"> s </w:t>
      </w:r>
      <w:r w:rsidRPr="002D52A1">
        <w:rPr>
          <w:noProof/>
        </w:rPr>
        <w:t>cieľom posilniť transparentnosť</w:t>
      </w:r>
      <w:r w:rsidR="002D52A1">
        <w:rPr>
          <w:noProof/>
        </w:rPr>
        <w:t xml:space="preserve"> a </w:t>
      </w:r>
      <w:r w:rsidRPr="002D52A1">
        <w:rPr>
          <w:noProof/>
        </w:rPr>
        <w:t>zodpovednosť za využívanie finančných prostriedkov. Pomoc sa zároveň vyplatí na osobitný účet</w:t>
      </w:r>
      <w:r w:rsidR="002D52A1">
        <w:rPr>
          <w:noProof/>
        </w:rPr>
        <w:t xml:space="preserve"> v </w:t>
      </w:r>
      <w:r w:rsidRPr="002D52A1">
        <w:rPr>
          <w:noProof/>
        </w:rPr>
        <w:t>Národnej banke Ukrajiny</w:t>
      </w:r>
      <w:r w:rsidR="002D52A1" w:rsidRPr="002D52A1">
        <w:rPr>
          <w:noProof/>
        </w:rPr>
        <w:t>.</w:t>
      </w:r>
    </w:p>
    <w:p w14:paraId="329369D5" w14:textId="19985738" w:rsidR="002D52A1" w:rsidRPr="002D52A1" w:rsidRDefault="00C4624A" w:rsidP="00C4624A">
      <w:pPr>
        <w:rPr>
          <w:noProof/>
        </w:rPr>
      </w:pPr>
      <w:r w:rsidRPr="002D52A1">
        <w:rPr>
          <w:noProof/>
        </w:rPr>
        <w:t>Okrem toho</w:t>
      </w:r>
      <w:r w:rsidR="002D52A1">
        <w:rPr>
          <w:noProof/>
        </w:rPr>
        <w:t xml:space="preserve"> v </w:t>
      </w:r>
      <w:r w:rsidRPr="002D52A1">
        <w:rPr>
          <w:noProof/>
        </w:rPr>
        <w:t>súlade</w:t>
      </w:r>
      <w:r w:rsidR="002D52A1">
        <w:rPr>
          <w:noProof/>
        </w:rPr>
        <w:t xml:space="preserve"> s </w:t>
      </w:r>
      <w:r w:rsidRPr="002D52A1">
        <w:rPr>
          <w:noProof/>
        </w:rPr>
        <w:t>požiadavkami nariadenia</w:t>
      </w:r>
      <w:r w:rsidR="002D52A1">
        <w:rPr>
          <w:noProof/>
        </w:rPr>
        <w:t xml:space="preserve"> o </w:t>
      </w:r>
      <w:r w:rsidRPr="002D52A1">
        <w:rPr>
          <w:noProof/>
        </w:rPr>
        <w:t>rozpočtových pravidlách uskutočnia útvary Komisie operatívne posúdenie finančných</w:t>
      </w:r>
      <w:r w:rsidR="002D52A1">
        <w:rPr>
          <w:noProof/>
        </w:rPr>
        <w:t xml:space="preserve"> a </w:t>
      </w:r>
      <w:r w:rsidRPr="002D52A1">
        <w:rPr>
          <w:noProof/>
        </w:rPr>
        <w:t>administratívnych tokov Ukrajiny, aby overili, že zavedené postupy na riadenie programu pomoci vrátane makrofinančnej pomoci poskytujú primerané záruky. Predchádzajúce posúdenie sa uskutočnilo</w:t>
      </w:r>
      <w:r w:rsidR="002D52A1">
        <w:rPr>
          <w:noProof/>
        </w:rPr>
        <w:t xml:space="preserve"> v </w:t>
      </w:r>
      <w:r w:rsidRPr="002D52A1">
        <w:rPr>
          <w:noProof/>
        </w:rPr>
        <w:t>júni 2020</w:t>
      </w:r>
      <w:r w:rsidR="002D52A1">
        <w:rPr>
          <w:noProof/>
        </w:rPr>
        <w:t xml:space="preserve"> a </w:t>
      </w:r>
      <w:r w:rsidRPr="002D52A1">
        <w:rPr>
          <w:noProof/>
        </w:rPr>
        <w:t>týka sa oblastí, akými sú zostavovanie</w:t>
      </w:r>
      <w:r w:rsidR="002D52A1">
        <w:rPr>
          <w:noProof/>
        </w:rPr>
        <w:t xml:space="preserve"> a </w:t>
      </w:r>
      <w:r w:rsidRPr="002D52A1">
        <w:rPr>
          <w:noProof/>
        </w:rPr>
        <w:t>plnenie rozpočtu, verejná vnútorná finančná kontrola, interný</w:t>
      </w:r>
      <w:r w:rsidR="002D52A1">
        <w:rPr>
          <w:noProof/>
        </w:rPr>
        <w:t xml:space="preserve"> a </w:t>
      </w:r>
      <w:r w:rsidRPr="002D52A1">
        <w:rPr>
          <w:noProof/>
        </w:rPr>
        <w:t>externý audit, verejné obstarávanie, riadenie hotovosti</w:t>
      </w:r>
      <w:r w:rsidR="002D52A1">
        <w:rPr>
          <w:noProof/>
        </w:rPr>
        <w:t xml:space="preserve"> a </w:t>
      </w:r>
      <w:r w:rsidRPr="002D52A1">
        <w:rPr>
          <w:noProof/>
        </w:rPr>
        <w:t>verejného dlhu, ako aj nezávislosť centrálnej banky. Komisia vykoná druhé operatívne posúdenie počas vykonávania navrhovanej operácie výnimočnej makrofinančnej pomoci</w:t>
      </w:r>
      <w:r w:rsidR="002D52A1" w:rsidRPr="002D52A1">
        <w:rPr>
          <w:noProof/>
        </w:rPr>
        <w:t>.</w:t>
      </w:r>
    </w:p>
    <w:p w14:paraId="50D67839" w14:textId="613D2139" w:rsidR="00C4624A" w:rsidRPr="002D52A1" w:rsidRDefault="00C4624A" w:rsidP="00C4624A">
      <w:pPr>
        <w:rPr>
          <w:rFonts w:eastAsia="Times New Roman"/>
          <w:noProof/>
          <w:szCs w:val="24"/>
        </w:rPr>
      </w:pPr>
      <w:r w:rsidRPr="002D52A1">
        <w:rPr>
          <w:noProof/>
        </w:rPr>
        <w:t>Napokon, za overovanie, kontrolu</w:t>
      </w:r>
      <w:r w:rsidR="002D52A1">
        <w:rPr>
          <w:noProof/>
        </w:rPr>
        <w:t xml:space="preserve"> a </w:t>
      </w:r>
      <w:r w:rsidRPr="002D52A1">
        <w:rPr>
          <w:noProof/>
        </w:rPr>
        <w:t>audit pomoci bude zodpovedať Komisia vrátane Európskeho úradu pre boj proti podvodom (OLAF)</w:t>
      </w:r>
      <w:r w:rsidR="002D52A1">
        <w:rPr>
          <w:noProof/>
        </w:rPr>
        <w:t xml:space="preserve"> a </w:t>
      </w:r>
      <w:r w:rsidRPr="002D52A1">
        <w:rPr>
          <w:noProof/>
        </w:rPr>
        <w:t>Európsky dvor audítorov, ako sa predpokladá</w:t>
      </w:r>
      <w:r w:rsidR="002D52A1">
        <w:rPr>
          <w:noProof/>
        </w:rPr>
        <w:t xml:space="preserve"> v </w:t>
      </w:r>
      <w:r w:rsidRPr="002D52A1">
        <w:rPr>
          <w:noProof/>
        </w:rPr>
        <w:t>článku 129 nariadenia</w:t>
      </w:r>
      <w:r w:rsidR="002D52A1">
        <w:rPr>
          <w:noProof/>
        </w:rPr>
        <w:t xml:space="preserve"> o </w:t>
      </w:r>
      <w:r w:rsidRPr="002D52A1">
        <w:rPr>
          <w:noProof/>
        </w:rPr>
        <w:t>rozpočtových pravidlách.</w:t>
      </w:r>
    </w:p>
    <w:p w14:paraId="4ECF0157" w14:textId="77777777" w:rsidR="00C4624A" w:rsidRPr="002D52A1" w:rsidRDefault="00C4624A" w:rsidP="00C4624A">
      <w:pPr>
        <w:rPr>
          <w:rFonts w:eastAsia="Calibri"/>
          <w:noProof/>
          <w:szCs w:val="24"/>
        </w:rPr>
        <w:sectPr w:rsidR="00C4624A" w:rsidRPr="002D52A1" w:rsidSect="00A6081D">
          <w:pgSz w:w="11907" w:h="16840" w:code="9"/>
          <w:pgMar w:top="1134" w:right="1418" w:bottom="1134" w:left="1418" w:header="709" w:footer="709" w:gutter="0"/>
          <w:cols w:space="708"/>
          <w:docGrid w:linePitch="360"/>
        </w:sectPr>
      </w:pPr>
    </w:p>
    <w:p w14:paraId="2BE1E3DE" w14:textId="28425809" w:rsidR="002D52A1" w:rsidRPr="002D52A1" w:rsidRDefault="00D05784" w:rsidP="00D05784">
      <w:pPr>
        <w:pStyle w:val="ManualHeading1"/>
        <w:rPr>
          <w:noProof/>
        </w:rPr>
      </w:pPr>
      <w:bookmarkStart w:id="53" w:name="_Toc514938050"/>
      <w:bookmarkStart w:id="54" w:name="_Toc520485049"/>
      <w:r w:rsidRPr="00D05784">
        <w:t>3.</w:t>
      </w:r>
      <w:r w:rsidRPr="00D05784">
        <w:tab/>
      </w:r>
      <w:r w:rsidR="00C4624A" w:rsidRPr="002D52A1">
        <w:rPr>
          <w:noProof/>
        </w:rPr>
        <w:t>ODHADOVANÝ FINANČNÝ VPLYV NÁVRHU/INICIATÍVY</w:t>
      </w:r>
      <w:bookmarkEnd w:id="53"/>
      <w:bookmarkEnd w:id="54"/>
    </w:p>
    <w:p w14:paraId="3117337D" w14:textId="2341A421" w:rsidR="002D52A1" w:rsidRPr="002D52A1" w:rsidRDefault="00D05784" w:rsidP="00D05784">
      <w:pPr>
        <w:pStyle w:val="ManualHeading2"/>
        <w:rPr>
          <w:noProof/>
        </w:rPr>
      </w:pPr>
      <w:bookmarkStart w:id="55" w:name="_Toc514938051"/>
      <w:bookmarkStart w:id="56" w:name="_Toc520485050"/>
      <w:r w:rsidRPr="00D05784">
        <w:t>3.1.</w:t>
      </w:r>
      <w:r w:rsidRPr="00D05784">
        <w:tab/>
      </w:r>
      <w:r w:rsidR="00C4624A" w:rsidRPr="002D52A1">
        <w:rPr>
          <w:noProof/>
        </w:rPr>
        <w:t>Príslušné okruhy viacročného finančného rámca</w:t>
      </w:r>
      <w:r w:rsidR="002D52A1">
        <w:rPr>
          <w:noProof/>
        </w:rPr>
        <w:t xml:space="preserve"> a </w:t>
      </w:r>
      <w:r w:rsidR="00C4624A" w:rsidRPr="002D52A1">
        <w:rPr>
          <w:noProof/>
        </w:rPr>
        <w:t>rozpočtové riadky výdavkov</w:t>
      </w:r>
      <w:bookmarkEnd w:id="55"/>
      <w:bookmarkEnd w:id="56"/>
    </w:p>
    <w:p w14:paraId="5A7543FF" w14:textId="77777777" w:rsidR="002D52A1" w:rsidRPr="002D52A1" w:rsidRDefault="00C4624A" w:rsidP="00C4624A">
      <w:pPr>
        <w:pStyle w:val="ListBullet1"/>
        <w:rPr>
          <w:noProof/>
        </w:rPr>
      </w:pPr>
      <w:r w:rsidRPr="002D52A1">
        <w:rPr>
          <w:noProof/>
        </w:rPr>
        <w:t>Existujúce rozpočtové riadky</w:t>
      </w:r>
    </w:p>
    <w:p w14:paraId="5EA5887B" w14:textId="0500EF1C" w:rsidR="00C4624A" w:rsidRPr="002D52A1" w:rsidRDefault="00C4624A" w:rsidP="00C4624A">
      <w:pPr>
        <w:pStyle w:val="Text1"/>
        <w:rPr>
          <w:i/>
          <w:noProof/>
        </w:rPr>
      </w:pPr>
      <w:r w:rsidRPr="002D52A1">
        <w:rPr>
          <w:i/>
          <w:noProof/>
          <w:u w:val="single"/>
        </w:rPr>
        <w:t>V poradí</w:t>
      </w:r>
      <w:r w:rsidRPr="002D52A1">
        <w:rPr>
          <w:i/>
          <w:noProof/>
        </w:rPr>
        <w:t>,</w:t>
      </w:r>
      <w:r w:rsidR="002D52A1">
        <w:rPr>
          <w:i/>
          <w:noProof/>
        </w:rPr>
        <w:t xml:space="preserve"> v </w:t>
      </w:r>
      <w:r w:rsidRPr="002D52A1">
        <w:rPr>
          <w:i/>
          <w:noProof/>
        </w:rPr>
        <w:t>akom za sebou nasledujú okruhy viacročného finančného rámca</w:t>
      </w:r>
      <w:r w:rsidR="002D52A1">
        <w:rPr>
          <w:i/>
          <w:noProof/>
        </w:rPr>
        <w:t xml:space="preserve"> a </w:t>
      </w:r>
      <w:r w:rsidRPr="002D52A1">
        <w:rPr>
          <w:i/>
          <w:noProof/>
        </w:rPr>
        <w:t>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829"/>
        <w:gridCol w:w="1080"/>
        <w:gridCol w:w="956"/>
        <w:gridCol w:w="1080"/>
        <w:gridCol w:w="956"/>
        <w:gridCol w:w="1448"/>
      </w:tblGrid>
      <w:tr w:rsidR="00C4624A" w:rsidRPr="002D52A1" w14:paraId="702EA39D" w14:textId="77777777" w:rsidTr="00AD77F1">
        <w:tc>
          <w:tcPr>
            <w:tcW w:w="1211" w:type="dxa"/>
            <w:vMerge w:val="restart"/>
            <w:vAlign w:val="center"/>
          </w:tcPr>
          <w:p w14:paraId="0F71B685" w14:textId="77777777" w:rsidR="00C4624A" w:rsidRPr="00AD77F1" w:rsidRDefault="00C4624A" w:rsidP="00461AA0">
            <w:pPr>
              <w:spacing w:before="60" w:after="60"/>
              <w:jc w:val="center"/>
              <w:rPr>
                <w:noProof/>
                <w:sz w:val="18"/>
                <w:szCs w:val="18"/>
              </w:rPr>
            </w:pPr>
            <w:r w:rsidRPr="00AD77F1">
              <w:rPr>
                <w:noProof/>
                <w:sz w:val="18"/>
                <w:szCs w:val="18"/>
              </w:rPr>
              <w:t>Okruh viacročného finančného rámca</w:t>
            </w:r>
          </w:p>
        </w:tc>
        <w:tc>
          <w:tcPr>
            <w:tcW w:w="3829" w:type="dxa"/>
            <w:vAlign w:val="center"/>
          </w:tcPr>
          <w:p w14:paraId="1873CC02" w14:textId="77777777" w:rsidR="00C4624A" w:rsidRPr="00AD77F1" w:rsidRDefault="00C4624A" w:rsidP="00461AA0">
            <w:pPr>
              <w:spacing w:before="60" w:after="60"/>
              <w:jc w:val="center"/>
              <w:rPr>
                <w:noProof/>
                <w:sz w:val="18"/>
                <w:szCs w:val="18"/>
              </w:rPr>
            </w:pPr>
            <w:r w:rsidRPr="00AD77F1">
              <w:rPr>
                <w:noProof/>
                <w:sz w:val="18"/>
                <w:szCs w:val="18"/>
              </w:rPr>
              <w:t>Rozpočtový riadok</w:t>
            </w:r>
          </w:p>
        </w:tc>
        <w:tc>
          <w:tcPr>
            <w:tcW w:w="1080" w:type="dxa"/>
            <w:vAlign w:val="center"/>
          </w:tcPr>
          <w:p w14:paraId="2D662B57" w14:textId="77777777" w:rsidR="00C4624A" w:rsidRPr="00AD77F1" w:rsidRDefault="00C4624A" w:rsidP="00461AA0">
            <w:pPr>
              <w:spacing w:before="60" w:after="60"/>
              <w:jc w:val="center"/>
              <w:rPr>
                <w:noProof/>
                <w:sz w:val="18"/>
                <w:szCs w:val="18"/>
              </w:rPr>
            </w:pPr>
            <w:r w:rsidRPr="00AD77F1">
              <w:rPr>
                <w:noProof/>
                <w:sz w:val="18"/>
                <w:szCs w:val="18"/>
              </w:rPr>
              <w:t>Druh výdavkov</w:t>
            </w:r>
          </w:p>
        </w:tc>
        <w:tc>
          <w:tcPr>
            <w:tcW w:w="4440" w:type="dxa"/>
            <w:gridSpan w:val="4"/>
            <w:vAlign w:val="center"/>
          </w:tcPr>
          <w:p w14:paraId="43996E70" w14:textId="77777777" w:rsidR="00C4624A" w:rsidRPr="00AD77F1" w:rsidRDefault="00C4624A" w:rsidP="00461AA0">
            <w:pPr>
              <w:spacing w:before="60" w:after="60"/>
              <w:jc w:val="center"/>
              <w:rPr>
                <w:noProof/>
                <w:sz w:val="18"/>
                <w:szCs w:val="18"/>
              </w:rPr>
            </w:pPr>
            <w:r w:rsidRPr="00AD77F1">
              <w:rPr>
                <w:noProof/>
                <w:sz w:val="18"/>
                <w:szCs w:val="18"/>
              </w:rPr>
              <w:t xml:space="preserve">Príspevky </w:t>
            </w:r>
          </w:p>
        </w:tc>
      </w:tr>
      <w:tr w:rsidR="00C4624A" w:rsidRPr="002D52A1" w14:paraId="4B373C66" w14:textId="77777777" w:rsidTr="00AD77F1">
        <w:tc>
          <w:tcPr>
            <w:tcW w:w="1211" w:type="dxa"/>
            <w:vMerge/>
            <w:vAlign w:val="center"/>
          </w:tcPr>
          <w:p w14:paraId="4847B193" w14:textId="77777777" w:rsidR="00C4624A" w:rsidRPr="00AD77F1" w:rsidRDefault="00C4624A" w:rsidP="00461AA0">
            <w:pPr>
              <w:jc w:val="center"/>
              <w:rPr>
                <w:noProof/>
                <w:sz w:val="18"/>
                <w:szCs w:val="18"/>
              </w:rPr>
            </w:pPr>
          </w:p>
        </w:tc>
        <w:tc>
          <w:tcPr>
            <w:tcW w:w="3829" w:type="dxa"/>
            <w:vAlign w:val="center"/>
          </w:tcPr>
          <w:p w14:paraId="017431D8" w14:textId="77777777" w:rsidR="00C4624A" w:rsidRPr="00AD77F1" w:rsidRDefault="00C4624A" w:rsidP="00461AA0">
            <w:pPr>
              <w:rPr>
                <w:noProof/>
                <w:sz w:val="18"/>
                <w:szCs w:val="18"/>
              </w:rPr>
            </w:pPr>
            <w:r w:rsidRPr="00AD77F1">
              <w:rPr>
                <w:noProof/>
                <w:sz w:val="18"/>
                <w:szCs w:val="18"/>
              </w:rPr>
              <w:t xml:space="preserve">Číslo </w:t>
            </w:r>
          </w:p>
        </w:tc>
        <w:tc>
          <w:tcPr>
            <w:tcW w:w="1080" w:type="dxa"/>
            <w:vAlign w:val="center"/>
          </w:tcPr>
          <w:p w14:paraId="61A8CBFC" w14:textId="77777777" w:rsidR="00C4624A" w:rsidRPr="00AD77F1" w:rsidRDefault="00C4624A" w:rsidP="00461AA0">
            <w:pPr>
              <w:jc w:val="center"/>
              <w:rPr>
                <w:noProof/>
                <w:sz w:val="18"/>
                <w:szCs w:val="18"/>
              </w:rPr>
            </w:pPr>
            <w:r w:rsidRPr="00AD77F1">
              <w:rPr>
                <w:noProof/>
                <w:sz w:val="18"/>
                <w:szCs w:val="18"/>
              </w:rPr>
              <w:t>DRP/NRP</w:t>
            </w:r>
            <w:r w:rsidRPr="00AD77F1">
              <w:rPr>
                <w:rStyle w:val="FootnoteReference"/>
                <w:b/>
                <w:noProof/>
                <w:sz w:val="18"/>
                <w:szCs w:val="18"/>
              </w:rPr>
              <w:footnoteReference w:id="30"/>
            </w:r>
          </w:p>
        </w:tc>
        <w:tc>
          <w:tcPr>
            <w:tcW w:w="956" w:type="dxa"/>
            <w:vAlign w:val="center"/>
          </w:tcPr>
          <w:p w14:paraId="23A67C4F" w14:textId="77777777" w:rsidR="00C4624A" w:rsidRPr="00AD77F1" w:rsidRDefault="00C4624A" w:rsidP="00461AA0">
            <w:pPr>
              <w:jc w:val="center"/>
              <w:rPr>
                <w:noProof/>
                <w:sz w:val="18"/>
                <w:szCs w:val="18"/>
              </w:rPr>
            </w:pPr>
            <w:r w:rsidRPr="00AD77F1">
              <w:rPr>
                <w:noProof/>
                <w:sz w:val="18"/>
                <w:szCs w:val="18"/>
              </w:rPr>
              <w:t>krajín EZVO</w:t>
            </w:r>
            <w:r w:rsidRPr="00AD77F1">
              <w:rPr>
                <w:rStyle w:val="FootnoteReference"/>
                <w:noProof/>
                <w:sz w:val="18"/>
                <w:szCs w:val="18"/>
              </w:rPr>
              <w:footnoteReference w:id="31"/>
            </w:r>
          </w:p>
          <w:p w14:paraId="44FBA802" w14:textId="77777777" w:rsidR="00C4624A" w:rsidRPr="00AD77F1" w:rsidRDefault="00C4624A" w:rsidP="00461AA0">
            <w:pPr>
              <w:spacing w:before="0" w:after="0"/>
              <w:jc w:val="center"/>
              <w:rPr>
                <w:b/>
                <w:noProof/>
                <w:sz w:val="18"/>
                <w:szCs w:val="18"/>
              </w:rPr>
            </w:pPr>
          </w:p>
        </w:tc>
        <w:tc>
          <w:tcPr>
            <w:tcW w:w="1080" w:type="dxa"/>
            <w:vAlign w:val="center"/>
          </w:tcPr>
          <w:p w14:paraId="05692F3E" w14:textId="77777777" w:rsidR="00C4624A" w:rsidRPr="00AD77F1" w:rsidRDefault="00C4624A" w:rsidP="00461AA0">
            <w:pPr>
              <w:jc w:val="center"/>
              <w:rPr>
                <w:noProof/>
                <w:sz w:val="18"/>
                <w:szCs w:val="18"/>
              </w:rPr>
            </w:pPr>
            <w:r w:rsidRPr="00AD77F1">
              <w:rPr>
                <w:noProof/>
                <w:sz w:val="18"/>
                <w:szCs w:val="18"/>
              </w:rPr>
              <w:t>kandidátskych krajín</w:t>
            </w:r>
            <w:r w:rsidRPr="00AD77F1">
              <w:rPr>
                <w:rStyle w:val="FootnoteReference"/>
                <w:noProof/>
                <w:sz w:val="18"/>
                <w:szCs w:val="18"/>
              </w:rPr>
              <w:footnoteReference w:id="32"/>
            </w:r>
          </w:p>
          <w:p w14:paraId="2F46212F" w14:textId="77777777" w:rsidR="00C4624A" w:rsidRPr="00AD77F1" w:rsidRDefault="00C4624A" w:rsidP="00461AA0">
            <w:pPr>
              <w:spacing w:before="0" w:after="0"/>
              <w:jc w:val="center"/>
              <w:rPr>
                <w:noProof/>
                <w:sz w:val="18"/>
                <w:szCs w:val="18"/>
              </w:rPr>
            </w:pPr>
          </w:p>
        </w:tc>
        <w:tc>
          <w:tcPr>
            <w:tcW w:w="956" w:type="dxa"/>
            <w:vAlign w:val="center"/>
          </w:tcPr>
          <w:p w14:paraId="3073E2BD" w14:textId="77777777" w:rsidR="00C4624A" w:rsidRPr="00AD77F1" w:rsidRDefault="00C4624A" w:rsidP="00461AA0">
            <w:pPr>
              <w:jc w:val="center"/>
              <w:rPr>
                <w:noProof/>
                <w:sz w:val="18"/>
                <w:szCs w:val="18"/>
              </w:rPr>
            </w:pPr>
            <w:r w:rsidRPr="00AD77F1">
              <w:rPr>
                <w:noProof/>
                <w:sz w:val="18"/>
                <w:szCs w:val="18"/>
              </w:rPr>
              <w:t>tretích krajín</w:t>
            </w:r>
          </w:p>
        </w:tc>
        <w:tc>
          <w:tcPr>
            <w:tcW w:w="1448" w:type="dxa"/>
            <w:vAlign w:val="center"/>
          </w:tcPr>
          <w:p w14:paraId="68CE3E41" w14:textId="07BE51A0" w:rsidR="00C4624A" w:rsidRPr="00AD77F1" w:rsidRDefault="00C4624A" w:rsidP="00461AA0">
            <w:pPr>
              <w:jc w:val="center"/>
              <w:rPr>
                <w:noProof/>
                <w:sz w:val="18"/>
                <w:szCs w:val="18"/>
              </w:rPr>
            </w:pPr>
            <w:r w:rsidRPr="00AD77F1">
              <w:rPr>
                <w:noProof/>
                <w:sz w:val="18"/>
                <w:szCs w:val="18"/>
              </w:rPr>
              <w:t>v zmysle článku 21 ods. 2 písm. b) nariadenia</w:t>
            </w:r>
            <w:r w:rsidR="002D52A1" w:rsidRPr="00AD77F1">
              <w:rPr>
                <w:noProof/>
                <w:sz w:val="18"/>
                <w:szCs w:val="18"/>
              </w:rPr>
              <w:t xml:space="preserve"> o </w:t>
            </w:r>
            <w:r w:rsidRPr="00AD77F1">
              <w:rPr>
                <w:noProof/>
                <w:sz w:val="18"/>
                <w:szCs w:val="18"/>
              </w:rPr>
              <w:t xml:space="preserve">rozpočtových pravidlách </w:t>
            </w:r>
          </w:p>
        </w:tc>
      </w:tr>
      <w:tr w:rsidR="00C4624A" w:rsidRPr="002D52A1" w14:paraId="53C0E4E1" w14:textId="77777777" w:rsidTr="00AD77F1">
        <w:tc>
          <w:tcPr>
            <w:tcW w:w="1211" w:type="dxa"/>
            <w:vAlign w:val="center"/>
          </w:tcPr>
          <w:p w14:paraId="2114E767" w14:textId="77777777" w:rsidR="00C4624A" w:rsidRPr="002D52A1" w:rsidRDefault="00C4624A" w:rsidP="00461AA0">
            <w:pPr>
              <w:jc w:val="center"/>
              <w:rPr>
                <w:noProof/>
              </w:rPr>
            </w:pPr>
            <w:r w:rsidRPr="002D52A1">
              <w:rPr>
                <w:noProof/>
              </w:rPr>
              <w:t>6</w:t>
            </w:r>
          </w:p>
        </w:tc>
        <w:tc>
          <w:tcPr>
            <w:tcW w:w="3829" w:type="dxa"/>
            <w:vAlign w:val="center"/>
          </w:tcPr>
          <w:p w14:paraId="39FE25CC" w14:textId="77777777" w:rsidR="00C4624A" w:rsidRPr="002D52A1" w:rsidRDefault="00C4624A" w:rsidP="00461AA0">
            <w:pPr>
              <w:spacing w:after="60"/>
              <w:rPr>
                <w:noProof/>
              </w:rPr>
            </w:pPr>
            <w:r w:rsidRPr="002D52A1">
              <w:rPr>
                <w:noProof/>
              </w:rPr>
              <w:t>14 02 01 11 Východné susedstvo</w:t>
            </w:r>
          </w:p>
        </w:tc>
        <w:tc>
          <w:tcPr>
            <w:tcW w:w="1080" w:type="dxa"/>
            <w:vAlign w:val="center"/>
          </w:tcPr>
          <w:p w14:paraId="65FCD29B" w14:textId="77777777" w:rsidR="00C4624A" w:rsidRPr="00AD77F1" w:rsidRDefault="00C4624A" w:rsidP="00461AA0">
            <w:pPr>
              <w:jc w:val="center"/>
              <w:rPr>
                <w:noProof/>
              </w:rPr>
            </w:pPr>
            <w:r w:rsidRPr="002D52A1">
              <w:rPr>
                <w:noProof/>
                <w:sz w:val="22"/>
              </w:rPr>
              <w:t>DRP</w:t>
            </w:r>
          </w:p>
        </w:tc>
        <w:tc>
          <w:tcPr>
            <w:tcW w:w="956" w:type="dxa"/>
            <w:vAlign w:val="center"/>
          </w:tcPr>
          <w:p w14:paraId="2F2879CC" w14:textId="77777777" w:rsidR="00C4624A" w:rsidRPr="002D52A1" w:rsidRDefault="00C4624A" w:rsidP="00461AA0">
            <w:pPr>
              <w:jc w:val="center"/>
              <w:rPr>
                <w:noProof/>
                <w:sz w:val="20"/>
                <w:szCs w:val="20"/>
              </w:rPr>
            </w:pPr>
            <w:r w:rsidRPr="002D52A1">
              <w:rPr>
                <w:noProof/>
                <w:sz w:val="20"/>
              </w:rPr>
              <w:t>NIE</w:t>
            </w:r>
          </w:p>
        </w:tc>
        <w:tc>
          <w:tcPr>
            <w:tcW w:w="1080" w:type="dxa"/>
            <w:vAlign w:val="center"/>
          </w:tcPr>
          <w:p w14:paraId="3ED559C1" w14:textId="77777777" w:rsidR="00C4624A" w:rsidRPr="002D52A1" w:rsidRDefault="00C4624A" w:rsidP="00461AA0">
            <w:pPr>
              <w:jc w:val="center"/>
              <w:rPr>
                <w:noProof/>
                <w:sz w:val="20"/>
                <w:szCs w:val="20"/>
              </w:rPr>
            </w:pPr>
            <w:r w:rsidRPr="002D52A1">
              <w:rPr>
                <w:noProof/>
                <w:sz w:val="20"/>
              </w:rPr>
              <w:t>NIE</w:t>
            </w:r>
          </w:p>
        </w:tc>
        <w:tc>
          <w:tcPr>
            <w:tcW w:w="956" w:type="dxa"/>
            <w:vAlign w:val="center"/>
          </w:tcPr>
          <w:p w14:paraId="19E1285E" w14:textId="77777777" w:rsidR="00C4624A" w:rsidRPr="002D52A1" w:rsidRDefault="00C4624A" w:rsidP="00461AA0">
            <w:pPr>
              <w:jc w:val="center"/>
              <w:rPr>
                <w:noProof/>
                <w:sz w:val="20"/>
                <w:szCs w:val="20"/>
              </w:rPr>
            </w:pPr>
            <w:r w:rsidRPr="002D52A1">
              <w:rPr>
                <w:noProof/>
                <w:sz w:val="20"/>
              </w:rPr>
              <w:t>NIE</w:t>
            </w:r>
          </w:p>
        </w:tc>
        <w:tc>
          <w:tcPr>
            <w:tcW w:w="1448" w:type="dxa"/>
            <w:vAlign w:val="center"/>
          </w:tcPr>
          <w:p w14:paraId="6DD65D29" w14:textId="77777777" w:rsidR="00C4624A" w:rsidRPr="002D52A1" w:rsidRDefault="00C4624A" w:rsidP="00461AA0">
            <w:pPr>
              <w:jc w:val="center"/>
              <w:rPr>
                <w:noProof/>
                <w:sz w:val="20"/>
                <w:szCs w:val="20"/>
              </w:rPr>
            </w:pPr>
            <w:r w:rsidRPr="002D52A1">
              <w:rPr>
                <w:noProof/>
                <w:sz w:val="20"/>
              </w:rPr>
              <w:t>NIE</w:t>
            </w:r>
          </w:p>
        </w:tc>
      </w:tr>
      <w:tr w:rsidR="00C4624A" w:rsidRPr="002D52A1" w14:paraId="7C59F0C1" w14:textId="77777777" w:rsidTr="00AD77F1">
        <w:tc>
          <w:tcPr>
            <w:tcW w:w="1211" w:type="dxa"/>
            <w:vAlign w:val="center"/>
          </w:tcPr>
          <w:p w14:paraId="2A1976AA" w14:textId="77777777" w:rsidR="00C4624A" w:rsidRPr="002D52A1" w:rsidRDefault="00C4624A" w:rsidP="00461AA0">
            <w:pPr>
              <w:jc w:val="center"/>
              <w:rPr>
                <w:noProof/>
              </w:rPr>
            </w:pPr>
            <w:r w:rsidRPr="002D52A1">
              <w:rPr>
                <w:noProof/>
              </w:rPr>
              <w:t>6</w:t>
            </w:r>
          </w:p>
        </w:tc>
        <w:tc>
          <w:tcPr>
            <w:tcW w:w="3829" w:type="dxa"/>
            <w:vAlign w:val="center"/>
          </w:tcPr>
          <w:p w14:paraId="2DEA12F4" w14:textId="77777777" w:rsidR="00C4624A" w:rsidRPr="002D52A1" w:rsidRDefault="00C4624A" w:rsidP="00461AA0">
            <w:pPr>
              <w:spacing w:after="60"/>
              <w:rPr>
                <w:noProof/>
              </w:rPr>
            </w:pPr>
            <w:r w:rsidRPr="002D52A1">
              <w:rPr>
                <w:noProof/>
              </w:rPr>
              <w:t>14 02 01 70 NDICI – Globálna Európa – Tvorba rezerv pre spoločný rezervný fond</w:t>
            </w:r>
          </w:p>
        </w:tc>
        <w:tc>
          <w:tcPr>
            <w:tcW w:w="1080" w:type="dxa"/>
            <w:vAlign w:val="center"/>
          </w:tcPr>
          <w:p w14:paraId="07E5E127" w14:textId="77777777" w:rsidR="00C4624A" w:rsidRPr="00AD77F1" w:rsidRDefault="00C4624A" w:rsidP="00461AA0">
            <w:pPr>
              <w:jc w:val="center"/>
              <w:rPr>
                <w:noProof/>
              </w:rPr>
            </w:pPr>
            <w:r w:rsidRPr="002D52A1">
              <w:rPr>
                <w:noProof/>
                <w:sz w:val="22"/>
              </w:rPr>
              <w:t>DRP</w:t>
            </w:r>
          </w:p>
        </w:tc>
        <w:tc>
          <w:tcPr>
            <w:tcW w:w="956" w:type="dxa"/>
            <w:vAlign w:val="center"/>
          </w:tcPr>
          <w:p w14:paraId="18FB45B9" w14:textId="77777777" w:rsidR="00C4624A" w:rsidRPr="002D52A1" w:rsidRDefault="00C4624A" w:rsidP="00461AA0">
            <w:pPr>
              <w:jc w:val="center"/>
              <w:rPr>
                <w:noProof/>
                <w:sz w:val="20"/>
                <w:szCs w:val="20"/>
              </w:rPr>
            </w:pPr>
            <w:r w:rsidRPr="002D52A1">
              <w:rPr>
                <w:noProof/>
                <w:sz w:val="20"/>
              </w:rPr>
              <w:t>NIE</w:t>
            </w:r>
          </w:p>
        </w:tc>
        <w:tc>
          <w:tcPr>
            <w:tcW w:w="1080" w:type="dxa"/>
            <w:vAlign w:val="center"/>
          </w:tcPr>
          <w:p w14:paraId="7AAE98A7" w14:textId="77777777" w:rsidR="00C4624A" w:rsidRPr="002D52A1" w:rsidRDefault="00C4624A" w:rsidP="00461AA0">
            <w:pPr>
              <w:jc w:val="center"/>
              <w:rPr>
                <w:noProof/>
                <w:sz w:val="20"/>
                <w:szCs w:val="20"/>
              </w:rPr>
            </w:pPr>
            <w:r w:rsidRPr="002D52A1">
              <w:rPr>
                <w:noProof/>
                <w:sz w:val="20"/>
              </w:rPr>
              <w:t>NIE</w:t>
            </w:r>
          </w:p>
        </w:tc>
        <w:tc>
          <w:tcPr>
            <w:tcW w:w="956" w:type="dxa"/>
            <w:vAlign w:val="center"/>
          </w:tcPr>
          <w:p w14:paraId="172345B1" w14:textId="77777777" w:rsidR="00C4624A" w:rsidRPr="002D52A1" w:rsidRDefault="00C4624A" w:rsidP="00461AA0">
            <w:pPr>
              <w:jc w:val="center"/>
              <w:rPr>
                <w:noProof/>
                <w:sz w:val="20"/>
                <w:szCs w:val="20"/>
              </w:rPr>
            </w:pPr>
            <w:r w:rsidRPr="002D52A1">
              <w:rPr>
                <w:noProof/>
                <w:sz w:val="20"/>
              </w:rPr>
              <w:t>NIE</w:t>
            </w:r>
          </w:p>
        </w:tc>
        <w:tc>
          <w:tcPr>
            <w:tcW w:w="1448" w:type="dxa"/>
            <w:vAlign w:val="center"/>
          </w:tcPr>
          <w:p w14:paraId="3F355711" w14:textId="77777777" w:rsidR="00C4624A" w:rsidRPr="002D52A1" w:rsidRDefault="00C4624A" w:rsidP="00461AA0">
            <w:pPr>
              <w:jc w:val="center"/>
              <w:rPr>
                <w:noProof/>
                <w:sz w:val="20"/>
                <w:szCs w:val="20"/>
              </w:rPr>
            </w:pPr>
            <w:r w:rsidRPr="002D52A1">
              <w:rPr>
                <w:noProof/>
                <w:sz w:val="20"/>
              </w:rPr>
              <w:t>NIE</w:t>
            </w:r>
          </w:p>
        </w:tc>
      </w:tr>
    </w:tbl>
    <w:p w14:paraId="21760431" w14:textId="77777777" w:rsidR="00C4624A" w:rsidRPr="002D52A1" w:rsidRDefault="00C4624A" w:rsidP="00C4624A">
      <w:pPr>
        <w:pStyle w:val="ListBullet1"/>
        <w:rPr>
          <w:noProof/>
        </w:rPr>
      </w:pPr>
      <w:r w:rsidRPr="002D52A1">
        <w:rPr>
          <w:noProof/>
        </w:rPr>
        <w:t>Požadované nové rozpočtové riadky – neuplatňuje sa</w:t>
      </w:r>
    </w:p>
    <w:p w14:paraId="478B8AD1" w14:textId="77777777" w:rsidR="00C4624A" w:rsidRPr="002D52A1" w:rsidRDefault="00C4624A" w:rsidP="00C4624A">
      <w:pPr>
        <w:rPr>
          <w:noProof/>
        </w:rPr>
        <w:sectPr w:rsidR="00C4624A" w:rsidRPr="002D52A1" w:rsidSect="00A6081D">
          <w:pgSz w:w="11907" w:h="16840" w:code="1"/>
          <w:pgMar w:top="1134" w:right="1418" w:bottom="1134" w:left="1418" w:header="709" w:footer="709" w:gutter="0"/>
          <w:cols w:space="708"/>
          <w:docGrid w:linePitch="360"/>
        </w:sectPr>
      </w:pPr>
    </w:p>
    <w:p w14:paraId="2718BF0C" w14:textId="66032F7C" w:rsidR="002D52A1" w:rsidRPr="002D52A1" w:rsidRDefault="00D05784" w:rsidP="00D05784">
      <w:pPr>
        <w:pStyle w:val="ManualHeading2"/>
        <w:rPr>
          <w:noProof/>
        </w:rPr>
      </w:pPr>
      <w:bookmarkStart w:id="57" w:name="_Toc514938052"/>
      <w:bookmarkStart w:id="58" w:name="_Toc520485051"/>
      <w:r w:rsidRPr="00D05784">
        <w:t>3.2.</w:t>
      </w:r>
      <w:r w:rsidRPr="00D05784">
        <w:tab/>
      </w:r>
      <w:r w:rsidR="00C4624A" w:rsidRPr="002D52A1">
        <w:rPr>
          <w:noProof/>
        </w:rPr>
        <w:t>Odhadovaný finančný vplyv návrhu na rozpočtové prostriedky</w:t>
      </w:r>
      <w:bookmarkEnd w:id="57"/>
      <w:bookmarkEnd w:id="58"/>
    </w:p>
    <w:p w14:paraId="01C886F2" w14:textId="696F1846" w:rsidR="002D52A1" w:rsidRPr="002D52A1" w:rsidRDefault="00D05784" w:rsidP="00D05784">
      <w:pPr>
        <w:pStyle w:val="ManualHeading3"/>
        <w:rPr>
          <w:noProof/>
        </w:rPr>
      </w:pPr>
      <w:bookmarkStart w:id="59" w:name="_Toc514938053"/>
      <w:bookmarkStart w:id="60" w:name="_Toc520485052"/>
      <w:r w:rsidRPr="00D05784">
        <w:t>3.2.1.</w:t>
      </w:r>
      <w:r w:rsidRPr="00D05784">
        <w:tab/>
      </w:r>
      <w:r w:rsidR="00C4624A" w:rsidRPr="002D52A1">
        <w:rPr>
          <w:noProof/>
        </w:rPr>
        <w:t>Zhrnutie odhadovaného vplyvu na operačné rozpočtové prostriedky</w:t>
      </w:r>
      <w:bookmarkEnd w:id="59"/>
      <w:bookmarkEnd w:id="60"/>
    </w:p>
    <w:p w14:paraId="000D2134" w14:textId="3C0E0AFE" w:rsidR="002D52A1" w:rsidRPr="002D52A1" w:rsidRDefault="00C4624A" w:rsidP="00C4624A">
      <w:pPr>
        <w:pStyle w:val="ListDash1"/>
        <w:rPr>
          <w:noProof/>
        </w:rPr>
      </w:pPr>
      <w:r w:rsidRPr="002D52A1">
        <w:rPr>
          <w:rFonts w:ascii="Wingdings" w:hAnsi="Wingdings"/>
          <w:noProof/>
        </w:rPr>
        <w:t></w:t>
      </w:r>
      <w:r w:rsidRPr="002D52A1">
        <w:rPr>
          <w:noProof/>
        </w:rPr>
        <w:tab/>
        <w:t>Návrh/iniciatíva si nevyžaduje použitie operačných rozpočtových prostriedkov</w:t>
      </w:r>
      <w:r w:rsidR="002D52A1" w:rsidRPr="002D52A1">
        <w:rPr>
          <w:noProof/>
        </w:rPr>
        <w:t>.</w:t>
      </w:r>
    </w:p>
    <w:p w14:paraId="5A8E577D" w14:textId="5C4FE4E6" w:rsidR="00C4624A" w:rsidRPr="002D52A1" w:rsidRDefault="00C4624A" w:rsidP="00C4624A">
      <w:pPr>
        <w:pStyle w:val="ListDash1"/>
        <w:rPr>
          <w:noProof/>
        </w:rPr>
      </w:pPr>
      <w:r w:rsidRPr="002D52A1">
        <w:rPr>
          <w:rFonts w:ascii="Wingdings" w:hAnsi="Wingdings"/>
          <w:noProof/>
        </w:rPr>
        <w:t></w:t>
      </w:r>
      <w:r w:rsidRPr="002D52A1">
        <w:rPr>
          <w:noProof/>
        </w:rPr>
        <w:tab/>
        <w:t>Návrh/iniciatíva si vyžaduje použitie týchto operačných rozpočtových prostriedkov:</w:t>
      </w:r>
    </w:p>
    <w:p w14:paraId="21BF2D67" w14:textId="77777777" w:rsidR="00C4624A" w:rsidRPr="002D52A1" w:rsidRDefault="00C4624A" w:rsidP="00C4624A">
      <w:pPr>
        <w:jc w:val="right"/>
        <w:rPr>
          <w:noProof/>
          <w:sz w:val="18"/>
          <w:szCs w:val="18"/>
        </w:rPr>
      </w:pPr>
      <w:r w:rsidRPr="002D52A1">
        <w:rPr>
          <w:noProof/>
          <w:sz w:val="18"/>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4624A" w:rsidRPr="002D52A1" w14:paraId="45F47AED" w14:textId="77777777" w:rsidTr="00461AA0">
        <w:trPr>
          <w:jc w:val="center"/>
        </w:trPr>
        <w:tc>
          <w:tcPr>
            <w:tcW w:w="4744" w:type="dxa"/>
            <w:shd w:val="thinDiagStripe" w:color="C0C0C0" w:fill="auto"/>
            <w:vAlign w:val="center"/>
          </w:tcPr>
          <w:p w14:paraId="3E3D9DD6" w14:textId="29790283" w:rsidR="00C4624A" w:rsidRPr="002D52A1" w:rsidRDefault="00C4624A" w:rsidP="00461AA0">
            <w:pPr>
              <w:spacing w:before="60" w:after="60"/>
              <w:jc w:val="center"/>
              <w:rPr>
                <w:b/>
                <w:noProof/>
              </w:rPr>
            </w:pPr>
            <w:r w:rsidRPr="002D52A1">
              <w:rPr>
                <w:b/>
                <w:noProof/>
                <w:sz w:val="22"/>
              </w:rPr>
              <w:t>Okruh viacročného finančného</w:t>
            </w:r>
            <w:r w:rsidR="002D52A1" w:rsidRPr="002D52A1">
              <w:rPr>
                <w:b/>
                <w:noProof/>
                <w:sz w:val="22"/>
              </w:rPr>
              <w:t xml:space="preserve"> </w:t>
            </w:r>
            <w:r w:rsidRPr="002D52A1">
              <w:rPr>
                <w:noProof/>
              </w:rPr>
              <w:br/>
            </w:r>
            <w:r w:rsidRPr="002D52A1">
              <w:rPr>
                <w:b/>
                <w:noProof/>
                <w:sz w:val="22"/>
              </w:rPr>
              <w:t xml:space="preserve">rámca </w:t>
            </w:r>
          </w:p>
        </w:tc>
        <w:tc>
          <w:tcPr>
            <w:tcW w:w="1080" w:type="dxa"/>
            <w:vAlign w:val="center"/>
          </w:tcPr>
          <w:p w14:paraId="5CDCF747" w14:textId="77777777" w:rsidR="00C4624A" w:rsidRPr="002D52A1" w:rsidRDefault="00C4624A" w:rsidP="00461AA0">
            <w:pPr>
              <w:spacing w:before="60" w:after="60"/>
              <w:jc w:val="center"/>
              <w:rPr>
                <w:noProof/>
              </w:rPr>
            </w:pPr>
            <w:r w:rsidRPr="002D52A1">
              <w:rPr>
                <w:noProof/>
                <w:sz w:val="22"/>
              </w:rPr>
              <w:t>6</w:t>
            </w:r>
          </w:p>
        </w:tc>
        <w:tc>
          <w:tcPr>
            <w:tcW w:w="7817" w:type="dxa"/>
            <w:vAlign w:val="center"/>
          </w:tcPr>
          <w:p w14:paraId="24074526" w14:textId="5F170543" w:rsidR="00C4624A" w:rsidRPr="002D52A1" w:rsidRDefault="00C4624A" w:rsidP="002D52A1">
            <w:pPr>
              <w:spacing w:before="60" w:after="60"/>
              <w:jc w:val="center"/>
              <w:rPr>
                <w:noProof/>
              </w:rPr>
            </w:pPr>
            <w:r w:rsidRPr="002D52A1">
              <w:rPr>
                <w:b/>
                <w:noProof/>
                <w:sz w:val="22"/>
              </w:rPr>
              <w:t>Okruh 6 – Susedstvo</w:t>
            </w:r>
            <w:r w:rsidR="002D52A1">
              <w:rPr>
                <w:b/>
                <w:noProof/>
                <w:sz w:val="22"/>
              </w:rPr>
              <w:t xml:space="preserve"> a </w:t>
            </w:r>
            <w:r w:rsidRPr="002D52A1">
              <w:rPr>
                <w:b/>
                <w:noProof/>
                <w:sz w:val="22"/>
              </w:rPr>
              <w:t>svet</w:t>
            </w:r>
          </w:p>
        </w:tc>
      </w:tr>
    </w:tbl>
    <w:p w14:paraId="4F1CB1CF" w14:textId="77777777" w:rsidR="00C4624A" w:rsidRPr="002D52A1" w:rsidRDefault="00C4624A" w:rsidP="00C4624A">
      <w:pPr>
        <w:rPr>
          <w:noProof/>
          <w:sz w:val="16"/>
        </w:rPr>
      </w:pPr>
    </w:p>
    <w:tbl>
      <w:tblPr>
        <w:tblW w:w="14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868"/>
        <w:gridCol w:w="868"/>
        <w:gridCol w:w="868"/>
        <w:gridCol w:w="930"/>
        <w:gridCol w:w="996"/>
        <w:gridCol w:w="992"/>
        <w:gridCol w:w="992"/>
        <w:gridCol w:w="2410"/>
      </w:tblGrid>
      <w:tr w:rsidR="00C4624A" w:rsidRPr="002D52A1" w14:paraId="78419076" w14:textId="77777777" w:rsidTr="00461AA0">
        <w:tc>
          <w:tcPr>
            <w:tcW w:w="3960" w:type="dxa"/>
            <w:vAlign w:val="center"/>
          </w:tcPr>
          <w:p w14:paraId="1ADE38A1" w14:textId="77777777" w:rsidR="00C4624A" w:rsidRPr="002D52A1" w:rsidRDefault="00C4624A" w:rsidP="00461AA0">
            <w:pPr>
              <w:jc w:val="center"/>
              <w:rPr>
                <w:noProof/>
              </w:rPr>
            </w:pPr>
            <w:r w:rsidRPr="002D52A1">
              <w:rPr>
                <w:noProof/>
                <w:sz w:val="22"/>
              </w:rPr>
              <w:t>GR: NEAR</w:t>
            </w:r>
          </w:p>
        </w:tc>
        <w:tc>
          <w:tcPr>
            <w:tcW w:w="1362" w:type="dxa"/>
          </w:tcPr>
          <w:p w14:paraId="5A2F3794" w14:textId="77777777" w:rsidR="00C4624A" w:rsidRPr="002D52A1" w:rsidRDefault="00C4624A" w:rsidP="00461AA0">
            <w:pPr>
              <w:rPr>
                <w:noProof/>
                <w:sz w:val="20"/>
              </w:rPr>
            </w:pPr>
          </w:p>
        </w:tc>
        <w:tc>
          <w:tcPr>
            <w:tcW w:w="732" w:type="dxa"/>
            <w:gridSpan w:val="2"/>
          </w:tcPr>
          <w:p w14:paraId="6074005B" w14:textId="77777777" w:rsidR="00C4624A" w:rsidRPr="002D52A1" w:rsidRDefault="00C4624A" w:rsidP="00461AA0">
            <w:pPr>
              <w:jc w:val="center"/>
              <w:rPr>
                <w:noProof/>
                <w:sz w:val="20"/>
              </w:rPr>
            </w:pPr>
          </w:p>
        </w:tc>
        <w:tc>
          <w:tcPr>
            <w:tcW w:w="868" w:type="dxa"/>
          </w:tcPr>
          <w:p w14:paraId="5D3E89DC" w14:textId="77777777" w:rsidR="00C4624A" w:rsidRPr="002D52A1" w:rsidRDefault="00C4624A" w:rsidP="00461AA0">
            <w:pPr>
              <w:jc w:val="center"/>
              <w:rPr>
                <w:noProof/>
                <w:sz w:val="20"/>
                <w:szCs w:val="20"/>
              </w:rPr>
            </w:pPr>
            <w:r w:rsidRPr="002D52A1">
              <w:rPr>
                <w:noProof/>
                <w:sz w:val="20"/>
              </w:rPr>
              <w:t>Rok</w:t>
            </w:r>
          </w:p>
          <w:p w14:paraId="433B9EDA" w14:textId="77777777" w:rsidR="00C4624A" w:rsidRPr="002D52A1" w:rsidRDefault="00C4624A" w:rsidP="00461AA0">
            <w:pPr>
              <w:jc w:val="center"/>
              <w:rPr>
                <w:noProof/>
                <w:sz w:val="20"/>
                <w:szCs w:val="20"/>
              </w:rPr>
            </w:pPr>
            <w:r w:rsidRPr="002D52A1">
              <w:rPr>
                <w:b/>
                <w:noProof/>
                <w:sz w:val="20"/>
              </w:rPr>
              <w:t>2021</w:t>
            </w:r>
          </w:p>
        </w:tc>
        <w:tc>
          <w:tcPr>
            <w:tcW w:w="868" w:type="dxa"/>
            <w:vAlign w:val="center"/>
          </w:tcPr>
          <w:p w14:paraId="6149FA8B" w14:textId="77777777" w:rsidR="00C4624A" w:rsidRPr="002D52A1" w:rsidRDefault="00C4624A" w:rsidP="00461AA0">
            <w:pPr>
              <w:jc w:val="center"/>
              <w:rPr>
                <w:noProof/>
                <w:sz w:val="20"/>
                <w:szCs w:val="20"/>
              </w:rPr>
            </w:pPr>
            <w:r w:rsidRPr="002D52A1">
              <w:rPr>
                <w:noProof/>
                <w:sz w:val="20"/>
              </w:rPr>
              <w:t>Rok</w:t>
            </w:r>
          </w:p>
          <w:p w14:paraId="6E1D8F2B" w14:textId="77777777" w:rsidR="00C4624A" w:rsidRPr="002D52A1" w:rsidRDefault="00C4624A" w:rsidP="00461AA0">
            <w:pPr>
              <w:jc w:val="center"/>
              <w:rPr>
                <w:noProof/>
                <w:sz w:val="20"/>
              </w:rPr>
            </w:pPr>
            <w:r w:rsidRPr="002D52A1">
              <w:rPr>
                <w:b/>
                <w:noProof/>
                <w:sz w:val="20"/>
              </w:rPr>
              <w:t>2022</w:t>
            </w:r>
          </w:p>
        </w:tc>
        <w:tc>
          <w:tcPr>
            <w:tcW w:w="868" w:type="dxa"/>
            <w:vAlign w:val="center"/>
          </w:tcPr>
          <w:p w14:paraId="7F0A5B4E" w14:textId="77777777" w:rsidR="00C4624A" w:rsidRPr="002D52A1" w:rsidRDefault="00C4624A" w:rsidP="00461AA0">
            <w:pPr>
              <w:jc w:val="center"/>
              <w:rPr>
                <w:noProof/>
                <w:sz w:val="20"/>
              </w:rPr>
            </w:pPr>
            <w:r w:rsidRPr="002D52A1">
              <w:rPr>
                <w:noProof/>
                <w:sz w:val="20"/>
              </w:rPr>
              <w:t>Rok</w:t>
            </w:r>
          </w:p>
          <w:p w14:paraId="4B5DB4C0" w14:textId="77777777" w:rsidR="00C4624A" w:rsidRPr="002D52A1" w:rsidRDefault="00C4624A" w:rsidP="00461AA0">
            <w:pPr>
              <w:jc w:val="center"/>
              <w:rPr>
                <w:noProof/>
                <w:sz w:val="20"/>
              </w:rPr>
            </w:pPr>
            <w:r w:rsidRPr="002D52A1">
              <w:rPr>
                <w:b/>
                <w:noProof/>
                <w:sz w:val="20"/>
              </w:rPr>
              <w:t>2023</w:t>
            </w:r>
          </w:p>
        </w:tc>
        <w:tc>
          <w:tcPr>
            <w:tcW w:w="930" w:type="dxa"/>
            <w:vAlign w:val="center"/>
          </w:tcPr>
          <w:p w14:paraId="64EBF580" w14:textId="77777777" w:rsidR="00C4624A" w:rsidRPr="002D52A1" w:rsidRDefault="00C4624A" w:rsidP="00461AA0">
            <w:pPr>
              <w:jc w:val="center"/>
              <w:rPr>
                <w:noProof/>
                <w:sz w:val="20"/>
              </w:rPr>
            </w:pPr>
            <w:r w:rsidRPr="002D52A1">
              <w:rPr>
                <w:noProof/>
                <w:sz w:val="20"/>
              </w:rPr>
              <w:t>Rok</w:t>
            </w:r>
          </w:p>
          <w:p w14:paraId="4B3621D7" w14:textId="77777777" w:rsidR="00C4624A" w:rsidRPr="002D52A1" w:rsidRDefault="00C4624A" w:rsidP="00461AA0">
            <w:pPr>
              <w:jc w:val="center"/>
              <w:rPr>
                <w:noProof/>
                <w:sz w:val="20"/>
              </w:rPr>
            </w:pPr>
            <w:r w:rsidRPr="002D52A1">
              <w:rPr>
                <w:b/>
                <w:noProof/>
                <w:sz w:val="20"/>
              </w:rPr>
              <w:t>2024</w:t>
            </w:r>
          </w:p>
        </w:tc>
        <w:tc>
          <w:tcPr>
            <w:tcW w:w="996" w:type="dxa"/>
            <w:vAlign w:val="center"/>
          </w:tcPr>
          <w:p w14:paraId="76BD15FC" w14:textId="77777777" w:rsidR="00C4624A" w:rsidRPr="002D52A1" w:rsidRDefault="00C4624A" w:rsidP="00461AA0">
            <w:pPr>
              <w:jc w:val="center"/>
              <w:rPr>
                <w:noProof/>
                <w:sz w:val="20"/>
              </w:rPr>
            </w:pPr>
            <w:r w:rsidRPr="002D52A1">
              <w:rPr>
                <w:noProof/>
                <w:sz w:val="20"/>
              </w:rPr>
              <w:t>Rok</w:t>
            </w:r>
          </w:p>
          <w:p w14:paraId="4F015F6E" w14:textId="77777777" w:rsidR="00C4624A" w:rsidRPr="002D52A1" w:rsidRDefault="00C4624A" w:rsidP="00461AA0">
            <w:pPr>
              <w:jc w:val="center"/>
              <w:rPr>
                <w:noProof/>
                <w:sz w:val="20"/>
              </w:rPr>
            </w:pPr>
            <w:r w:rsidRPr="002D52A1">
              <w:rPr>
                <w:b/>
                <w:noProof/>
                <w:sz w:val="20"/>
              </w:rPr>
              <w:t>2025</w:t>
            </w:r>
          </w:p>
        </w:tc>
        <w:tc>
          <w:tcPr>
            <w:tcW w:w="992" w:type="dxa"/>
          </w:tcPr>
          <w:p w14:paraId="02B6D49C" w14:textId="77777777" w:rsidR="00C4624A" w:rsidRPr="002D52A1" w:rsidRDefault="00C4624A" w:rsidP="00461AA0">
            <w:pPr>
              <w:jc w:val="center"/>
              <w:rPr>
                <w:noProof/>
                <w:sz w:val="20"/>
              </w:rPr>
            </w:pPr>
            <w:r w:rsidRPr="002D52A1">
              <w:rPr>
                <w:noProof/>
                <w:sz w:val="20"/>
              </w:rPr>
              <w:t>Rok</w:t>
            </w:r>
          </w:p>
          <w:p w14:paraId="3B070963" w14:textId="77777777" w:rsidR="00C4624A" w:rsidRPr="002D52A1" w:rsidRDefault="00C4624A" w:rsidP="00461AA0">
            <w:pPr>
              <w:jc w:val="center"/>
              <w:rPr>
                <w:noProof/>
                <w:sz w:val="18"/>
              </w:rPr>
            </w:pPr>
            <w:r w:rsidRPr="002D52A1">
              <w:rPr>
                <w:b/>
                <w:noProof/>
                <w:sz w:val="20"/>
              </w:rPr>
              <w:t>2026</w:t>
            </w:r>
          </w:p>
        </w:tc>
        <w:tc>
          <w:tcPr>
            <w:tcW w:w="992" w:type="dxa"/>
          </w:tcPr>
          <w:p w14:paraId="17FFF4F5" w14:textId="77777777" w:rsidR="00C4624A" w:rsidRPr="002D52A1" w:rsidRDefault="00C4624A" w:rsidP="00461AA0">
            <w:pPr>
              <w:jc w:val="center"/>
              <w:rPr>
                <w:noProof/>
                <w:sz w:val="20"/>
              </w:rPr>
            </w:pPr>
            <w:r w:rsidRPr="002D52A1">
              <w:rPr>
                <w:noProof/>
                <w:sz w:val="20"/>
              </w:rPr>
              <w:t>Rok</w:t>
            </w:r>
          </w:p>
          <w:p w14:paraId="51652B40" w14:textId="77777777" w:rsidR="00C4624A" w:rsidRPr="002D52A1" w:rsidRDefault="00C4624A" w:rsidP="00461AA0">
            <w:pPr>
              <w:jc w:val="center"/>
              <w:rPr>
                <w:noProof/>
                <w:sz w:val="18"/>
              </w:rPr>
            </w:pPr>
            <w:r w:rsidRPr="002D52A1">
              <w:rPr>
                <w:b/>
                <w:noProof/>
                <w:sz w:val="20"/>
              </w:rPr>
              <w:t>2027</w:t>
            </w:r>
          </w:p>
        </w:tc>
        <w:tc>
          <w:tcPr>
            <w:tcW w:w="2410" w:type="dxa"/>
            <w:vAlign w:val="center"/>
          </w:tcPr>
          <w:p w14:paraId="313924B2" w14:textId="77777777" w:rsidR="00C4624A" w:rsidRPr="002D52A1" w:rsidRDefault="00C4624A" w:rsidP="00461AA0">
            <w:pPr>
              <w:jc w:val="center"/>
              <w:rPr>
                <w:noProof/>
                <w:sz w:val="20"/>
              </w:rPr>
            </w:pPr>
            <w:r w:rsidRPr="002D52A1">
              <w:rPr>
                <w:b/>
                <w:noProof/>
                <w:sz w:val="20"/>
              </w:rPr>
              <w:t>SPOLU</w:t>
            </w:r>
          </w:p>
        </w:tc>
      </w:tr>
      <w:tr w:rsidR="00C4624A" w:rsidRPr="002D52A1" w14:paraId="63EB85EC" w14:textId="77777777" w:rsidTr="00461AA0">
        <w:trPr>
          <w:trHeight w:val="213"/>
        </w:trPr>
        <w:tc>
          <w:tcPr>
            <w:tcW w:w="6054" w:type="dxa"/>
            <w:gridSpan w:val="4"/>
            <w:shd w:val="clear" w:color="auto" w:fill="EEECE1" w:themeFill="background2"/>
            <w:vAlign w:val="center"/>
          </w:tcPr>
          <w:p w14:paraId="064FE9DE" w14:textId="77777777" w:rsidR="00C4624A" w:rsidRPr="002D52A1" w:rsidRDefault="00C4624A" w:rsidP="00461AA0">
            <w:pPr>
              <w:spacing w:before="20" w:after="20"/>
              <w:rPr>
                <w:noProof/>
                <w:sz w:val="21"/>
                <w:szCs w:val="21"/>
              </w:rPr>
            </w:pPr>
            <w:r w:rsidRPr="002D52A1">
              <w:rPr>
                <w:noProof/>
                <w:sz w:val="21"/>
              </w:rPr>
              <w:t>□ Operačné rozpočtové prostriedky MFP I</w:t>
            </w:r>
            <w:r w:rsidRPr="002D52A1">
              <w:rPr>
                <w:rStyle w:val="FootnoteReference"/>
                <w:rFonts w:eastAsia="Times New Roman"/>
                <w:noProof/>
                <w:sz w:val="21"/>
                <w:szCs w:val="21"/>
              </w:rPr>
              <w:footnoteReference w:id="33"/>
            </w:r>
          </w:p>
        </w:tc>
        <w:tc>
          <w:tcPr>
            <w:tcW w:w="868" w:type="dxa"/>
            <w:shd w:val="clear" w:color="auto" w:fill="EEECE1" w:themeFill="background2"/>
          </w:tcPr>
          <w:p w14:paraId="42CBABCF" w14:textId="77777777" w:rsidR="00C4624A" w:rsidRPr="002D52A1" w:rsidRDefault="00C4624A" w:rsidP="00461AA0">
            <w:pPr>
              <w:rPr>
                <w:noProof/>
                <w:sz w:val="20"/>
                <w:szCs w:val="20"/>
              </w:rPr>
            </w:pPr>
          </w:p>
        </w:tc>
        <w:tc>
          <w:tcPr>
            <w:tcW w:w="868" w:type="dxa"/>
            <w:shd w:val="clear" w:color="auto" w:fill="EEECE1" w:themeFill="background2"/>
            <w:vAlign w:val="center"/>
          </w:tcPr>
          <w:p w14:paraId="1A8B0CF4" w14:textId="77777777" w:rsidR="00C4624A" w:rsidRPr="002D52A1" w:rsidRDefault="00C4624A" w:rsidP="00461AA0">
            <w:pPr>
              <w:rPr>
                <w:noProof/>
                <w:sz w:val="20"/>
              </w:rPr>
            </w:pPr>
          </w:p>
        </w:tc>
        <w:tc>
          <w:tcPr>
            <w:tcW w:w="868" w:type="dxa"/>
            <w:shd w:val="clear" w:color="auto" w:fill="EEECE1" w:themeFill="background2"/>
            <w:vAlign w:val="center"/>
          </w:tcPr>
          <w:p w14:paraId="637C9D91" w14:textId="77777777" w:rsidR="00C4624A" w:rsidRPr="002D52A1" w:rsidRDefault="00C4624A" w:rsidP="00461AA0">
            <w:pPr>
              <w:rPr>
                <w:noProof/>
                <w:sz w:val="20"/>
              </w:rPr>
            </w:pPr>
          </w:p>
        </w:tc>
        <w:tc>
          <w:tcPr>
            <w:tcW w:w="930" w:type="dxa"/>
            <w:shd w:val="clear" w:color="auto" w:fill="EEECE1" w:themeFill="background2"/>
            <w:vAlign w:val="center"/>
          </w:tcPr>
          <w:p w14:paraId="3EB5B4F8" w14:textId="77777777" w:rsidR="00C4624A" w:rsidRPr="002D52A1" w:rsidRDefault="00C4624A" w:rsidP="00461AA0">
            <w:pPr>
              <w:rPr>
                <w:noProof/>
                <w:sz w:val="20"/>
              </w:rPr>
            </w:pPr>
          </w:p>
        </w:tc>
        <w:tc>
          <w:tcPr>
            <w:tcW w:w="996" w:type="dxa"/>
            <w:shd w:val="clear" w:color="auto" w:fill="EEECE1" w:themeFill="background2"/>
            <w:vAlign w:val="center"/>
          </w:tcPr>
          <w:p w14:paraId="5BEC5A25" w14:textId="77777777" w:rsidR="00C4624A" w:rsidRPr="002D52A1" w:rsidRDefault="00C4624A" w:rsidP="00461AA0">
            <w:pPr>
              <w:rPr>
                <w:noProof/>
                <w:sz w:val="20"/>
              </w:rPr>
            </w:pPr>
          </w:p>
        </w:tc>
        <w:tc>
          <w:tcPr>
            <w:tcW w:w="992" w:type="dxa"/>
            <w:shd w:val="clear" w:color="auto" w:fill="EEECE1" w:themeFill="background2"/>
          </w:tcPr>
          <w:p w14:paraId="154B254C" w14:textId="77777777" w:rsidR="00C4624A" w:rsidRPr="002D52A1" w:rsidRDefault="00C4624A" w:rsidP="00461AA0">
            <w:pPr>
              <w:rPr>
                <w:noProof/>
                <w:sz w:val="20"/>
              </w:rPr>
            </w:pPr>
          </w:p>
        </w:tc>
        <w:tc>
          <w:tcPr>
            <w:tcW w:w="992" w:type="dxa"/>
            <w:shd w:val="clear" w:color="auto" w:fill="EEECE1" w:themeFill="background2"/>
          </w:tcPr>
          <w:p w14:paraId="7EE27EA4" w14:textId="77777777" w:rsidR="00C4624A" w:rsidRPr="002D52A1" w:rsidRDefault="00C4624A" w:rsidP="00461AA0">
            <w:pPr>
              <w:rPr>
                <w:noProof/>
                <w:sz w:val="20"/>
              </w:rPr>
            </w:pPr>
          </w:p>
        </w:tc>
        <w:tc>
          <w:tcPr>
            <w:tcW w:w="2410" w:type="dxa"/>
            <w:shd w:val="clear" w:color="auto" w:fill="EEECE1" w:themeFill="background2"/>
          </w:tcPr>
          <w:p w14:paraId="522155F5" w14:textId="77777777" w:rsidR="00C4624A" w:rsidRPr="002D52A1" w:rsidRDefault="00C4624A" w:rsidP="00461AA0">
            <w:pPr>
              <w:rPr>
                <w:noProof/>
                <w:sz w:val="20"/>
              </w:rPr>
            </w:pPr>
          </w:p>
        </w:tc>
      </w:tr>
      <w:tr w:rsidR="00C4624A" w:rsidRPr="002D52A1" w14:paraId="71F1EBC3" w14:textId="77777777" w:rsidTr="00461AA0">
        <w:trPr>
          <w:trHeight w:val="694"/>
        </w:trPr>
        <w:tc>
          <w:tcPr>
            <w:tcW w:w="3960" w:type="dxa"/>
            <w:vMerge w:val="restart"/>
            <w:vAlign w:val="center"/>
          </w:tcPr>
          <w:p w14:paraId="2D646E31" w14:textId="77777777" w:rsidR="002D52A1" w:rsidRPr="002D52A1" w:rsidRDefault="00C4624A" w:rsidP="00461AA0">
            <w:pPr>
              <w:rPr>
                <w:noProof/>
                <w:sz w:val="18"/>
              </w:rPr>
            </w:pPr>
            <w:r w:rsidRPr="002D52A1">
              <w:rPr>
                <w:noProof/>
                <w:sz w:val="18"/>
              </w:rPr>
              <w:t>Rozpočtový riadok</w:t>
            </w:r>
            <w:r w:rsidRPr="002D52A1">
              <w:rPr>
                <w:rStyle w:val="FootnoteReference"/>
                <w:rFonts w:eastAsiaTheme="minorEastAsia"/>
                <w:b/>
                <w:bCs/>
                <w:noProof/>
                <w:sz w:val="18"/>
                <w:szCs w:val="18"/>
              </w:rPr>
              <w:footnoteReference w:id="34"/>
            </w:r>
          </w:p>
          <w:p w14:paraId="369C422B" w14:textId="04EDAF22" w:rsidR="00C4624A" w:rsidRPr="002D52A1" w:rsidRDefault="00C4624A" w:rsidP="00461AA0">
            <w:pPr>
              <w:rPr>
                <w:noProof/>
              </w:rPr>
            </w:pPr>
            <w:r w:rsidRPr="002D52A1">
              <w:rPr>
                <w:noProof/>
                <w:sz w:val="18"/>
              </w:rPr>
              <w:t>14 02 01 11 Východné susedstvo</w:t>
            </w:r>
            <w:r w:rsidRPr="002D52A1">
              <w:rPr>
                <w:rStyle w:val="FootnoteReference"/>
                <w:noProof/>
                <w:sz w:val="20"/>
              </w:rPr>
              <w:t xml:space="preserve"> </w:t>
            </w:r>
            <w:r w:rsidRPr="002D52A1">
              <w:rPr>
                <w:rStyle w:val="FootnoteReference"/>
                <w:noProof/>
                <w:sz w:val="20"/>
                <w:szCs w:val="20"/>
              </w:rPr>
              <w:footnoteReference w:id="35"/>
            </w:r>
          </w:p>
        </w:tc>
        <w:tc>
          <w:tcPr>
            <w:tcW w:w="1440" w:type="dxa"/>
            <w:gridSpan w:val="2"/>
            <w:vAlign w:val="center"/>
          </w:tcPr>
          <w:p w14:paraId="23A32B2A" w14:textId="77777777" w:rsidR="00C4624A" w:rsidRPr="002D52A1" w:rsidRDefault="00C4624A" w:rsidP="00461AA0">
            <w:pPr>
              <w:spacing w:before="20" w:after="20"/>
              <w:rPr>
                <w:noProof/>
                <w:sz w:val="18"/>
                <w:szCs w:val="18"/>
              </w:rPr>
            </w:pPr>
            <w:r w:rsidRPr="002D52A1">
              <w:rPr>
                <w:noProof/>
                <w:sz w:val="18"/>
              </w:rPr>
              <w:t>Záväzky</w:t>
            </w:r>
          </w:p>
        </w:tc>
        <w:tc>
          <w:tcPr>
            <w:tcW w:w="654" w:type="dxa"/>
            <w:vAlign w:val="center"/>
          </w:tcPr>
          <w:p w14:paraId="45BB9EEF" w14:textId="77777777" w:rsidR="00C4624A" w:rsidRPr="002D52A1" w:rsidRDefault="00C4624A" w:rsidP="00461AA0">
            <w:pPr>
              <w:spacing w:before="20" w:after="20"/>
              <w:jc w:val="center"/>
              <w:rPr>
                <w:noProof/>
                <w:sz w:val="16"/>
                <w:szCs w:val="16"/>
              </w:rPr>
            </w:pPr>
            <w:r w:rsidRPr="002D52A1">
              <w:rPr>
                <w:noProof/>
                <w:sz w:val="16"/>
              </w:rPr>
              <w:t>(a)</w:t>
            </w:r>
          </w:p>
        </w:tc>
        <w:tc>
          <w:tcPr>
            <w:tcW w:w="868" w:type="dxa"/>
          </w:tcPr>
          <w:p w14:paraId="49CD04E6" w14:textId="77777777" w:rsidR="00C4624A" w:rsidRPr="002D52A1" w:rsidRDefault="00C4624A" w:rsidP="00461AA0">
            <w:pPr>
              <w:spacing w:before="20" w:after="20"/>
              <w:jc w:val="right"/>
              <w:rPr>
                <w:noProof/>
                <w:sz w:val="20"/>
                <w:szCs w:val="20"/>
              </w:rPr>
            </w:pPr>
          </w:p>
        </w:tc>
        <w:tc>
          <w:tcPr>
            <w:tcW w:w="868" w:type="dxa"/>
            <w:vAlign w:val="center"/>
          </w:tcPr>
          <w:p w14:paraId="5941CFBC" w14:textId="77777777" w:rsidR="00C4624A" w:rsidRPr="002D52A1" w:rsidRDefault="00C4624A" w:rsidP="00461AA0">
            <w:pPr>
              <w:spacing w:before="20" w:after="20"/>
              <w:jc w:val="right"/>
              <w:rPr>
                <w:noProof/>
                <w:sz w:val="20"/>
                <w:szCs w:val="20"/>
              </w:rPr>
            </w:pPr>
          </w:p>
        </w:tc>
        <w:tc>
          <w:tcPr>
            <w:tcW w:w="868" w:type="dxa"/>
            <w:vAlign w:val="center"/>
          </w:tcPr>
          <w:p w14:paraId="4CCB3384" w14:textId="77777777" w:rsidR="00C4624A" w:rsidRPr="002D52A1" w:rsidRDefault="00C4624A" w:rsidP="00461AA0">
            <w:pPr>
              <w:spacing w:before="20" w:after="20"/>
              <w:jc w:val="right"/>
              <w:rPr>
                <w:noProof/>
                <w:sz w:val="20"/>
                <w:szCs w:val="20"/>
              </w:rPr>
            </w:pPr>
            <w:r w:rsidRPr="002D52A1">
              <w:rPr>
                <w:noProof/>
                <w:sz w:val="20"/>
              </w:rPr>
              <w:t>20,0</w:t>
            </w:r>
          </w:p>
          <w:p w14:paraId="2A842F16" w14:textId="77777777" w:rsidR="00C4624A" w:rsidRPr="002D52A1" w:rsidRDefault="00C4624A" w:rsidP="00461AA0">
            <w:pPr>
              <w:spacing w:before="20" w:after="20"/>
              <w:jc w:val="right"/>
              <w:rPr>
                <w:noProof/>
                <w:sz w:val="20"/>
                <w:szCs w:val="20"/>
              </w:rPr>
            </w:pPr>
          </w:p>
        </w:tc>
        <w:tc>
          <w:tcPr>
            <w:tcW w:w="930" w:type="dxa"/>
            <w:vAlign w:val="center"/>
          </w:tcPr>
          <w:p w14:paraId="2C0F3A8E" w14:textId="77777777" w:rsidR="00C4624A" w:rsidRPr="002D52A1" w:rsidRDefault="00C4624A" w:rsidP="00461AA0">
            <w:pPr>
              <w:spacing w:before="20" w:after="20"/>
              <w:jc w:val="right"/>
              <w:rPr>
                <w:noProof/>
                <w:sz w:val="20"/>
                <w:szCs w:val="20"/>
              </w:rPr>
            </w:pPr>
            <w:r w:rsidRPr="002D52A1">
              <w:rPr>
                <w:noProof/>
                <w:sz w:val="20"/>
              </w:rPr>
              <w:t>20,0</w:t>
            </w:r>
          </w:p>
          <w:p w14:paraId="5F463213" w14:textId="77777777" w:rsidR="00C4624A" w:rsidRPr="002D52A1" w:rsidRDefault="00C4624A" w:rsidP="00461AA0">
            <w:pPr>
              <w:spacing w:before="20" w:after="20"/>
              <w:jc w:val="right"/>
              <w:rPr>
                <w:noProof/>
                <w:sz w:val="20"/>
                <w:szCs w:val="20"/>
              </w:rPr>
            </w:pPr>
          </w:p>
        </w:tc>
        <w:tc>
          <w:tcPr>
            <w:tcW w:w="996" w:type="dxa"/>
            <w:vAlign w:val="center"/>
          </w:tcPr>
          <w:p w14:paraId="22FBF099" w14:textId="77777777" w:rsidR="00C4624A" w:rsidRPr="002D52A1" w:rsidRDefault="00C4624A" w:rsidP="00461AA0">
            <w:pPr>
              <w:spacing w:before="20" w:after="20"/>
              <w:jc w:val="right"/>
              <w:rPr>
                <w:noProof/>
                <w:sz w:val="20"/>
                <w:szCs w:val="20"/>
              </w:rPr>
            </w:pPr>
            <w:r w:rsidRPr="002D52A1">
              <w:rPr>
                <w:noProof/>
                <w:sz w:val="20"/>
              </w:rPr>
              <w:t>20,0</w:t>
            </w:r>
          </w:p>
          <w:p w14:paraId="3649F46D" w14:textId="77777777" w:rsidR="00C4624A" w:rsidRPr="002D52A1" w:rsidRDefault="00C4624A" w:rsidP="00461AA0">
            <w:pPr>
              <w:spacing w:before="20" w:after="20"/>
              <w:jc w:val="right"/>
              <w:rPr>
                <w:noProof/>
                <w:sz w:val="20"/>
                <w:szCs w:val="20"/>
              </w:rPr>
            </w:pPr>
          </w:p>
        </w:tc>
        <w:tc>
          <w:tcPr>
            <w:tcW w:w="992" w:type="dxa"/>
          </w:tcPr>
          <w:p w14:paraId="4E32C114" w14:textId="77777777" w:rsidR="00C4624A" w:rsidRPr="002D52A1" w:rsidRDefault="00C4624A" w:rsidP="00461AA0">
            <w:pPr>
              <w:spacing w:before="20" w:after="20"/>
              <w:jc w:val="right"/>
              <w:rPr>
                <w:noProof/>
                <w:sz w:val="20"/>
                <w:szCs w:val="20"/>
              </w:rPr>
            </w:pPr>
            <w:r w:rsidRPr="002D52A1">
              <w:rPr>
                <w:noProof/>
                <w:sz w:val="20"/>
              </w:rPr>
              <w:t>20,0</w:t>
            </w:r>
          </w:p>
          <w:p w14:paraId="0C26010C" w14:textId="77777777" w:rsidR="00C4624A" w:rsidRPr="002D52A1" w:rsidRDefault="00C4624A" w:rsidP="00461AA0">
            <w:pPr>
              <w:spacing w:before="20" w:after="20"/>
              <w:jc w:val="right"/>
              <w:rPr>
                <w:noProof/>
                <w:sz w:val="20"/>
                <w:szCs w:val="20"/>
              </w:rPr>
            </w:pPr>
          </w:p>
        </w:tc>
        <w:tc>
          <w:tcPr>
            <w:tcW w:w="992" w:type="dxa"/>
          </w:tcPr>
          <w:p w14:paraId="2902E89A" w14:textId="77777777" w:rsidR="00C4624A" w:rsidRPr="002D52A1" w:rsidRDefault="00C4624A" w:rsidP="00461AA0">
            <w:pPr>
              <w:spacing w:before="20" w:after="20"/>
              <w:jc w:val="right"/>
              <w:rPr>
                <w:noProof/>
                <w:sz w:val="20"/>
                <w:szCs w:val="20"/>
              </w:rPr>
            </w:pPr>
            <w:r w:rsidRPr="002D52A1">
              <w:rPr>
                <w:noProof/>
                <w:sz w:val="20"/>
              </w:rPr>
              <w:t>20,0</w:t>
            </w:r>
          </w:p>
          <w:p w14:paraId="6FA21B1B" w14:textId="77777777" w:rsidR="00C4624A" w:rsidRPr="002D52A1" w:rsidRDefault="00C4624A" w:rsidP="00461AA0">
            <w:pPr>
              <w:spacing w:before="20" w:after="20"/>
              <w:jc w:val="right"/>
              <w:rPr>
                <w:noProof/>
                <w:sz w:val="20"/>
                <w:szCs w:val="20"/>
              </w:rPr>
            </w:pPr>
          </w:p>
        </w:tc>
        <w:tc>
          <w:tcPr>
            <w:tcW w:w="2410" w:type="dxa"/>
            <w:vAlign w:val="center"/>
          </w:tcPr>
          <w:p w14:paraId="38F6DFBB" w14:textId="77777777" w:rsidR="00C4624A" w:rsidRPr="002D52A1" w:rsidRDefault="00C4624A" w:rsidP="00461AA0">
            <w:pPr>
              <w:spacing w:before="20" w:after="20"/>
              <w:jc w:val="right"/>
              <w:rPr>
                <w:b/>
                <w:bCs/>
                <w:noProof/>
                <w:sz w:val="20"/>
                <w:szCs w:val="20"/>
              </w:rPr>
            </w:pPr>
            <w:r w:rsidRPr="002D52A1">
              <w:rPr>
                <w:b/>
                <w:noProof/>
                <w:sz w:val="20"/>
              </w:rPr>
              <w:t>100,0</w:t>
            </w:r>
          </w:p>
        </w:tc>
      </w:tr>
      <w:tr w:rsidR="00C4624A" w:rsidRPr="002D52A1" w14:paraId="1D4DE793" w14:textId="77777777" w:rsidTr="00461AA0">
        <w:trPr>
          <w:trHeight w:val="638"/>
        </w:trPr>
        <w:tc>
          <w:tcPr>
            <w:tcW w:w="3960" w:type="dxa"/>
            <w:vMerge/>
          </w:tcPr>
          <w:p w14:paraId="68EE8815" w14:textId="77777777" w:rsidR="00C4624A" w:rsidRPr="002D52A1" w:rsidRDefault="00C4624A" w:rsidP="00461AA0">
            <w:pPr>
              <w:jc w:val="center"/>
              <w:rPr>
                <w:noProof/>
                <w:sz w:val="20"/>
              </w:rPr>
            </w:pPr>
          </w:p>
        </w:tc>
        <w:tc>
          <w:tcPr>
            <w:tcW w:w="1440" w:type="dxa"/>
            <w:gridSpan w:val="2"/>
            <w:vAlign w:val="center"/>
          </w:tcPr>
          <w:p w14:paraId="21E76B5E" w14:textId="77777777" w:rsidR="00C4624A" w:rsidRPr="002D52A1" w:rsidRDefault="00C4624A" w:rsidP="00461AA0">
            <w:pPr>
              <w:spacing w:before="20" w:after="20"/>
              <w:rPr>
                <w:noProof/>
                <w:sz w:val="18"/>
                <w:szCs w:val="18"/>
              </w:rPr>
            </w:pPr>
            <w:r w:rsidRPr="002D52A1">
              <w:rPr>
                <w:noProof/>
                <w:sz w:val="18"/>
              </w:rPr>
              <w:t>Platby</w:t>
            </w:r>
          </w:p>
        </w:tc>
        <w:tc>
          <w:tcPr>
            <w:tcW w:w="654" w:type="dxa"/>
            <w:vAlign w:val="center"/>
          </w:tcPr>
          <w:p w14:paraId="460EB18A" w14:textId="77777777" w:rsidR="00C4624A" w:rsidRPr="002D52A1" w:rsidRDefault="00C4624A" w:rsidP="00461AA0">
            <w:pPr>
              <w:spacing w:before="20" w:after="20"/>
              <w:jc w:val="center"/>
              <w:rPr>
                <w:noProof/>
                <w:sz w:val="16"/>
                <w:szCs w:val="16"/>
              </w:rPr>
            </w:pPr>
            <w:r w:rsidRPr="002D52A1">
              <w:rPr>
                <w:noProof/>
                <w:sz w:val="16"/>
              </w:rPr>
              <w:t>(b)</w:t>
            </w:r>
          </w:p>
        </w:tc>
        <w:tc>
          <w:tcPr>
            <w:tcW w:w="868" w:type="dxa"/>
          </w:tcPr>
          <w:p w14:paraId="3CBDE468" w14:textId="77777777" w:rsidR="00C4624A" w:rsidRPr="002D52A1" w:rsidRDefault="00C4624A" w:rsidP="00461AA0">
            <w:pPr>
              <w:spacing w:before="20" w:after="20"/>
              <w:jc w:val="right"/>
              <w:rPr>
                <w:noProof/>
                <w:sz w:val="20"/>
                <w:szCs w:val="20"/>
              </w:rPr>
            </w:pPr>
          </w:p>
        </w:tc>
        <w:tc>
          <w:tcPr>
            <w:tcW w:w="868" w:type="dxa"/>
            <w:vAlign w:val="center"/>
          </w:tcPr>
          <w:p w14:paraId="5BF04B7D" w14:textId="77777777" w:rsidR="00C4624A" w:rsidRPr="002D52A1" w:rsidRDefault="00C4624A" w:rsidP="00461AA0">
            <w:pPr>
              <w:spacing w:before="20" w:after="20"/>
              <w:jc w:val="right"/>
              <w:rPr>
                <w:noProof/>
                <w:sz w:val="20"/>
                <w:szCs w:val="20"/>
              </w:rPr>
            </w:pPr>
          </w:p>
        </w:tc>
        <w:tc>
          <w:tcPr>
            <w:tcW w:w="868" w:type="dxa"/>
            <w:vAlign w:val="center"/>
          </w:tcPr>
          <w:p w14:paraId="2C8CCEDB" w14:textId="77777777" w:rsidR="00C4624A" w:rsidRPr="002D52A1" w:rsidRDefault="00C4624A" w:rsidP="00461AA0">
            <w:pPr>
              <w:spacing w:before="20" w:after="20"/>
              <w:jc w:val="right"/>
              <w:rPr>
                <w:noProof/>
                <w:sz w:val="20"/>
                <w:szCs w:val="20"/>
              </w:rPr>
            </w:pPr>
            <w:r w:rsidRPr="002D52A1">
              <w:rPr>
                <w:noProof/>
                <w:sz w:val="20"/>
              </w:rPr>
              <w:t>20,0</w:t>
            </w:r>
          </w:p>
          <w:p w14:paraId="30E8763C" w14:textId="77777777" w:rsidR="00C4624A" w:rsidRPr="002D52A1" w:rsidRDefault="00C4624A" w:rsidP="00461AA0">
            <w:pPr>
              <w:spacing w:before="20" w:after="20"/>
              <w:jc w:val="right"/>
              <w:rPr>
                <w:noProof/>
                <w:sz w:val="20"/>
                <w:szCs w:val="20"/>
              </w:rPr>
            </w:pPr>
          </w:p>
        </w:tc>
        <w:tc>
          <w:tcPr>
            <w:tcW w:w="930" w:type="dxa"/>
            <w:vAlign w:val="center"/>
          </w:tcPr>
          <w:p w14:paraId="610CAAFF" w14:textId="77777777" w:rsidR="00C4624A" w:rsidRPr="002D52A1" w:rsidRDefault="00C4624A" w:rsidP="00461AA0">
            <w:pPr>
              <w:spacing w:before="20" w:after="20"/>
              <w:jc w:val="right"/>
              <w:rPr>
                <w:noProof/>
                <w:sz w:val="20"/>
                <w:szCs w:val="20"/>
              </w:rPr>
            </w:pPr>
            <w:r w:rsidRPr="002D52A1">
              <w:rPr>
                <w:noProof/>
                <w:sz w:val="20"/>
              </w:rPr>
              <w:t>20,0</w:t>
            </w:r>
          </w:p>
          <w:p w14:paraId="3E08D240" w14:textId="77777777" w:rsidR="00C4624A" w:rsidRPr="002D52A1" w:rsidRDefault="00C4624A" w:rsidP="00461AA0">
            <w:pPr>
              <w:spacing w:before="20" w:after="20"/>
              <w:jc w:val="right"/>
              <w:rPr>
                <w:noProof/>
                <w:sz w:val="20"/>
                <w:szCs w:val="20"/>
              </w:rPr>
            </w:pPr>
          </w:p>
        </w:tc>
        <w:tc>
          <w:tcPr>
            <w:tcW w:w="996" w:type="dxa"/>
            <w:vAlign w:val="center"/>
          </w:tcPr>
          <w:p w14:paraId="7376C461" w14:textId="77777777" w:rsidR="00C4624A" w:rsidRPr="002D52A1" w:rsidRDefault="00C4624A" w:rsidP="00461AA0">
            <w:pPr>
              <w:spacing w:before="20" w:after="20"/>
              <w:jc w:val="right"/>
              <w:rPr>
                <w:noProof/>
                <w:sz w:val="20"/>
                <w:szCs w:val="20"/>
              </w:rPr>
            </w:pPr>
            <w:r w:rsidRPr="002D52A1">
              <w:rPr>
                <w:noProof/>
                <w:sz w:val="20"/>
              </w:rPr>
              <w:t>20,0</w:t>
            </w:r>
          </w:p>
          <w:p w14:paraId="2E58A2FE" w14:textId="77777777" w:rsidR="00C4624A" w:rsidRPr="002D52A1" w:rsidRDefault="00C4624A" w:rsidP="00461AA0">
            <w:pPr>
              <w:spacing w:before="20" w:after="20"/>
              <w:jc w:val="right"/>
              <w:rPr>
                <w:noProof/>
                <w:sz w:val="20"/>
                <w:szCs w:val="20"/>
              </w:rPr>
            </w:pPr>
          </w:p>
        </w:tc>
        <w:tc>
          <w:tcPr>
            <w:tcW w:w="992" w:type="dxa"/>
            <w:vAlign w:val="center"/>
          </w:tcPr>
          <w:p w14:paraId="1971B787" w14:textId="77777777" w:rsidR="00C4624A" w:rsidRPr="002D52A1" w:rsidRDefault="00C4624A" w:rsidP="00461AA0">
            <w:pPr>
              <w:spacing w:before="20" w:after="20"/>
              <w:jc w:val="right"/>
              <w:rPr>
                <w:noProof/>
                <w:sz w:val="20"/>
                <w:szCs w:val="20"/>
              </w:rPr>
            </w:pPr>
            <w:r w:rsidRPr="002D52A1">
              <w:rPr>
                <w:noProof/>
                <w:sz w:val="20"/>
              </w:rPr>
              <w:t>20,0</w:t>
            </w:r>
          </w:p>
          <w:p w14:paraId="3A9A73EF" w14:textId="77777777" w:rsidR="00C4624A" w:rsidRPr="002D52A1" w:rsidRDefault="00C4624A" w:rsidP="00461AA0">
            <w:pPr>
              <w:spacing w:before="20" w:after="20"/>
              <w:rPr>
                <w:noProof/>
                <w:sz w:val="20"/>
                <w:szCs w:val="20"/>
              </w:rPr>
            </w:pPr>
          </w:p>
        </w:tc>
        <w:tc>
          <w:tcPr>
            <w:tcW w:w="992" w:type="dxa"/>
            <w:vAlign w:val="center"/>
          </w:tcPr>
          <w:p w14:paraId="525E7303" w14:textId="77777777" w:rsidR="00C4624A" w:rsidRPr="002D52A1" w:rsidRDefault="00C4624A" w:rsidP="00461AA0">
            <w:pPr>
              <w:spacing w:before="20" w:after="20"/>
              <w:jc w:val="right"/>
              <w:rPr>
                <w:noProof/>
                <w:sz w:val="20"/>
                <w:szCs w:val="20"/>
              </w:rPr>
            </w:pPr>
            <w:r w:rsidRPr="002D52A1">
              <w:rPr>
                <w:noProof/>
                <w:sz w:val="20"/>
              </w:rPr>
              <w:t>20,0</w:t>
            </w:r>
          </w:p>
          <w:p w14:paraId="0C6F161B" w14:textId="77777777" w:rsidR="00C4624A" w:rsidRPr="002D52A1" w:rsidRDefault="00C4624A" w:rsidP="00461AA0">
            <w:pPr>
              <w:spacing w:before="20" w:after="20"/>
              <w:jc w:val="right"/>
              <w:rPr>
                <w:noProof/>
                <w:sz w:val="20"/>
                <w:szCs w:val="20"/>
              </w:rPr>
            </w:pPr>
          </w:p>
        </w:tc>
        <w:tc>
          <w:tcPr>
            <w:tcW w:w="2410" w:type="dxa"/>
            <w:vAlign w:val="center"/>
          </w:tcPr>
          <w:p w14:paraId="1CAFBF63" w14:textId="77777777" w:rsidR="00C4624A" w:rsidRPr="002D52A1" w:rsidRDefault="00C4624A" w:rsidP="00461AA0">
            <w:pPr>
              <w:spacing w:before="20" w:after="20"/>
              <w:jc w:val="right"/>
              <w:rPr>
                <w:b/>
                <w:bCs/>
                <w:noProof/>
                <w:sz w:val="20"/>
                <w:szCs w:val="20"/>
              </w:rPr>
            </w:pPr>
            <w:r w:rsidRPr="002D52A1">
              <w:rPr>
                <w:b/>
                <w:noProof/>
                <w:sz w:val="20"/>
              </w:rPr>
              <w:t>100,0</w:t>
            </w:r>
          </w:p>
        </w:tc>
      </w:tr>
      <w:tr w:rsidR="00C4624A" w:rsidRPr="002D52A1" w14:paraId="7D00BBB3" w14:textId="77777777" w:rsidTr="00461AA0">
        <w:trPr>
          <w:trHeight w:val="638"/>
        </w:trPr>
        <w:tc>
          <w:tcPr>
            <w:tcW w:w="14978" w:type="dxa"/>
            <w:gridSpan w:val="12"/>
            <w:vAlign w:val="center"/>
          </w:tcPr>
          <w:p w14:paraId="50B9A521" w14:textId="77777777" w:rsidR="00C4624A" w:rsidRPr="002D52A1" w:rsidRDefault="00C4624A" w:rsidP="00461AA0">
            <w:pPr>
              <w:spacing w:before="20" w:after="20"/>
              <w:rPr>
                <w:rFonts w:eastAsia="Wingdings"/>
                <w:noProof/>
                <w:sz w:val="21"/>
                <w:szCs w:val="21"/>
              </w:rPr>
            </w:pPr>
            <w:r w:rsidRPr="002D52A1">
              <w:rPr>
                <w:noProof/>
                <w:sz w:val="21"/>
              </w:rPr>
              <w:t>□ Operačné rozpočtové prostriedky MFP II</w:t>
            </w:r>
          </w:p>
        </w:tc>
      </w:tr>
      <w:tr w:rsidR="00C4624A" w:rsidRPr="002D52A1" w14:paraId="12D5B4C6" w14:textId="77777777" w:rsidTr="00461AA0">
        <w:trPr>
          <w:trHeight w:val="638"/>
        </w:trPr>
        <w:tc>
          <w:tcPr>
            <w:tcW w:w="3960" w:type="dxa"/>
            <w:vMerge w:val="restart"/>
            <w:vAlign w:val="center"/>
          </w:tcPr>
          <w:p w14:paraId="49A66D3C" w14:textId="77777777" w:rsidR="002D52A1" w:rsidRPr="002D52A1" w:rsidRDefault="00C4624A" w:rsidP="00461AA0">
            <w:pPr>
              <w:rPr>
                <w:noProof/>
                <w:sz w:val="18"/>
              </w:rPr>
            </w:pPr>
            <w:r w:rsidRPr="002D52A1">
              <w:rPr>
                <w:noProof/>
                <w:sz w:val="18"/>
              </w:rPr>
              <w:t>Rozpočtový riadok</w:t>
            </w:r>
          </w:p>
          <w:p w14:paraId="16DD1F0B" w14:textId="00E4192C" w:rsidR="00C4624A" w:rsidRPr="002D52A1" w:rsidRDefault="00C4624A" w:rsidP="00461AA0">
            <w:pPr>
              <w:rPr>
                <w:rFonts w:eastAsia="Calibri"/>
                <w:noProof/>
                <w:szCs w:val="24"/>
              </w:rPr>
            </w:pPr>
            <w:r w:rsidRPr="002D52A1">
              <w:rPr>
                <w:noProof/>
                <w:sz w:val="18"/>
              </w:rPr>
              <w:t>14 02 01 11 Východné susedstvo</w:t>
            </w:r>
            <w:r w:rsidRPr="002D52A1">
              <w:rPr>
                <w:noProof/>
                <w:color w:val="000000" w:themeColor="text1"/>
                <w:sz w:val="16"/>
              </w:rPr>
              <w:t xml:space="preserve"> </w:t>
            </w:r>
            <w:r w:rsidRPr="002D52A1">
              <w:rPr>
                <w:rStyle w:val="FootnoteReference"/>
                <w:b/>
                <w:bCs/>
                <w:noProof/>
                <w:color w:val="000000"/>
                <w:sz w:val="16"/>
                <w:szCs w:val="16"/>
              </w:rPr>
              <w:footnoteReference w:id="36"/>
            </w:r>
          </w:p>
        </w:tc>
        <w:tc>
          <w:tcPr>
            <w:tcW w:w="1440" w:type="dxa"/>
            <w:gridSpan w:val="2"/>
            <w:vAlign w:val="center"/>
          </w:tcPr>
          <w:p w14:paraId="3BFCB892" w14:textId="77777777" w:rsidR="00C4624A" w:rsidRPr="002D52A1" w:rsidRDefault="00C4624A" w:rsidP="00461AA0">
            <w:pPr>
              <w:rPr>
                <w:rFonts w:eastAsia="Calibri"/>
                <w:noProof/>
                <w:sz w:val="18"/>
                <w:szCs w:val="18"/>
              </w:rPr>
            </w:pPr>
            <w:r w:rsidRPr="002D52A1">
              <w:rPr>
                <w:noProof/>
                <w:sz w:val="18"/>
              </w:rPr>
              <w:t>Záväzky</w:t>
            </w:r>
          </w:p>
        </w:tc>
        <w:tc>
          <w:tcPr>
            <w:tcW w:w="654" w:type="dxa"/>
            <w:vAlign w:val="center"/>
          </w:tcPr>
          <w:p w14:paraId="69418F21" w14:textId="77777777" w:rsidR="00C4624A" w:rsidRPr="002D52A1" w:rsidRDefault="00C4624A" w:rsidP="00461AA0">
            <w:pPr>
              <w:jc w:val="center"/>
              <w:rPr>
                <w:rFonts w:eastAsia="Times New Roman"/>
                <w:noProof/>
                <w:sz w:val="16"/>
                <w:szCs w:val="16"/>
              </w:rPr>
            </w:pPr>
            <w:r w:rsidRPr="002D52A1">
              <w:rPr>
                <w:noProof/>
                <w:sz w:val="16"/>
              </w:rPr>
              <w:t>(a)</w:t>
            </w:r>
          </w:p>
        </w:tc>
        <w:tc>
          <w:tcPr>
            <w:tcW w:w="868" w:type="dxa"/>
          </w:tcPr>
          <w:p w14:paraId="131CD9E1" w14:textId="77777777" w:rsidR="00C4624A" w:rsidRPr="002D52A1" w:rsidRDefault="00C4624A" w:rsidP="00461AA0">
            <w:pPr>
              <w:jc w:val="right"/>
              <w:rPr>
                <w:rFonts w:eastAsia="Calibri"/>
                <w:noProof/>
                <w:sz w:val="20"/>
                <w:szCs w:val="20"/>
              </w:rPr>
            </w:pPr>
          </w:p>
        </w:tc>
        <w:tc>
          <w:tcPr>
            <w:tcW w:w="868" w:type="dxa"/>
            <w:vAlign w:val="center"/>
          </w:tcPr>
          <w:p w14:paraId="54DF4E00" w14:textId="77777777" w:rsidR="00C4624A" w:rsidRPr="002D52A1" w:rsidRDefault="00C4624A" w:rsidP="00461AA0">
            <w:pPr>
              <w:jc w:val="right"/>
              <w:rPr>
                <w:rFonts w:eastAsia="Calibri"/>
                <w:noProof/>
                <w:sz w:val="20"/>
                <w:szCs w:val="20"/>
              </w:rPr>
            </w:pPr>
          </w:p>
        </w:tc>
        <w:tc>
          <w:tcPr>
            <w:tcW w:w="868" w:type="dxa"/>
            <w:vAlign w:val="center"/>
          </w:tcPr>
          <w:p w14:paraId="15C037DC" w14:textId="77777777" w:rsidR="00C4624A" w:rsidRPr="002D52A1" w:rsidRDefault="00C4624A" w:rsidP="00461AA0">
            <w:pPr>
              <w:jc w:val="right"/>
              <w:rPr>
                <w:rFonts w:eastAsia="Calibri"/>
                <w:noProof/>
                <w:sz w:val="20"/>
                <w:szCs w:val="20"/>
              </w:rPr>
            </w:pPr>
            <w:r w:rsidRPr="002D52A1">
              <w:rPr>
                <w:noProof/>
                <w:sz w:val="20"/>
              </w:rPr>
              <w:t>150,0</w:t>
            </w:r>
          </w:p>
        </w:tc>
        <w:tc>
          <w:tcPr>
            <w:tcW w:w="930" w:type="dxa"/>
            <w:vAlign w:val="center"/>
          </w:tcPr>
          <w:p w14:paraId="0A2BAEF1" w14:textId="77777777" w:rsidR="00C4624A" w:rsidRPr="002D52A1" w:rsidRDefault="00C4624A" w:rsidP="00461AA0">
            <w:pPr>
              <w:jc w:val="right"/>
              <w:rPr>
                <w:rFonts w:eastAsia="Calibri"/>
                <w:noProof/>
                <w:sz w:val="20"/>
                <w:szCs w:val="20"/>
              </w:rPr>
            </w:pPr>
            <w:r w:rsidRPr="002D52A1">
              <w:rPr>
                <w:noProof/>
                <w:sz w:val="20"/>
              </w:rPr>
              <w:t>150,0</w:t>
            </w:r>
          </w:p>
        </w:tc>
        <w:tc>
          <w:tcPr>
            <w:tcW w:w="996" w:type="dxa"/>
            <w:vAlign w:val="center"/>
          </w:tcPr>
          <w:p w14:paraId="48E319FC" w14:textId="77777777" w:rsidR="00C4624A" w:rsidRPr="002D52A1" w:rsidRDefault="00C4624A" w:rsidP="00461AA0">
            <w:pPr>
              <w:jc w:val="right"/>
              <w:rPr>
                <w:rFonts w:eastAsia="Calibri"/>
                <w:noProof/>
                <w:sz w:val="20"/>
                <w:szCs w:val="20"/>
              </w:rPr>
            </w:pPr>
            <w:r w:rsidRPr="002D52A1">
              <w:rPr>
                <w:noProof/>
                <w:sz w:val="20"/>
              </w:rPr>
              <w:t>150,0</w:t>
            </w:r>
          </w:p>
        </w:tc>
        <w:tc>
          <w:tcPr>
            <w:tcW w:w="992" w:type="dxa"/>
            <w:vAlign w:val="center"/>
          </w:tcPr>
          <w:p w14:paraId="4B68A87F" w14:textId="77777777" w:rsidR="00C4624A" w:rsidRPr="002D52A1" w:rsidRDefault="00C4624A" w:rsidP="00461AA0">
            <w:pPr>
              <w:jc w:val="right"/>
              <w:rPr>
                <w:rFonts w:eastAsia="Calibri"/>
                <w:noProof/>
                <w:sz w:val="20"/>
                <w:szCs w:val="20"/>
              </w:rPr>
            </w:pPr>
            <w:r w:rsidRPr="002D52A1">
              <w:rPr>
                <w:noProof/>
                <w:sz w:val="20"/>
              </w:rPr>
              <w:t>150,0</w:t>
            </w:r>
          </w:p>
        </w:tc>
        <w:tc>
          <w:tcPr>
            <w:tcW w:w="992" w:type="dxa"/>
            <w:vAlign w:val="center"/>
          </w:tcPr>
          <w:p w14:paraId="0914E2B6" w14:textId="77777777" w:rsidR="00C4624A" w:rsidRPr="002D52A1" w:rsidRDefault="00C4624A" w:rsidP="00461AA0">
            <w:pPr>
              <w:jc w:val="right"/>
              <w:rPr>
                <w:rFonts w:eastAsia="Calibri"/>
                <w:noProof/>
                <w:sz w:val="20"/>
                <w:szCs w:val="20"/>
              </w:rPr>
            </w:pPr>
            <w:r w:rsidRPr="002D52A1">
              <w:rPr>
                <w:noProof/>
                <w:sz w:val="20"/>
              </w:rPr>
              <w:t>150,0</w:t>
            </w:r>
          </w:p>
        </w:tc>
        <w:tc>
          <w:tcPr>
            <w:tcW w:w="2410" w:type="dxa"/>
            <w:vAlign w:val="center"/>
          </w:tcPr>
          <w:p w14:paraId="014A1A0A" w14:textId="77777777" w:rsidR="00C4624A" w:rsidRPr="002D52A1" w:rsidRDefault="00C4624A" w:rsidP="00461AA0">
            <w:pPr>
              <w:jc w:val="right"/>
              <w:rPr>
                <w:rFonts w:eastAsia="Calibri"/>
                <w:b/>
                <w:noProof/>
                <w:sz w:val="20"/>
                <w:szCs w:val="20"/>
              </w:rPr>
            </w:pPr>
            <w:r w:rsidRPr="002D52A1">
              <w:rPr>
                <w:b/>
                <w:noProof/>
                <w:sz w:val="20"/>
              </w:rPr>
              <w:t>750,0</w:t>
            </w:r>
          </w:p>
        </w:tc>
      </w:tr>
      <w:tr w:rsidR="00C4624A" w:rsidRPr="002D52A1" w14:paraId="533EA8C0" w14:textId="77777777" w:rsidTr="00461AA0">
        <w:trPr>
          <w:trHeight w:val="638"/>
        </w:trPr>
        <w:tc>
          <w:tcPr>
            <w:tcW w:w="3960" w:type="dxa"/>
            <w:vMerge/>
            <w:vAlign w:val="center"/>
          </w:tcPr>
          <w:p w14:paraId="2B84B9D1" w14:textId="77777777" w:rsidR="00C4624A" w:rsidRPr="002D52A1" w:rsidRDefault="00C4624A" w:rsidP="00461AA0">
            <w:pPr>
              <w:rPr>
                <w:noProof/>
              </w:rPr>
            </w:pPr>
          </w:p>
        </w:tc>
        <w:tc>
          <w:tcPr>
            <w:tcW w:w="1440" w:type="dxa"/>
            <w:gridSpan w:val="2"/>
            <w:vAlign w:val="center"/>
          </w:tcPr>
          <w:p w14:paraId="1DD95A83" w14:textId="77777777" w:rsidR="00C4624A" w:rsidRPr="002D52A1" w:rsidRDefault="00C4624A" w:rsidP="00461AA0">
            <w:pPr>
              <w:rPr>
                <w:rFonts w:eastAsia="Calibri"/>
                <w:noProof/>
                <w:sz w:val="18"/>
                <w:szCs w:val="18"/>
              </w:rPr>
            </w:pPr>
            <w:r w:rsidRPr="002D52A1">
              <w:rPr>
                <w:noProof/>
                <w:sz w:val="18"/>
              </w:rPr>
              <w:t>Platby</w:t>
            </w:r>
          </w:p>
        </w:tc>
        <w:tc>
          <w:tcPr>
            <w:tcW w:w="654" w:type="dxa"/>
            <w:vAlign w:val="center"/>
          </w:tcPr>
          <w:p w14:paraId="36720BAD" w14:textId="77777777" w:rsidR="00C4624A" w:rsidRPr="002D52A1" w:rsidRDefault="00C4624A" w:rsidP="00461AA0">
            <w:pPr>
              <w:jc w:val="center"/>
              <w:rPr>
                <w:rFonts w:eastAsia="Times New Roman"/>
                <w:noProof/>
                <w:sz w:val="16"/>
                <w:szCs w:val="16"/>
              </w:rPr>
            </w:pPr>
            <w:r w:rsidRPr="002D52A1">
              <w:rPr>
                <w:noProof/>
                <w:sz w:val="16"/>
              </w:rPr>
              <w:t>(b)</w:t>
            </w:r>
          </w:p>
        </w:tc>
        <w:tc>
          <w:tcPr>
            <w:tcW w:w="868" w:type="dxa"/>
          </w:tcPr>
          <w:p w14:paraId="5036B0E5" w14:textId="77777777" w:rsidR="00C4624A" w:rsidRPr="002D52A1" w:rsidRDefault="00C4624A" w:rsidP="00461AA0">
            <w:pPr>
              <w:jc w:val="right"/>
              <w:rPr>
                <w:rFonts w:eastAsia="Calibri"/>
                <w:noProof/>
                <w:sz w:val="20"/>
                <w:szCs w:val="20"/>
              </w:rPr>
            </w:pPr>
          </w:p>
        </w:tc>
        <w:tc>
          <w:tcPr>
            <w:tcW w:w="868" w:type="dxa"/>
            <w:vAlign w:val="center"/>
          </w:tcPr>
          <w:p w14:paraId="5D2D1675" w14:textId="77777777" w:rsidR="00C4624A" w:rsidRPr="002D52A1" w:rsidRDefault="00C4624A" w:rsidP="00461AA0">
            <w:pPr>
              <w:jc w:val="right"/>
              <w:rPr>
                <w:rFonts w:eastAsia="Calibri"/>
                <w:noProof/>
                <w:sz w:val="20"/>
                <w:szCs w:val="20"/>
              </w:rPr>
            </w:pPr>
          </w:p>
        </w:tc>
        <w:tc>
          <w:tcPr>
            <w:tcW w:w="868" w:type="dxa"/>
            <w:vAlign w:val="center"/>
          </w:tcPr>
          <w:p w14:paraId="25C37B78" w14:textId="77777777" w:rsidR="00C4624A" w:rsidRPr="002D52A1" w:rsidRDefault="00C4624A" w:rsidP="00461AA0">
            <w:pPr>
              <w:jc w:val="right"/>
              <w:rPr>
                <w:rFonts w:eastAsia="Calibri"/>
                <w:noProof/>
                <w:sz w:val="20"/>
                <w:szCs w:val="20"/>
              </w:rPr>
            </w:pPr>
            <w:r w:rsidRPr="002D52A1">
              <w:rPr>
                <w:noProof/>
                <w:sz w:val="20"/>
              </w:rPr>
              <w:t>150,0</w:t>
            </w:r>
          </w:p>
        </w:tc>
        <w:tc>
          <w:tcPr>
            <w:tcW w:w="930" w:type="dxa"/>
            <w:vAlign w:val="center"/>
          </w:tcPr>
          <w:p w14:paraId="576472D3" w14:textId="77777777" w:rsidR="00C4624A" w:rsidRPr="002D52A1" w:rsidRDefault="00C4624A" w:rsidP="00461AA0">
            <w:pPr>
              <w:jc w:val="right"/>
              <w:rPr>
                <w:rFonts w:eastAsia="Calibri"/>
                <w:noProof/>
                <w:sz w:val="20"/>
                <w:szCs w:val="20"/>
              </w:rPr>
            </w:pPr>
            <w:r w:rsidRPr="002D52A1">
              <w:rPr>
                <w:noProof/>
                <w:sz w:val="20"/>
              </w:rPr>
              <w:t>150,0</w:t>
            </w:r>
          </w:p>
        </w:tc>
        <w:tc>
          <w:tcPr>
            <w:tcW w:w="996" w:type="dxa"/>
            <w:vAlign w:val="center"/>
          </w:tcPr>
          <w:p w14:paraId="4395E663" w14:textId="77777777" w:rsidR="00C4624A" w:rsidRPr="002D52A1" w:rsidRDefault="00C4624A" w:rsidP="00461AA0">
            <w:pPr>
              <w:jc w:val="right"/>
              <w:rPr>
                <w:rFonts w:eastAsia="Calibri"/>
                <w:noProof/>
                <w:sz w:val="20"/>
                <w:szCs w:val="20"/>
              </w:rPr>
            </w:pPr>
            <w:r w:rsidRPr="002D52A1">
              <w:rPr>
                <w:noProof/>
                <w:sz w:val="20"/>
              </w:rPr>
              <w:t>150,0</w:t>
            </w:r>
          </w:p>
        </w:tc>
        <w:tc>
          <w:tcPr>
            <w:tcW w:w="992" w:type="dxa"/>
            <w:vAlign w:val="center"/>
          </w:tcPr>
          <w:p w14:paraId="68B446B8" w14:textId="77777777" w:rsidR="00C4624A" w:rsidRPr="002D52A1" w:rsidRDefault="00C4624A" w:rsidP="00461AA0">
            <w:pPr>
              <w:jc w:val="right"/>
              <w:rPr>
                <w:rFonts w:eastAsia="Calibri"/>
                <w:noProof/>
                <w:sz w:val="20"/>
                <w:szCs w:val="20"/>
              </w:rPr>
            </w:pPr>
            <w:r w:rsidRPr="002D52A1">
              <w:rPr>
                <w:noProof/>
                <w:sz w:val="20"/>
              </w:rPr>
              <w:t>150,0</w:t>
            </w:r>
          </w:p>
        </w:tc>
        <w:tc>
          <w:tcPr>
            <w:tcW w:w="992" w:type="dxa"/>
            <w:vAlign w:val="center"/>
          </w:tcPr>
          <w:p w14:paraId="6709EA1E" w14:textId="77777777" w:rsidR="00C4624A" w:rsidRPr="002D52A1" w:rsidRDefault="00C4624A" w:rsidP="00461AA0">
            <w:pPr>
              <w:jc w:val="right"/>
              <w:rPr>
                <w:rFonts w:eastAsia="Calibri"/>
                <w:noProof/>
                <w:sz w:val="20"/>
                <w:szCs w:val="20"/>
              </w:rPr>
            </w:pPr>
            <w:r w:rsidRPr="002D52A1">
              <w:rPr>
                <w:noProof/>
                <w:sz w:val="20"/>
              </w:rPr>
              <w:t>150,0</w:t>
            </w:r>
          </w:p>
        </w:tc>
        <w:tc>
          <w:tcPr>
            <w:tcW w:w="2410" w:type="dxa"/>
            <w:vAlign w:val="center"/>
          </w:tcPr>
          <w:p w14:paraId="0267629C" w14:textId="77777777" w:rsidR="00C4624A" w:rsidRPr="002D52A1" w:rsidRDefault="00C4624A" w:rsidP="00461AA0">
            <w:pPr>
              <w:jc w:val="right"/>
              <w:rPr>
                <w:rFonts w:eastAsia="Calibri"/>
                <w:b/>
                <w:noProof/>
                <w:sz w:val="20"/>
                <w:szCs w:val="20"/>
              </w:rPr>
            </w:pPr>
            <w:r w:rsidRPr="002D52A1">
              <w:rPr>
                <w:b/>
                <w:noProof/>
                <w:sz w:val="20"/>
              </w:rPr>
              <w:t>750,0</w:t>
            </w:r>
          </w:p>
        </w:tc>
      </w:tr>
      <w:tr w:rsidR="00C4624A" w:rsidRPr="002D52A1" w14:paraId="2129A596" w14:textId="77777777" w:rsidTr="00461AA0">
        <w:trPr>
          <w:trHeight w:val="638"/>
        </w:trPr>
        <w:tc>
          <w:tcPr>
            <w:tcW w:w="14978" w:type="dxa"/>
            <w:gridSpan w:val="12"/>
            <w:vAlign w:val="center"/>
          </w:tcPr>
          <w:p w14:paraId="25DCC2CB" w14:textId="52001195" w:rsidR="00C4624A" w:rsidRPr="002D52A1" w:rsidRDefault="00C4624A" w:rsidP="00461AA0">
            <w:pPr>
              <w:rPr>
                <w:rFonts w:eastAsia="Times New Roman"/>
                <w:noProof/>
                <w:sz w:val="20"/>
                <w:szCs w:val="20"/>
              </w:rPr>
            </w:pPr>
            <w:r w:rsidRPr="002D52A1">
              <w:rPr>
                <w:noProof/>
                <w:sz w:val="20"/>
              </w:rPr>
              <w:t>□ Tvorba rezerv na vyplatenie úverov EIB vo výške 1,586 mld. EUR</w:t>
            </w:r>
            <w:r w:rsidR="002D52A1">
              <w:rPr>
                <w:noProof/>
                <w:sz w:val="20"/>
              </w:rPr>
              <w:t xml:space="preserve"> v </w:t>
            </w:r>
            <w:r w:rsidRPr="002D52A1">
              <w:rPr>
                <w:noProof/>
                <w:sz w:val="20"/>
              </w:rPr>
              <w:t>rámci mandátu na poskytovanie vonkajších úverov</w:t>
            </w:r>
          </w:p>
        </w:tc>
      </w:tr>
      <w:tr w:rsidR="00C4624A" w:rsidRPr="002D52A1" w14:paraId="354B2A8B" w14:textId="77777777" w:rsidTr="00461AA0">
        <w:trPr>
          <w:trHeight w:val="638"/>
        </w:trPr>
        <w:tc>
          <w:tcPr>
            <w:tcW w:w="3960" w:type="dxa"/>
            <w:vMerge w:val="restart"/>
            <w:vAlign w:val="center"/>
          </w:tcPr>
          <w:p w14:paraId="369CF962" w14:textId="77777777" w:rsidR="002D52A1" w:rsidRPr="00AD77F1" w:rsidRDefault="00C4624A" w:rsidP="00461AA0">
            <w:pPr>
              <w:rPr>
                <w:noProof/>
                <w:sz w:val="18"/>
                <w:szCs w:val="18"/>
              </w:rPr>
            </w:pPr>
            <w:r w:rsidRPr="00AD77F1">
              <w:rPr>
                <w:noProof/>
                <w:sz w:val="18"/>
                <w:szCs w:val="18"/>
              </w:rPr>
              <w:t>Rozpočtový riadok</w:t>
            </w:r>
          </w:p>
          <w:p w14:paraId="17862F97" w14:textId="6320A770" w:rsidR="00C4624A" w:rsidRPr="00AD77F1" w:rsidRDefault="00C4624A" w:rsidP="00461AA0">
            <w:pPr>
              <w:rPr>
                <w:rFonts w:eastAsia="Times New Roman"/>
                <w:noProof/>
                <w:sz w:val="18"/>
                <w:szCs w:val="18"/>
              </w:rPr>
            </w:pPr>
            <w:r w:rsidRPr="00AD77F1">
              <w:rPr>
                <w:noProof/>
                <w:sz w:val="18"/>
                <w:szCs w:val="18"/>
              </w:rPr>
              <w:t>14 02 01 70 05 NDICI – Tvorba rezerv pre spoločný rezervný fond (tvorba rezerv vo výške 9</w:t>
            </w:r>
            <w:r w:rsidR="002D52A1" w:rsidRPr="00AD77F1">
              <w:rPr>
                <w:noProof/>
                <w:sz w:val="18"/>
                <w:szCs w:val="18"/>
              </w:rPr>
              <w:t> %</w:t>
            </w:r>
            <w:r w:rsidRPr="00AD77F1">
              <w:rPr>
                <w:noProof/>
                <w:sz w:val="18"/>
                <w:szCs w:val="18"/>
              </w:rPr>
              <w:t>)</w:t>
            </w:r>
          </w:p>
        </w:tc>
        <w:tc>
          <w:tcPr>
            <w:tcW w:w="1440" w:type="dxa"/>
            <w:gridSpan w:val="2"/>
            <w:vAlign w:val="center"/>
          </w:tcPr>
          <w:p w14:paraId="11DC732C" w14:textId="77777777" w:rsidR="00C4624A" w:rsidRPr="002D52A1" w:rsidRDefault="00C4624A" w:rsidP="00461AA0">
            <w:pPr>
              <w:rPr>
                <w:rFonts w:eastAsia="Calibri"/>
                <w:noProof/>
                <w:sz w:val="16"/>
                <w:szCs w:val="16"/>
              </w:rPr>
            </w:pPr>
            <w:r w:rsidRPr="002D52A1">
              <w:rPr>
                <w:noProof/>
                <w:sz w:val="16"/>
              </w:rPr>
              <w:t>Záväzky</w:t>
            </w:r>
          </w:p>
        </w:tc>
        <w:tc>
          <w:tcPr>
            <w:tcW w:w="654" w:type="dxa"/>
            <w:vAlign w:val="center"/>
          </w:tcPr>
          <w:p w14:paraId="513B251E" w14:textId="77777777" w:rsidR="00C4624A" w:rsidRPr="002D52A1" w:rsidRDefault="00C4624A" w:rsidP="00461AA0">
            <w:pPr>
              <w:jc w:val="center"/>
              <w:rPr>
                <w:rFonts w:eastAsia="Times New Roman"/>
                <w:noProof/>
                <w:sz w:val="16"/>
                <w:szCs w:val="16"/>
              </w:rPr>
            </w:pPr>
            <w:r w:rsidRPr="002D52A1">
              <w:rPr>
                <w:noProof/>
                <w:sz w:val="16"/>
              </w:rPr>
              <w:t>(a)</w:t>
            </w:r>
          </w:p>
        </w:tc>
        <w:tc>
          <w:tcPr>
            <w:tcW w:w="868" w:type="dxa"/>
          </w:tcPr>
          <w:p w14:paraId="650BCA56" w14:textId="77777777" w:rsidR="00C4624A" w:rsidRPr="002D52A1" w:rsidRDefault="00C4624A" w:rsidP="00461AA0">
            <w:pPr>
              <w:jc w:val="right"/>
              <w:rPr>
                <w:rFonts w:eastAsia="Calibri"/>
                <w:noProof/>
                <w:sz w:val="20"/>
                <w:szCs w:val="20"/>
              </w:rPr>
            </w:pPr>
          </w:p>
        </w:tc>
        <w:tc>
          <w:tcPr>
            <w:tcW w:w="868" w:type="dxa"/>
            <w:vAlign w:val="center"/>
          </w:tcPr>
          <w:p w14:paraId="105E284D" w14:textId="77777777" w:rsidR="00C4624A" w:rsidRPr="002D52A1" w:rsidRDefault="00C4624A" w:rsidP="00461AA0">
            <w:pPr>
              <w:jc w:val="right"/>
              <w:rPr>
                <w:rFonts w:eastAsia="Calibri"/>
                <w:noProof/>
                <w:sz w:val="20"/>
                <w:szCs w:val="20"/>
              </w:rPr>
            </w:pPr>
          </w:p>
        </w:tc>
        <w:tc>
          <w:tcPr>
            <w:tcW w:w="868" w:type="dxa"/>
            <w:vAlign w:val="center"/>
          </w:tcPr>
          <w:p w14:paraId="073CCA66" w14:textId="77777777" w:rsidR="00C4624A" w:rsidRPr="002D52A1" w:rsidRDefault="00C4624A" w:rsidP="00461AA0">
            <w:pPr>
              <w:jc w:val="right"/>
              <w:rPr>
                <w:rFonts w:eastAsia="Calibri"/>
                <w:noProof/>
                <w:sz w:val="20"/>
                <w:szCs w:val="20"/>
              </w:rPr>
            </w:pPr>
          </w:p>
        </w:tc>
        <w:tc>
          <w:tcPr>
            <w:tcW w:w="930" w:type="dxa"/>
            <w:vAlign w:val="center"/>
          </w:tcPr>
          <w:p w14:paraId="422D55EA" w14:textId="77777777" w:rsidR="00C4624A" w:rsidRPr="002D52A1" w:rsidRDefault="00C4624A" w:rsidP="00461AA0">
            <w:pPr>
              <w:jc w:val="right"/>
              <w:rPr>
                <w:rFonts w:eastAsia="Calibri"/>
                <w:noProof/>
                <w:sz w:val="20"/>
                <w:szCs w:val="20"/>
              </w:rPr>
            </w:pPr>
          </w:p>
        </w:tc>
        <w:tc>
          <w:tcPr>
            <w:tcW w:w="996" w:type="dxa"/>
            <w:vAlign w:val="center"/>
          </w:tcPr>
          <w:p w14:paraId="6045C7F3" w14:textId="77777777" w:rsidR="00C4624A" w:rsidRPr="002D52A1" w:rsidRDefault="00C4624A" w:rsidP="00461AA0">
            <w:pPr>
              <w:jc w:val="right"/>
              <w:rPr>
                <w:rFonts w:eastAsia="Calibri"/>
                <w:noProof/>
                <w:sz w:val="20"/>
                <w:szCs w:val="20"/>
              </w:rPr>
            </w:pPr>
            <w:r w:rsidRPr="002D52A1">
              <w:rPr>
                <w:noProof/>
                <w:sz w:val="20"/>
              </w:rPr>
              <w:t>47,58</w:t>
            </w:r>
          </w:p>
        </w:tc>
        <w:tc>
          <w:tcPr>
            <w:tcW w:w="992" w:type="dxa"/>
            <w:vAlign w:val="center"/>
          </w:tcPr>
          <w:p w14:paraId="70149C3A" w14:textId="77777777" w:rsidR="00C4624A" w:rsidRPr="002D52A1" w:rsidRDefault="00C4624A" w:rsidP="00461AA0">
            <w:pPr>
              <w:jc w:val="right"/>
              <w:rPr>
                <w:rFonts w:eastAsia="Calibri"/>
                <w:noProof/>
                <w:sz w:val="20"/>
                <w:szCs w:val="20"/>
              </w:rPr>
            </w:pPr>
            <w:r w:rsidRPr="002D52A1">
              <w:rPr>
                <w:noProof/>
                <w:sz w:val="20"/>
              </w:rPr>
              <w:t>47,58</w:t>
            </w:r>
          </w:p>
        </w:tc>
        <w:tc>
          <w:tcPr>
            <w:tcW w:w="992" w:type="dxa"/>
            <w:vAlign w:val="center"/>
          </w:tcPr>
          <w:p w14:paraId="61BA4CF0" w14:textId="77777777" w:rsidR="00C4624A" w:rsidRPr="002D52A1" w:rsidRDefault="00C4624A" w:rsidP="00461AA0">
            <w:pPr>
              <w:jc w:val="right"/>
              <w:rPr>
                <w:rFonts w:eastAsia="Calibri"/>
                <w:noProof/>
                <w:sz w:val="20"/>
                <w:szCs w:val="20"/>
              </w:rPr>
            </w:pPr>
            <w:r w:rsidRPr="002D52A1">
              <w:rPr>
                <w:noProof/>
                <w:sz w:val="20"/>
              </w:rPr>
              <w:t>47,58</w:t>
            </w:r>
          </w:p>
        </w:tc>
        <w:tc>
          <w:tcPr>
            <w:tcW w:w="2410" w:type="dxa"/>
            <w:vAlign w:val="center"/>
          </w:tcPr>
          <w:p w14:paraId="4326745F" w14:textId="77777777" w:rsidR="00C4624A" w:rsidRPr="002D52A1" w:rsidRDefault="00C4624A" w:rsidP="00461AA0">
            <w:pPr>
              <w:jc w:val="right"/>
              <w:rPr>
                <w:rFonts w:eastAsia="Calibri"/>
                <w:b/>
                <w:noProof/>
                <w:sz w:val="20"/>
                <w:szCs w:val="20"/>
              </w:rPr>
            </w:pPr>
            <w:r w:rsidRPr="002D52A1">
              <w:rPr>
                <w:b/>
                <w:noProof/>
                <w:sz w:val="20"/>
              </w:rPr>
              <w:t>142,74</w:t>
            </w:r>
          </w:p>
        </w:tc>
      </w:tr>
      <w:tr w:rsidR="00C4624A" w:rsidRPr="002D52A1" w14:paraId="5810E637" w14:textId="77777777" w:rsidTr="00461AA0">
        <w:trPr>
          <w:trHeight w:val="638"/>
        </w:trPr>
        <w:tc>
          <w:tcPr>
            <w:tcW w:w="3960" w:type="dxa"/>
            <w:vMerge/>
            <w:vAlign w:val="center"/>
          </w:tcPr>
          <w:p w14:paraId="1FABDBA8" w14:textId="77777777" w:rsidR="00C4624A" w:rsidRPr="00AD77F1" w:rsidRDefault="00C4624A" w:rsidP="00461AA0">
            <w:pPr>
              <w:rPr>
                <w:noProof/>
                <w:sz w:val="18"/>
                <w:szCs w:val="18"/>
              </w:rPr>
            </w:pPr>
          </w:p>
        </w:tc>
        <w:tc>
          <w:tcPr>
            <w:tcW w:w="1440" w:type="dxa"/>
            <w:gridSpan w:val="2"/>
            <w:vAlign w:val="center"/>
          </w:tcPr>
          <w:p w14:paraId="1F16889C" w14:textId="77777777" w:rsidR="00C4624A" w:rsidRPr="002D52A1" w:rsidRDefault="00C4624A" w:rsidP="00461AA0">
            <w:pPr>
              <w:rPr>
                <w:rFonts w:eastAsia="Calibri"/>
                <w:noProof/>
                <w:sz w:val="16"/>
                <w:szCs w:val="16"/>
              </w:rPr>
            </w:pPr>
            <w:r w:rsidRPr="002D52A1">
              <w:rPr>
                <w:noProof/>
                <w:sz w:val="16"/>
              </w:rPr>
              <w:t>Platby</w:t>
            </w:r>
          </w:p>
        </w:tc>
        <w:tc>
          <w:tcPr>
            <w:tcW w:w="654" w:type="dxa"/>
            <w:vAlign w:val="center"/>
          </w:tcPr>
          <w:p w14:paraId="3E839493" w14:textId="77777777" w:rsidR="00C4624A" w:rsidRPr="002D52A1" w:rsidRDefault="00C4624A" w:rsidP="00461AA0">
            <w:pPr>
              <w:jc w:val="center"/>
              <w:rPr>
                <w:rFonts w:eastAsia="Times New Roman"/>
                <w:noProof/>
                <w:sz w:val="16"/>
                <w:szCs w:val="16"/>
              </w:rPr>
            </w:pPr>
            <w:r w:rsidRPr="002D52A1">
              <w:rPr>
                <w:noProof/>
                <w:sz w:val="16"/>
              </w:rPr>
              <w:t>(b)</w:t>
            </w:r>
          </w:p>
        </w:tc>
        <w:tc>
          <w:tcPr>
            <w:tcW w:w="868" w:type="dxa"/>
          </w:tcPr>
          <w:p w14:paraId="58E7A551" w14:textId="77777777" w:rsidR="00C4624A" w:rsidRPr="002D52A1" w:rsidRDefault="00C4624A" w:rsidP="00461AA0">
            <w:pPr>
              <w:jc w:val="right"/>
              <w:rPr>
                <w:rFonts w:eastAsia="Calibri"/>
                <w:noProof/>
                <w:sz w:val="20"/>
                <w:szCs w:val="20"/>
              </w:rPr>
            </w:pPr>
          </w:p>
        </w:tc>
        <w:tc>
          <w:tcPr>
            <w:tcW w:w="868" w:type="dxa"/>
            <w:vAlign w:val="center"/>
          </w:tcPr>
          <w:p w14:paraId="49BDED11" w14:textId="77777777" w:rsidR="00C4624A" w:rsidRPr="002D52A1" w:rsidRDefault="00C4624A" w:rsidP="00461AA0">
            <w:pPr>
              <w:jc w:val="right"/>
              <w:rPr>
                <w:rFonts w:eastAsia="Calibri"/>
                <w:noProof/>
                <w:sz w:val="20"/>
                <w:szCs w:val="20"/>
              </w:rPr>
            </w:pPr>
          </w:p>
        </w:tc>
        <w:tc>
          <w:tcPr>
            <w:tcW w:w="868" w:type="dxa"/>
            <w:vAlign w:val="center"/>
          </w:tcPr>
          <w:p w14:paraId="163C7A72" w14:textId="77777777" w:rsidR="00C4624A" w:rsidRPr="002D52A1" w:rsidRDefault="00C4624A" w:rsidP="00461AA0">
            <w:pPr>
              <w:jc w:val="right"/>
              <w:rPr>
                <w:rFonts w:eastAsia="Calibri"/>
                <w:noProof/>
                <w:sz w:val="20"/>
                <w:szCs w:val="20"/>
              </w:rPr>
            </w:pPr>
          </w:p>
        </w:tc>
        <w:tc>
          <w:tcPr>
            <w:tcW w:w="930" w:type="dxa"/>
            <w:vAlign w:val="center"/>
          </w:tcPr>
          <w:p w14:paraId="29323604" w14:textId="77777777" w:rsidR="00C4624A" w:rsidRPr="002D52A1" w:rsidRDefault="00C4624A" w:rsidP="00461AA0">
            <w:pPr>
              <w:jc w:val="right"/>
              <w:rPr>
                <w:rFonts w:eastAsia="Calibri"/>
                <w:noProof/>
                <w:sz w:val="20"/>
                <w:szCs w:val="20"/>
              </w:rPr>
            </w:pPr>
          </w:p>
        </w:tc>
        <w:tc>
          <w:tcPr>
            <w:tcW w:w="996" w:type="dxa"/>
            <w:vAlign w:val="center"/>
          </w:tcPr>
          <w:p w14:paraId="064EFFB0" w14:textId="77777777" w:rsidR="00C4624A" w:rsidRPr="002D52A1" w:rsidRDefault="00C4624A" w:rsidP="00461AA0">
            <w:pPr>
              <w:jc w:val="right"/>
              <w:rPr>
                <w:rFonts w:eastAsia="Calibri"/>
                <w:noProof/>
                <w:sz w:val="20"/>
                <w:szCs w:val="20"/>
              </w:rPr>
            </w:pPr>
            <w:r w:rsidRPr="002D52A1">
              <w:rPr>
                <w:noProof/>
                <w:sz w:val="20"/>
              </w:rPr>
              <w:t>47,58</w:t>
            </w:r>
          </w:p>
        </w:tc>
        <w:tc>
          <w:tcPr>
            <w:tcW w:w="992" w:type="dxa"/>
            <w:vAlign w:val="center"/>
          </w:tcPr>
          <w:p w14:paraId="1FB3BA50" w14:textId="77777777" w:rsidR="00C4624A" w:rsidRPr="002D52A1" w:rsidRDefault="00C4624A" w:rsidP="00461AA0">
            <w:pPr>
              <w:jc w:val="right"/>
              <w:rPr>
                <w:rFonts w:eastAsia="Calibri"/>
                <w:noProof/>
                <w:sz w:val="20"/>
                <w:szCs w:val="20"/>
              </w:rPr>
            </w:pPr>
            <w:r w:rsidRPr="002D52A1">
              <w:rPr>
                <w:noProof/>
                <w:sz w:val="20"/>
              </w:rPr>
              <w:t>47,58</w:t>
            </w:r>
          </w:p>
        </w:tc>
        <w:tc>
          <w:tcPr>
            <w:tcW w:w="992" w:type="dxa"/>
            <w:vAlign w:val="center"/>
          </w:tcPr>
          <w:p w14:paraId="4CFF4B74" w14:textId="77777777" w:rsidR="00C4624A" w:rsidRPr="002D52A1" w:rsidRDefault="00C4624A" w:rsidP="00461AA0">
            <w:pPr>
              <w:jc w:val="right"/>
              <w:rPr>
                <w:rFonts w:eastAsia="Calibri"/>
                <w:noProof/>
                <w:sz w:val="20"/>
                <w:szCs w:val="20"/>
              </w:rPr>
            </w:pPr>
            <w:r w:rsidRPr="002D52A1">
              <w:rPr>
                <w:noProof/>
                <w:sz w:val="20"/>
              </w:rPr>
              <w:t>47,58</w:t>
            </w:r>
          </w:p>
        </w:tc>
        <w:tc>
          <w:tcPr>
            <w:tcW w:w="2410" w:type="dxa"/>
            <w:vAlign w:val="center"/>
          </w:tcPr>
          <w:p w14:paraId="78FE8A69" w14:textId="77777777" w:rsidR="00C4624A" w:rsidRPr="002D52A1" w:rsidRDefault="00C4624A" w:rsidP="00461AA0">
            <w:pPr>
              <w:jc w:val="right"/>
              <w:rPr>
                <w:rFonts w:eastAsia="Calibri"/>
                <w:b/>
                <w:noProof/>
                <w:sz w:val="20"/>
                <w:szCs w:val="20"/>
              </w:rPr>
            </w:pPr>
            <w:r w:rsidRPr="002D52A1">
              <w:rPr>
                <w:b/>
                <w:noProof/>
                <w:sz w:val="20"/>
              </w:rPr>
              <w:t>142,74</w:t>
            </w:r>
          </w:p>
        </w:tc>
      </w:tr>
      <w:tr w:rsidR="00C4624A" w:rsidRPr="002D52A1" w14:paraId="424E0A44" w14:textId="77777777" w:rsidTr="00461AA0">
        <w:trPr>
          <w:trHeight w:val="638"/>
        </w:trPr>
        <w:tc>
          <w:tcPr>
            <w:tcW w:w="3960" w:type="dxa"/>
            <w:vMerge w:val="restart"/>
            <w:vAlign w:val="center"/>
          </w:tcPr>
          <w:p w14:paraId="1B5CA06D" w14:textId="77777777" w:rsidR="00C4624A" w:rsidRPr="00AD77F1" w:rsidRDefault="00C4624A" w:rsidP="00461AA0">
            <w:pPr>
              <w:rPr>
                <w:rFonts w:eastAsia="Times New Roman"/>
                <w:noProof/>
                <w:sz w:val="18"/>
                <w:szCs w:val="18"/>
              </w:rPr>
            </w:pPr>
            <w:r w:rsidRPr="00AD77F1">
              <w:rPr>
                <w:noProof/>
                <w:sz w:val="18"/>
                <w:szCs w:val="18"/>
              </w:rPr>
              <w:t>Rozpočtový riadok</w:t>
            </w:r>
          </w:p>
          <w:p w14:paraId="4B834446" w14:textId="67265FF3" w:rsidR="00C4624A" w:rsidRPr="00AD77F1" w:rsidRDefault="00C4624A" w:rsidP="00461AA0">
            <w:pPr>
              <w:rPr>
                <w:rFonts w:eastAsia="Calibri"/>
                <w:noProof/>
                <w:sz w:val="18"/>
                <w:szCs w:val="18"/>
              </w:rPr>
            </w:pPr>
            <w:r w:rsidRPr="00AD77F1">
              <w:rPr>
                <w:noProof/>
                <w:sz w:val="18"/>
                <w:szCs w:val="18"/>
              </w:rPr>
              <w:t>14 02 01 70 05 NDICI – Tvorba rezerv pre spoločný rezervný fond</w:t>
            </w:r>
            <w:r w:rsidRPr="00AD77F1">
              <w:rPr>
                <w:rStyle w:val="FootnoteReference"/>
                <w:b/>
                <w:noProof/>
                <w:sz w:val="18"/>
                <w:szCs w:val="18"/>
              </w:rPr>
              <w:footnoteReference w:id="37"/>
            </w:r>
            <w:r w:rsidRPr="00AD77F1">
              <w:rPr>
                <w:noProof/>
                <w:sz w:val="18"/>
                <w:szCs w:val="18"/>
              </w:rPr>
              <w:t xml:space="preserve"> (tvorba rezerv vo výške 61</w:t>
            </w:r>
            <w:r w:rsidR="002D52A1" w:rsidRPr="00AD77F1">
              <w:rPr>
                <w:noProof/>
                <w:sz w:val="18"/>
                <w:szCs w:val="18"/>
              </w:rPr>
              <w:t> %</w:t>
            </w:r>
            <w:r w:rsidRPr="00AD77F1">
              <w:rPr>
                <w:noProof/>
                <w:sz w:val="18"/>
                <w:szCs w:val="18"/>
              </w:rPr>
              <w:t>)</w:t>
            </w:r>
          </w:p>
        </w:tc>
        <w:tc>
          <w:tcPr>
            <w:tcW w:w="1440" w:type="dxa"/>
            <w:gridSpan w:val="2"/>
            <w:vAlign w:val="center"/>
          </w:tcPr>
          <w:p w14:paraId="05DF00A2" w14:textId="77777777" w:rsidR="00C4624A" w:rsidRPr="002D52A1" w:rsidRDefault="00C4624A" w:rsidP="00461AA0">
            <w:pPr>
              <w:rPr>
                <w:rFonts w:eastAsia="Calibri"/>
                <w:noProof/>
                <w:sz w:val="16"/>
                <w:szCs w:val="16"/>
              </w:rPr>
            </w:pPr>
            <w:r w:rsidRPr="002D52A1">
              <w:rPr>
                <w:noProof/>
                <w:sz w:val="16"/>
              </w:rPr>
              <w:t>Záväzky</w:t>
            </w:r>
          </w:p>
        </w:tc>
        <w:tc>
          <w:tcPr>
            <w:tcW w:w="654" w:type="dxa"/>
            <w:vAlign w:val="center"/>
          </w:tcPr>
          <w:p w14:paraId="5727FA1A" w14:textId="77777777" w:rsidR="00C4624A" w:rsidRPr="002D52A1" w:rsidRDefault="00C4624A" w:rsidP="00461AA0">
            <w:pPr>
              <w:jc w:val="center"/>
              <w:rPr>
                <w:rFonts w:eastAsia="Times New Roman"/>
                <w:noProof/>
                <w:sz w:val="16"/>
                <w:szCs w:val="16"/>
              </w:rPr>
            </w:pPr>
            <w:r w:rsidRPr="002D52A1">
              <w:rPr>
                <w:noProof/>
                <w:sz w:val="16"/>
              </w:rPr>
              <w:t>(a)</w:t>
            </w:r>
          </w:p>
        </w:tc>
        <w:tc>
          <w:tcPr>
            <w:tcW w:w="868" w:type="dxa"/>
          </w:tcPr>
          <w:p w14:paraId="33B29A94" w14:textId="77777777" w:rsidR="00C4624A" w:rsidRPr="002D52A1" w:rsidRDefault="00C4624A" w:rsidP="00461AA0">
            <w:pPr>
              <w:jc w:val="right"/>
              <w:rPr>
                <w:rFonts w:eastAsia="Calibri"/>
                <w:noProof/>
                <w:sz w:val="20"/>
                <w:szCs w:val="20"/>
              </w:rPr>
            </w:pPr>
          </w:p>
        </w:tc>
        <w:tc>
          <w:tcPr>
            <w:tcW w:w="868" w:type="dxa"/>
            <w:vAlign w:val="center"/>
          </w:tcPr>
          <w:p w14:paraId="65E0DF27" w14:textId="77777777" w:rsidR="00C4624A" w:rsidRPr="002D52A1" w:rsidRDefault="00C4624A" w:rsidP="00461AA0">
            <w:pPr>
              <w:jc w:val="right"/>
              <w:rPr>
                <w:rFonts w:eastAsia="Calibri"/>
                <w:noProof/>
                <w:sz w:val="20"/>
                <w:szCs w:val="20"/>
              </w:rPr>
            </w:pPr>
          </w:p>
        </w:tc>
        <w:tc>
          <w:tcPr>
            <w:tcW w:w="868" w:type="dxa"/>
            <w:vAlign w:val="center"/>
          </w:tcPr>
          <w:p w14:paraId="7EDDCEA1" w14:textId="77777777" w:rsidR="00C4624A" w:rsidRPr="002D52A1" w:rsidRDefault="00C4624A" w:rsidP="00461AA0">
            <w:pPr>
              <w:jc w:val="right"/>
              <w:rPr>
                <w:rFonts w:eastAsia="Calibri"/>
                <w:noProof/>
                <w:sz w:val="20"/>
                <w:szCs w:val="20"/>
              </w:rPr>
            </w:pPr>
          </w:p>
        </w:tc>
        <w:tc>
          <w:tcPr>
            <w:tcW w:w="930" w:type="dxa"/>
            <w:vAlign w:val="center"/>
          </w:tcPr>
          <w:p w14:paraId="1E4CF32C" w14:textId="77777777" w:rsidR="00C4624A" w:rsidRPr="002D52A1" w:rsidRDefault="00C4624A" w:rsidP="00461AA0">
            <w:pPr>
              <w:jc w:val="right"/>
              <w:rPr>
                <w:rFonts w:eastAsia="Calibri"/>
                <w:noProof/>
                <w:sz w:val="20"/>
                <w:szCs w:val="20"/>
              </w:rPr>
            </w:pPr>
          </w:p>
        </w:tc>
        <w:tc>
          <w:tcPr>
            <w:tcW w:w="996" w:type="dxa"/>
            <w:vAlign w:val="center"/>
          </w:tcPr>
          <w:p w14:paraId="09199C0E" w14:textId="77777777" w:rsidR="00C4624A" w:rsidRPr="002D52A1" w:rsidRDefault="00C4624A" w:rsidP="00461AA0">
            <w:pPr>
              <w:jc w:val="right"/>
              <w:rPr>
                <w:rFonts w:eastAsia="Calibri"/>
                <w:noProof/>
                <w:sz w:val="20"/>
                <w:szCs w:val="20"/>
              </w:rPr>
            </w:pPr>
            <w:r w:rsidRPr="002D52A1">
              <w:rPr>
                <w:noProof/>
                <w:sz w:val="20"/>
              </w:rPr>
              <w:t>322,48</w:t>
            </w:r>
          </w:p>
        </w:tc>
        <w:tc>
          <w:tcPr>
            <w:tcW w:w="992" w:type="dxa"/>
            <w:vAlign w:val="center"/>
          </w:tcPr>
          <w:p w14:paraId="368479FC" w14:textId="77777777" w:rsidR="00C4624A" w:rsidRPr="002D52A1" w:rsidRDefault="00C4624A" w:rsidP="00461AA0">
            <w:pPr>
              <w:jc w:val="right"/>
              <w:rPr>
                <w:rFonts w:eastAsia="Calibri"/>
                <w:noProof/>
                <w:sz w:val="20"/>
                <w:szCs w:val="20"/>
              </w:rPr>
            </w:pPr>
            <w:r w:rsidRPr="002D52A1">
              <w:rPr>
                <w:noProof/>
                <w:sz w:val="20"/>
              </w:rPr>
              <w:t>322,48</w:t>
            </w:r>
          </w:p>
        </w:tc>
        <w:tc>
          <w:tcPr>
            <w:tcW w:w="992" w:type="dxa"/>
            <w:vAlign w:val="center"/>
          </w:tcPr>
          <w:p w14:paraId="13489B88" w14:textId="77777777" w:rsidR="00C4624A" w:rsidRPr="002D52A1" w:rsidRDefault="00C4624A" w:rsidP="00461AA0">
            <w:pPr>
              <w:jc w:val="right"/>
              <w:rPr>
                <w:rFonts w:eastAsia="Calibri"/>
                <w:noProof/>
                <w:sz w:val="20"/>
                <w:szCs w:val="20"/>
              </w:rPr>
            </w:pPr>
            <w:r w:rsidRPr="002D52A1">
              <w:rPr>
                <w:noProof/>
                <w:sz w:val="20"/>
              </w:rPr>
              <w:t>322,48</w:t>
            </w:r>
          </w:p>
        </w:tc>
        <w:tc>
          <w:tcPr>
            <w:tcW w:w="2410" w:type="dxa"/>
            <w:vAlign w:val="center"/>
          </w:tcPr>
          <w:p w14:paraId="638361DB" w14:textId="77777777" w:rsidR="00C4624A" w:rsidRPr="002D52A1" w:rsidRDefault="00C4624A" w:rsidP="00461AA0">
            <w:pPr>
              <w:jc w:val="right"/>
              <w:rPr>
                <w:rFonts w:eastAsia="Calibri"/>
                <w:b/>
                <w:bCs/>
                <w:noProof/>
                <w:sz w:val="20"/>
                <w:szCs w:val="20"/>
              </w:rPr>
            </w:pPr>
            <w:r w:rsidRPr="002D52A1">
              <w:rPr>
                <w:b/>
                <w:noProof/>
                <w:sz w:val="20"/>
              </w:rPr>
              <w:t>967,46</w:t>
            </w:r>
          </w:p>
        </w:tc>
      </w:tr>
      <w:tr w:rsidR="00C4624A" w:rsidRPr="002D52A1" w14:paraId="264A5336" w14:textId="77777777" w:rsidTr="00461AA0">
        <w:trPr>
          <w:trHeight w:val="638"/>
        </w:trPr>
        <w:tc>
          <w:tcPr>
            <w:tcW w:w="3960" w:type="dxa"/>
            <w:vMerge/>
            <w:vAlign w:val="center"/>
          </w:tcPr>
          <w:p w14:paraId="46ECA845" w14:textId="77777777" w:rsidR="00C4624A" w:rsidRPr="002D52A1" w:rsidRDefault="00C4624A" w:rsidP="00461AA0">
            <w:pPr>
              <w:rPr>
                <w:noProof/>
              </w:rPr>
            </w:pPr>
          </w:p>
        </w:tc>
        <w:tc>
          <w:tcPr>
            <w:tcW w:w="1440" w:type="dxa"/>
            <w:gridSpan w:val="2"/>
            <w:vAlign w:val="center"/>
          </w:tcPr>
          <w:p w14:paraId="0000498B" w14:textId="77777777" w:rsidR="00C4624A" w:rsidRPr="002D52A1" w:rsidRDefault="00C4624A" w:rsidP="00461AA0">
            <w:pPr>
              <w:rPr>
                <w:rFonts w:eastAsia="Calibri"/>
                <w:noProof/>
                <w:sz w:val="16"/>
                <w:szCs w:val="16"/>
              </w:rPr>
            </w:pPr>
            <w:r w:rsidRPr="002D52A1">
              <w:rPr>
                <w:noProof/>
                <w:sz w:val="16"/>
              </w:rPr>
              <w:t>Platby</w:t>
            </w:r>
          </w:p>
        </w:tc>
        <w:tc>
          <w:tcPr>
            <w:tcW w:w="654" w:type="dxa"/>
            <w:vAlign w:val="center"/>
          </w:tcPr>
          <w:p w14:paraId="2612113F" w14:textId="77777777" w:rsidR="00C4624A" w:rsidRPr="002D52A1" w:rsidRDefault="00C4624A" w:rsidP="00461AA0">
            <w:pPr>
              <w:jc w:val="center"/>
              <w:rPr>
                <w:rFonts w:eastAsia="Times New Roman"/>
                <w:noProof/>
                <w:sz w:val="16"/>
                <w:szCs w:val="16"/>
              </w:rPr>
            </w:pPr>
            <w:r w:rsidRPr="002D52A1">
              <w:rPr>
                <w:noProof/>
                <w:sz w:val="16"/>
              </w:rPr>
              <w:t>(b)</w:t>
            </w:r>
          </w:p>
        </w:tc>
        <w:tc>
          <w:tcPr>
            <w:tcW w:w="868" w:type="dxa"/>
          </w:tcPr>
          <w:p w14:paraId="1E2C56C3" w14:textId="77777777" w:rsidR="00C4624A" w:rsidRPr="002D52A1" w:rsidRDefault="00C4624A" w:rsidP="00461AA0">
            <w:pPr>
              <w:jc w:val="right"/>
              <w:rPr>
                <w:rFonts w:eastAsia="Calibri"/>
                <w:noProof/>
                <w:sz w:val="20"/>
                <w:szCs w:val="20"/>
              </w:rPr>
            </w:pPr>
          </w:p>
        </w:tc>
        <w:tc>
          <w:tcPr>
            <w:tcW w:w="868" w:type="dxa"/>
            <w:vAlign w:val="center"/>
          </w:tcPr>
          <w:p w14:paraId="260932EF" w14:textId="77777777" w:rsidR="00C4624A" w:rsidRPr="002D52A1" w:rsidRDefault="00C4624A" w:rsidP="00461AA0">
            <w:pPr>
              <w:jc w:val="right"/>
              <w:rPr>
                <w:rFonts w:eastAsia="Calibri"/>
                <w:noProof/>
                <w:sz w:val="20"/>
                <w:szCs w:val="20"/>
              </w:rPr>
            </w:pPr>
          </w:p>
        </w:tc>
        <w:tc>
          <w:tcPr>
            <w:tcW w:w="868" w:type="dxa"/>
            <w:vAlign w:val="center"/>
          </w:tcPr>
          <w:p w14:paraId="49F3C83A" w14:textId="77777777" w:rsidR="00C4624A" w:rsidRPr="002D52A1" w:rsidRDefault="00C4624A" w:rsidP="00461AA0">
            <w:pPr>
              <w:jc w:val="right"/>
              <w:rPr>
                <w:rFonts w:eastAsia="Calibri"/>
                <w:noProof/>
                <w:sz w:val="20"/>
                <w:szCs w:val="20"/>
              </w:rPr>
            </w:pPr>
          </w:p>
        </w:tc>
        <w:tc>
          <w:tcPr>
            <w:tcW w:w="930" w:type="dxa"/>
            <w:vAlign w:val="center"/>
          </w:tcPr>
          <w:p w14:paraId="285524E6" w14:textId="77777777" w:rsidR="00C4624A" w:rsidRPr="002D52A1" w:rsidRDefault="00C4624A" w:rsidP="00461AA0">
            <w:pPr>
              <w:jc w:val="right"/>
              <w:rPr>
                <w:rFonts w:eastAsia="Calibri"/>
                <w:noProof/>
                <w:sz w:val="20"/>
                <w:szCs w:val="20"/>
              </w:rPr>
            </w:pPr>
          </w:p>
        </w:tc>
        <w:tc>
          <w:tcPr>
            <w:tcW w:w="996" w:type="dxa"/>
            <w:vAlign w:val="center"/>
          </w:tcPr>
          <w:p w14:paraId="65755E80" w14:textId="77777777" w:rsidR="00C4624A" w:rsidRPr="002D52A1" w:rsidRDefault="00C4624A" w:rsidP="00461AA0">
            <w:pPr>
              <w:jc w:val="right"/>
              <w:rPr>
                <w:rFonts w:eastAsia="Calibri"/>
                <w:noProof/>
                <w:sz w:val="20"/>
                <w:szCs w:val="20"/>
              </w:rPr>
            </w:pPr>
            <w:r w:rsidRPr="002D52A1">
              <w:rPr>
                <w:noProof/>
                <w:sz w:val="20"/>
              </w:rPr>
              <w:t>322,48</w:t>
            </w:r>
          </w:p>
        </w:tc>
        <w:tc>
          <w:tcPr>
            <w:tcW w:w="992" w:type="dxa"/>
            <w:vAlign w:val="center"/>
          </w:tcPr>
          <w:p w14:paraId="62B73142" w14:textId="77777777" w:rsidR="00C4624A" w:rsidRPr="002D52A1" w:rsidRDefault="00C4624A" w:rsidP="00461AA0">
            <w:pPr>
              <w:jc w:val="right"/>
              <w:rPr>
                <w:rFonts w:eastAsia="Calibri"/>
                <w:noProof/>
                <w:sz w:val="20"/>
                <w:szCs w:val="20"/>
              </w:rPr>
            </w:pPr>
            <w:r w:rsidRPr="002D52A1">
              <w:rPr>
                <w:noProof/>
                <w:sz w:val="20"/>
              </w:rPr>
              <w:t>322,48</w:t>
            </w:r>
          </w:p>
        </w:tc>
        <w:tc>
          <w:tcPr>
            <w:tcW w:w="992" w:type="dxa"/>
            <w:vAlign w:val="center"/>
          </w:tcPr>
          <w:p w14:paraId="28E9AC3C" w14:textId="77777777" w:rsidR="00C4624A" w:rsidRPr="002D52A1" w:rsidRDefault="00C4624A" w:rsidP="00461AA0">
            <w:pPr>
              <w:jc w:val="right"/>
              <w:rPr>
                <w:rFonts w:eastAsia="Calibri"/>
                <w:noProof/>
                <w:sz w:val="20"/>
                <w:szCs w:val="20"/>
              </w:rPr>
            </w:pPr>
            <w:r w:rsidRPr="002D52A1">
              <w:rPr>
                <w:noProof/>
                <w:sz w:val="20"/>
              </w:rPr>
              <w:t>322,48</w:t>
            </w:r>
          </w:p>
        </w:tc>
        <w:tc>
          <w:tcPr>
            <w:tcW w:w="2410" w:type="dxa"/>
            <w:vAlign w:val="center"/>
          </w:tcPr>
          <w:p w14:paraId="27814BEC" w14:textId="77777777" w:rsidR="00C4624A" w:rsidRPr="002D52A1" w:rsidRDefault="00C4624A" w:rsidP="00461AA0">
            <w:pPr>
              <w:jc w:val="right"/>
              <w:rPr>
                <w:rFonts w:eastAsia="Calibri"/>
                <w:b/>
                <w:bCs/>
                <w:noProof/>
                <w:sz w:val="20"/>
                <w:szCs w:val="20"/>
              </w:rPr>
            </w:pPr>
            <w:r w:rsidRPr="002D52A1">
              <w:rPr>
                <w:b/>
                <w:noProof/>
                <w:sz w:val="20"/>
              </w:rPr>
              <w:t>967,46</w:t>
            </w:r>
          </w:p>
        </w:tc>
      </w:tr>
      <w:tr w:rsidR="00C4624A" w:rsidRPr="002D52A1" w14:paraId="53F1B1A3" w14:textId="77777777" w:rsidTr="00461AA0">
        <w:trPr>
          <w:trHeight w:val="638"/>
        </w:trPr>
        <w:tc>
          <w:tcPr>
            <w:tcW w:w="3960" w:type="dxa"/>
            <w:vMerge w:val="restart"/>
            <w:vAlign w:val="center"/>
          </w:tcPr>
          <w:p w14:paraId="0C66F41F" w14:textId="77777777" w:rsidR="00C4624A" w:rsidRPr="002D52A1" w:rsidRDefault="00C4624A" w:rsidP="00461AA0">
            <w:pPr>
              <w:jc w:val="center"/>
              <w:rPr>
                <w:b/>
                <w:bCs/>
                <w:noProof/>
              </w:rPr>
            </w:pPr>
            <w:r w:rsidRPr="002D52A1">
              <w:rPr>
                <w:b/>
                <w:noProof/>
                <w:sz w:val="22"/>
              </w:rPr>
              <w:t>Rozpočtové prostriedky pre GR NEAR SPOLU</w:t>
            </w:r>
          </w:p>
          <w:p w14:paraId="64AFF0E6" w14:textId="77777777" w:rsidR="00C4624A" w:rsidRPr="002D52A1" w:rsidRDefault="00C4624A" w:rsidP="00461AA0">
            <w:pPr>
              <w:rPr>
                <w:rFonts w:eastAsia="Calibri"/>
                <w:b/>
                <w:bCs/>
                <w:noProof/>
                <w:szCs w:val="24"/>
              </w:rPr>
            </w:pPr>
          </w:p>
        </w:tc>
        <w:tc>
          <w:tcPr>
            <w:tcW w:w="1440" w:type="dxa"/>
            <w:gridSpan w:val="2"/>
            <w:vAlign w:val="center"/>
          </w:tcPr>
          <w:p w14:paraId="4CB984C4" w14:textId="77777777" w:rsidR="00C4624A" w:rsidRPr="002D52A1" w:rsidRDefault="00C4624A" w:rsidP="00461AA0">
            <w:pPr>
              <w:rPr>
                <w:rFonts w:eastAsia="Times New Roman"/>
                <w:noProof/>
                <w:sz w:val="16"/>
                <w:szCs w:val="16"/>
              </w:rPr>
            </w:pPr>
            <w:r w:rsidRPr="002D52A1">
              <w:rPr>
                <w:noProof/>
                <w:sz w:val="16"/>
              </w:rPr>
              <w:t>Záväzky</w:t>
            </w:r>
          </w:p>
        </w:tc>
        <w:tc>
          <w:tcPr>
            <w:tcW w:w="654" w:type="dxa"/>
            <w:vAlign w:val="center"/>
          </w:tcPr>
          <w:p w14:paraId="04272B8C" w14:textId="77777777" w:rsidR="00C4624A" w:rsidRPr="002D52A1" w:rsidRDefault="00C4624A" w:rsidP="00461AA0">
            <w:pPr>
              <w:jc w:val="center"/>
              <w:rPr>
                <w:rFonts w:eastAsia="Times New Roman"/>
                <w:noProof/>
                <w:sz w:val="16"/>
                <w:szCs w:val="16"/>
              </w:rPr>
            </w:pPr>
            <w:r w:rsidRPr="002D52A1">
              <w:rPr>
                <w:noProof/>
                <w:sz w:val="16"/>
              </w:rPr>
              <w:t>Spolu (a)</w:t>
            </w:r>
          </w:p>
        </w:tc>
        <w:tc>
          <w:tcPr>
            <w:tcW w:w="868" w:type="dxa"/>
          </w:tcPr>
          <w:p w14:paraId="6DBE5341" w14:textId="77777777" w:rsidR="00C4624A" w:rsidRPr="002D52A1" w:rsidRDefault="00C4624A" w:rsidP="00461AA0">
            <w:pPr>
              <w:jc w:val="right"/>
              <w:rPr>
                <w:rFonts w:eastAsia="Times New Roman"/>
                <w:noProof/>
                <w:sz w:val="20"/>
                <w:szCs w:val="20"/>
              </w:rPr>
            </w:pPr>
          </w:p>
        </w:tc>
        <w:tc>
          <w:tcPr>
            <w:tcW w:w="868" w:type="dxa"/>
            <w:vAlign w:val="center"/>
          </w:tcPr>
          <w:p w14:paraId="398CC3B3" w14:textId="77777777" w:rsidR="00C4624A" w:rsidRPr="002D52A1" w:rsidRDefault="00C4624A" w:rsidP="00461AA0">
            <w:pPr>
              <w:jc w:val="right"/>
              <w:rPr>
                <w:rFonts w:eastAsia="Times New Roman"/>
                <w:noProof/>
                <w:sz w:val="20"/>
                <w:szCs w:val="20"/>
              </w:rPr>
            </w:pPr>
          </w:p>
        </w:tc>
        <w:tc>
          <w:tcPr>
            <w:tcW w:w="868" w:type="dxa"/>
            <w:vAlign w:val="center"/>
          </w:tcPr>
          <w:p w14:paraId="683C70D5" w14:textId="77777777" w:rsidR="00C4624A" w:rsidRPr="002D52A1" w:rsidRDefault="00C4624A" w:rsidP="00461AA0">
            <w:pPr>
              <w:jc w:val="right"/>
              <w:rPr>
                <w:rFonts w:eastAsia="Times New Roman"/>
                <w:b/>
                <w:bCs/>
                <w:noProof/>
                <w:sz w:val="20"/>
                <w:szCs w:val="20"/>
              </w:rPr>
            </w:pPr>
            <w:r w:rsidRPr="002D52A1">
              <w:rPr>
                <w:b/>
                <w:noProof/>
                <w:sz w:val="20"/>
              </w:rPr>
              <w:t>170,0</w:t>
            </w:r>
          </w:p>
        </w:tc>
        <w:tc>
          <w:tcPr>
            <w:tcW w:w="930" w:type="dxa"/>
            <w:vAlign w:val="center"/>
          </w:tcPr>
          <w:p w14:paraId="71C18E2B" w14:textId="77777777" w:rsidR="00C4624A" w:rsidRPr="002D52A1" w:rsidRDefault="00C4624A" w:rsidP="00461AA0">
            <w:pPr>
              <w:jc w:val="right"/>
              <w:rPr>
                <w:rFonts w:eastAsia="Times New Roman"/>
                <w:b/>
                <w:bCs/>
                <w:noProof/>
                <w:sz w:val="20"/>
                <w:szCs w:val="20"/>
              </w:rPr>
            </w:pPr>
            <w:r w:rsidRPr="002D52A1">
              <w:rPr>
                <w:b/>
                <w:noProof/>
                <w:sz w:val="20"/>
              </w:rPr>
              <w:t>170,0</w:t>
            </w:r>
          </w:p>
        </w:tc>
        <w:tc>
          <w:tcPr>
            <w:tcW w:w="996" w:type="dxa"/>
            <w:vAlign w:val="center"/>
          </w:tcPr>
          <w:p w14:paraId="2977EBF4"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992" w:type="dxa"/>
            <w:vAlign w:val="center"/>
          </w:tcPr>
          <w:p w14:paraId="78A3AB81"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992" w:type="dxa"/>
            <w:vAlign w:val="center"/>
          </w:tcPr>
          <w:p w14:paraId="39F77916"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2410" w:type="dxa"/>
            <w:vAlign w:val="center"/>
          </w:tcPr>
          <w:p w14:paraId="65ED1955" w14:textId="77777777" w:rsidR="00C4624A" w:rsidRPr="002D52A1" w:rsidRDefault="00C4624A" w:rsidP="00461AA0">
            <w:pPr>
              <w:jc w:val="right"/>
              <w:rPr>
                <w:rFonts w:eastAsia="Times New Roman"/>
                <w:b/>
                <w:bCs/>
                <w:noProof/>
                <w:sz w:val="20"/>
                <w:szCs w:val="20"/>
              </w:rPr>
            </w:pPr>
            <w:r w:rsidRPr="002D52A1">
              <w:rPr>
                <w:b/>
                <w:noProof/>
                <w:sz w:val="20"/>
              </w:rPr>
              <w:t>1 960,2</w:t>
            </w:r>
          </w:p>
        </w:tc>
      </w:tr>
      <w:tr w:rsidR="00C4624A" w:rsidRPr="002D52A1" w14:paraId="53D5796E" w14:textId="77777777" w:rsidTr="00461AA0">
        <w:trPr>
          <w:trHeight w:val="638"/>
        </w:trPr>
        <w:tc>
          <w:tcPr>
            <w:tcW w:w="3960" w:type="dxa"/>
            <w:vMerge/>
            <w:vAlign w:val="center"/>
          </w:tcPr>
          <w:p w14:paraId="7A38994C" w14:textId="77777777" w:rsidR="00C4624A" w:rsidRPr="002D52A1" w:rsidRDefault="00C4624A" w:rsidP="00461AA0">
            <w:pPr>
              <w:rPr>
                <w:noProof/>
              </w:rPr>
            </w:pPr>
          </w:p>
        </w:tc>
        <w:tc>
          <w:tcPr>
            <w:tcW w:w="1440" w:type="dxa"/>
            <w:gridSpan w:val="2"/>
            <w:vAlign w:val="center"/>
          </w:tcPr>
          <w:p w14:paraId="685DE5B4" w14:textId="77777777" w:rsidR="00C4624A" w:rsidRPr="002D52A1" w:rsidRDefault="00C4624A" w:rsidP="00461AA0">
            <w:pPr>
              <w:rPr>
                <w:rFonts w:eastAsia="Times New Roman"/>
                <w:noProof/>
                <w:sz w:val="16"/>
                <w:szCs w:val="16"/>
              </w:rPr>
            </w:pPr>
            <w:r w:rsidRPr="002D52A1">
              <w:rPr>
                <w:noProof/>
                <w:sz w:val="16"/>
              </w:rPr>
              <w:t>Platby</w:t>
            </w:r>
          </w:p>
        </w:tc>
        <w:tc>
          <w:tcPr>
            <w:tcW w:w="654" w:type="dxa"/>
            <w:vAlign w:val="center"/>
          </w:tcPr>
          <w:p w14:paraId="75421636" w14:textId="77777777" w:rsidR="00C4624A" w:rsidRPr="002D52A1" w:rsidRDefault="00C4624A" w:rsidP="00461AA0">
            <w:pPr>
              <w:jc w:val="center"/>
              <w:rPr>
                <w:rFonts w:eastAsia="Times New Roman"/>
                <w:noProof/>
                <w:sz w:val="16"/>
                <w:szCs w:val="16"/>
              </w:rPr>
            </w:pPr>
            <w:r w:rsidRPr="002D52A1">
              <w:rPr>
                <w:noProof/>
                <w:sz w:val="16"/>
              </w:rPr>
              <w:t>Spolu (b)</w:t>
            </w:r>
          </w:p>
        </w:tc>
        <w:tc>
          <w:tcPr>
            <w:tcW w:w="868" w:type="dxa"/>
          </w:tcPr>
          <w:p w14:paraId="035AFE12" w14:textId="77777777" w:rsidR="00C4624A" w:rsidRPr="002D52A1" w:rsidRDefault="00C4624A" w:rsidP="00461AA0">
            <w:pPr>
              <w:jc w:val="right"/>
              <w:rPr>
                <w:rFonts w:eastAsia="Times New Roman"/>
                <w:noProof/>
                <w:sz w:val="20"/>
                <w:szCs w:val="20"/>
              </w:rPr>
            </w:pPr>
          </w:p>
        </w:tc>
        <w:tc>
          <w:tcPr>
            <w:tcW w:w="868" w:type="dxa"/>
            <w:vAlign w:val="center"/>
          </w:tcPr>
          <w:p w14:paraId="54D1B41B" w14:textId="77777777" w:rsidR="00C4624A" w:rsidRPr="002D52A1" w:rsidRDefault="00C4624A" w:rsidP="00461AA0">
            <w:pPr>
              <w:jc w:val="right"/>
              <w:rPr>
                <w:rFonts w:eastAsia="Times New Roman"/>
                <w:noProof/>
                <w:sz w:val="20"/>
                <w:szCs w:val="20"/>
              </w:rPr>
            </w:pPr>
          </w:p>
        </w:tc>
        <w:tc>
          <w:tcPr>
            <w:tcW w:w="868" w:type="dxa"/>
            <w:vAlign w:val="center"/>
          </w:tcPr>
          <w:p w14:paraId="0BF75929" w14:textId="77777777" w:rsidR="00C4624A" w:rsidRPr="002D52A1" w:rsidRDefault="00C4624A" w:rsidP="00461AA0">
            <w:pPr>
              <w:jc w:val="right"/>
              <w:rPr>
                <w:rFonts w:eastAsia="Times New Roman"/>
                <w:b/>
                <w:bCs/>
                <w:noProof/>
                <w:sz w:val="20"/>
                <w:szCs w:val="20"/>
              </w:rPr>
            </w:pPr>
            <w:r w:rsidRPr="002D52A1">
              <w:rPr>
                <w:b/>
                <w:noProof/>
                <w:sz w:val="20"/>
              </w:rPr>
              <w:t>170,0</w:t>
            </w:r>
          </w:p>
        </w:tc>
        <w:tc>
          <w:tcPr>
            <w:tcW w:w="930" w:type="dxa"/>
            <w:vAlign w:val="center"/>
          </w:tcPr>
          <w:p w14:paraId="2B243C35" w14:textId="77777777" w:rsidR="00C4624A" w:rsidRPr="002D52A1" w:rsidRDefault="00C4624A" w:rsidP="00461AA0">
            <w:pPr>
              <w:jc w:val="right"/>
              <w:rPr>
                <w:rFonts w:eastAsia="Times New Roman"/>
                <w:b/>
                <w:bCs/>
                <w:noProof/>
                <w:sz w:val="20"/>
                <w:szCs w:val="20"/>
              </w:rPr>
            </w:pPr>
            <w:r w:rsidRPr="002D52A1">
              <w:rPr>
                <w:b/>
                <w:noProof/>
                <w:sz w:val="20"/>
              </w:rPr>
              <w:t>170,0</w:t>
            </w:r>
          </w:p>
        </w:tc>
        <w:tc>
          <w:tcPr>
            <w:tcW w:w="996" w:type="dxa"/>
            <w:vAlign w:val="center"/>
          </w:tcPr>
          <w:p w14:paraId="28268D94"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992" w:type="dxa"/>
            <w:vAlign w:val="center"/>
          </w:tcPr>
          <w:p w14:paraId="6A1235D0"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992" w:type="dxa"/>
            <w:vAlign w:val="center"/>
          </w:tcPr>
          <w:p w14:paraId="57A75E9A" w14:textId="77777777" w:rsidR="00C4624A" w:rsidRPr="002D52A1" w:rsidRDefault="00C4624A" w:rsidP="00461AA0">
            <w:pPr>
              <w:jc w:val="right"/>
              <w:rPr>
                <w:rFonts w:eastAsia="Times New Roman"/>
                <w:b/>
                <w:bCs/>
                <w:noProof/>
                <w:sz w:val="20"/>
                <w:szCs w:val="20"/>
              </w:rPr>
            </w:pPr>
            <w:r w:rsidRPr="002D52A1">
              <w:rPr>
                <w:b/>
                <w:noProof/>
                <w:sz w:val="20"/>
              </w:rPr>
              <w:t>540,06</w:t>
            </w:r>
          </w:p>
        </w:tc>
        <w:tc>
          <w:tcPr>
            <w:tcW w:w="2410" w:type="dxa"/>
            <w:vAlign w:val="center"/>
          </w:tcPr>
          <w:p w14:paraId="4AE52551" w14:textId="77777777" w:rsidR="00C4624A" w:rsidRPr="002D52A1" w:rsidRDefault="00C4624A" w:rsidP="00461AA0">
            <w:pPr>
              <w:jc w:val="right"/>
              <w:rPr>
                <w:rFonts w:eastAsia="Calibri"/>
                <w:noProof/>
                <w:sz w:val="20"/>
                <w:szCs w:val="20"/>
              </w:rPr>
            </w:pPr>
            <w:r w:rsidRPr="002D52A1">
              <w:rPr>
                <w:b/>
                <w:noProof/>
                <w:sz w:val="20"/>
              </w:rPr>
              <w:t>1 960,2</w:t>
            </w:r>
          </w:p>
        </w:tc>
      </w:tr>
      <w:tr w:rsidR="00C4624A" w:rsidRPr="002D52A1" w14:paraId="0287F5FA" w14:textId="77777777" w:rsidTr="00461AA0">
        <w:trPr>
          <w:trHeight w:val="638"/>
        </w:trPr>
        <w:tc>
          <w:tcPr>
            <w:tcW w:w="14978" w:type="dxa"/>
            <w:gridSpan w:val="12"/>
            <w:vAlign w:val="center"/>
          </w:tcPr>
          <w:p w14:paraId="3FA0451B" w14:textId="77777777" w:rsidR="00C4624A" w:rsidRPr="002D52A1" w:rsidRDefault="00C4624A" w:rsidP="00461AA0">
            <w:pPr>
              <w:rPr>
                <w:rFonts w:eastAsia="Calibri"/>
                <w:noProof/>
                <w:szCs w:val="24"/>
              </w:rPr>
            </w:pPr>
          </w:p>
        </w:tc>
      </w:tr>
      <w:tr w:rsidR="00C4624A" w:rsidRPr="002D52A1" w14:paraId="0B50A043" w14:textId="77777777" w:rsidTr="00461AA0">
        <w:tc>
          <w:tcPr>
            <w:tcW w:w="3960" w:type="dxa"/>
            <w:vAlign w:val="center"/>
          </w:tcPr>
          <w:p w14:paraId="34F43124" w14:textId="77777777" w:rsidR="00C4624A" w:rsidRPr="002D52A1" w:rsidRDefault="00C4624A" w:rsidP="00461AA0">
            <w:pPr>
              <w:jc w:val="center"/>
              <w:rPr>
                <w:noProof/>
              </w:rPr>
            </w:pPr>
            <w:r w:rsidRPr="002D52A1">
              <w:rPr>
                <w:noProof/>
                <w:sz w:val="22"/>
              </w:rPr>
              <w:t>GR: ECFIN</w:t>
            </w:r>
          </w:p>
        </w:tc>
        <w:tc>
          <w:tcPr>
            <w:tcW w:w="1362" w:type="dxa"/>
          </w:tcPr>
          <w:p w14:paraId="170E0A33" w14:textId="77777777" w:rsidR="00C4624A" w:rsidRPr="002D52A1" w:rsidRDefault="00C4624A" w:rsidP="00461AA0">
            <w:pPr>
              <w:rPr>
                <w:noProof/>
                <w:sz w:val="20"/>
                <w:szCs w:val="20"/>
              </w:rPr>
            </w:pPr>
          </w:p>
        </w:tc>
        <w:tc>
          <w:tcPr>
            <w:tcW w:w="732" w:type="dxa"/>
            <w:gridSpan w:val="2"/>
          </w:tcPr>
          <w:p w14:paraId="10AA0206" w14:textId="77777777" w:rsidR="00C4624A" w:rsidRPr="002D52A1" w:rsidRDefault="00C4624A" w:rsidP="00461AA0">
            <w:pPr>
              <w:jc w:val="center"/>
              <w:rPr>
                <w:noProof/>
                <w:sz w:val="20"/>
                <w:szCs w:val="20"/>
              </w:rPr>
            </w:pPr>
          </w:p>
        </w:tc>
        <w:tc>
          <w:tcPr>
            <w:tcW w:w="868" w:type="dxa"/>
          </w:tcPr>
          <w:p w14:paraId="651C5C32" w14:textId="77777777" w:rsidR="00C4624A" w:rsidRPr="002D52A1" w:rsidRDefault="00C4624A" w:rsidP="00461AA0">
            <w:pPr>
              <w:jc w:val="center"/>
              <w:rPr>
                <w:noProof/>
                <w:sz w:val="20"/>
                <w:szCs w:val="20"/>
              </w:rPr>
            </w:pPr>
            <w:r w:rsidRPr="002D52A1">
              <w:rPr>
                <w:noProof/>
                <w:sz w:val="20"/>
              </w:rPr>
              <w:t>Rok</w:t>
            </w:r>
          </w:p>
          <w:p w14:paraId="0C09D6F7" w14:textId="77777777" w:rsidR="00C4624A" w:rsidRPr="002D52A1" w:rsidRDefault="00C4624A" w:rsidP="00461AA0">
            <w:pPr>
              <w:jc w:val="center"/>
              <w:rPr>
                <w:noProof/>
                <w:sz w:val="20"/>
                <w:szCs w:val="20"/>
              </w:rPr>
            </w:pPr>
            <w:r w:rsidRPr="002D52A1">
              <w:rPr>
                <w:b/>
                <w:noProof/>
                <w:sz w:val="20"/>
              </w:rPr>
              <w:t>2021</w:t>
            </w:r>
          </w:p>
        </w:tc>
        <w:tc>
          <w:tcPr>
            <w:tcW w:w="868" w:type="dxa"/>
            <w:vAlign w:val="center"/>
          </w:tcPr>
          <w:p w14:paraId="70886B50" w14:textId="77777777" w:rsidR="00C4624A" w:rsidRPr="002D52A1" w:rsidRDefault="00C4624A" w:rsidP="00461AA0">
            <w:pPr>
              <w:jc w:val="center"/>
              <w:rPr>
                <w:noProof/>
                <w:sz w:val="20"/>
                <w:szCs w:val="20"/>
              </w:rPr>
            </w:pPr>
            <w:r w:rsidRPr="002D52A1">
              <w:rPr>
                <w:noProof/>
                <w:sz w:val="20"/>
              </w:rPr>
              <w:t>Rok</w:t>
            </w:r>
          </w:p>
          <w:p w14:paraId="3C89D4FF" w14:textId="77777777" w:rsidR="00C4624A" w:rsidRPr="002D52A1" w:rsidRDefault="00C4624A" w:rsidP="00461AA0">
            <w:pPr>
              <w:jc w:val="center"/>
              <w:rPr>
                <w:noProof/>
                <w:sz w:val="20"/>
                <w:szCs w:val="20"/>
              </w:rPr>
            </w:pPr>
            <w:r w:rsidRPr="002D52A1">
              <w:rPr>
                <w:b/>
                <w:noProof/>
                <w:sz w:val="20"/>
              </w:rPr>
              <w:t>2022</w:t>
            </w:r>
          </w:p>
        </w:tc>
        <w:tc>
          <w:tcPr>
            <w:tcW w:w="868" w:type="dxa"/>
            <w:vAlign w:val="center"/>
          </w:tcPr>
          <w:p w14:paraId="0EBD1B13" w14:textId="77777777" w:rsidR="00C4624A" w:rsidRPr="002D52A1" w:rsidRDefault="00C4624A" w:rsidP="00461AA0">
            <w:pPr>
              <w:jc w:val="center"/>
              <w:rPr>
                <w:noProof/>
                <w:sz w:val="20"/>
                <w:szCs w:val="20"/>
              </w:rPr>
            </w:pPr>
            <w:r w:rsidRPr="002D52A1">
              <w:rPr>
                <w:noProof/>
                <w:sz w:val="20"/>
              </w:rPr>
              <w:t>Rok</w:t>
            </w:r>
          </w:p>
          <w:p w14:paraId="07C4529D" w14:textId="77777777" w:rsidR="00C4624A" w:rsidRPr="002D52A1" w:rsidRDefault="00C4624A" w:rsidP="00461AA0">
            <w:pPr>
              <w:jc w:val="center"/>
              <w:rPr>
                <w:noProof/>
                <w:sz w:val="20"/>
                <w:szCs w:val="20"/>
              </w:rPr>
            </w:pPr>
            <w:r w:rsidRPr="002D52A1">
              <w:rPr>
                <w:b/>
                <w:noProof/>
                <w:sz w:val="20"/>
              </w:rPr>
              <w:t>2023</w:t>
            </w:r>
          </w:p>
        </w:tc>
        <w:tc>
          <w:tcPr>
            <w:tcW w:w="930" w:type="dxa"/>
            <w:vAlign w:val="center"/>
          </w:tcPr>
          <w:p w14:paraId="11A2190B" w14:textId="77777777" w:rsidR="00C4624A" w:rsidRPr="002D52A1" w:rsidRDefault="00C4624A" w:rsidP="00461AA0">
            <w:pPr>
              <w:jc w:val="center"/>
              <w:rPr>
                <w:noProof/>
                <w:sz w:val="20"/>
                <w:szCs w:val="20"/>
              </w:rPr>
            </w:pPr>
            <w:r w:rsidRPr="002D52A1">
              <w:rPr>
                <w:noProof/>
                <w:sz w:val="20"/>
              </w:rPr>
              <w:t>Rok</w:t>
            </w:r>
          </w:p>
          <w:p w14:paraId="12A783D4" w14:textId="77777777" w:rsidR="00C4624A" w:rsidRPr="002D52A1" w:rsidRDefault="00C4624A" w:rsidP="00461AA0">
            <w:pPr>
              <w:jc w:val="center"/>
              <w:rPr>
                <w:noProof/>
                <w:sz w:val="20"/>
                <w:szCs w:val="20"/>
              </w:rPr>
            </w:pPr>
            <w:r w:rsidRPr="002D52A1">
              <w:rPr>
                <w:b/>
                <w:noProof/>
                <w:sz w:val="20"/>
              </w:rPr>
              <w:t>2024</w:t>
            </w:r>
          </w:p>
        </w:tc>
        <w:tc>
          <w:tcPr>
            <w:tcW w:w="996" w:type="dxa"/>
            <w:vAlign w:val="center"/>
          </w:tcPr>
          <w:p w14:paraId="3F7924C5" w14:textId="77777777" w:rsidR="00C4624A" w:rsidRPr="002D52A1" w:rsidRDefault="00C4624A" w:rsidP="00461AA0">
            <w:pPr>
              <w:jc w:val="center"/>
              <w:rPr>
                <w:noProof/>
                <w:sz w:val="20"/>
                <w:szCs w:val="20"/>
              </w:rPr>
            </w:pPr>
            <w:r w:rsidRPr="002D52A1">
              <w:rPr>
                <w:noProof/>
                <w:sz w:val="20"/>
              </w:rPr>
              <w:t>Rok</w:t>
            </w:r>
          </w:p>
          <w:p w14:paraId="258481B8" w14:textId="77777777" w:rsidR="00C4624A" w:rsidRPr="002D52A1" w:rsidRDefault="00C4624A" w:rsidP="00461AA0">
            <w:pPr>
              <w:jc w:val="center"/>
              <w:rPr>
                <w:noProof/>
                <w:sz w:val="20"/>
                <w:szCs w:val="20"/>
              </w:rPr>
            </w:pPr>
            <w:r w:rsidRPr="002D52A1">
              <w:rPr>
                <w:b/>
                <w:noProof/>
                <w:sz w:val="20"/>
              </w:rPr>
              <w:t>2025</w:t>
            </w:r>
          </w:p>
        </w:tc>
        <w:tc>
          <w:tcPr>
            <w:tcW w:w="992" w:type="dxa"/>
          </w:tcPr>
          <w:p w14:paraId="677135C0" w14:textId="77777777" w:rsidR="00C4624A" w:rsidRPr="002D52A1" w:rsidRDefault="00C4624A" w:rsidP="00461AA0">
            <w:pPr>
              <w:jc w:val="center"/>
              <w:rPr>
                <w:noProof/>
                <w:sz w:val="20"/>
                <w:szCs w:val="20"/>
              </w:rPr>
            </w:pPr>
            <w:r w:rsidRPr="002D52A1">
              <w:rPr>
                <w:noProof/>
                <w:sz w:val="20"/>
              </w:rPr>
              <w:t>Rok</w:t>
            </w:r>
          </w:p>
          <w:p w14:paraId="7D27F2A5" w14:textId="77777777" w:rsidR="00C4624A" w:rsidRPr="002D52A1" w:rsidRDefault="00C4624A" w:rsidP="00461AA0">
            <w:pPr>
              <w:jc w:val="center"/>
              <w:rPr>
                <w:noProof/>
                <w:sz w:val="18"/>
                <w:szCs w:val="18"/>
              </w:rPr>
            </w:pPr>
            <w:r w:rsidRPr="002D52A1">
              <w:rPr>
                <w:b/>
                <w:noProof/>
                <w:sz w:val="20"/>
              </w:rPr>
              <w:t>2026</w:t>
            </w:r>
          </w:p>
        </w:tc>
        <w:tc>
          <w:tcPr>
            <w:tcW w:w="992" w:type="dxa"/>
          </w:tcPr>
          <w:p w14:paraId="0094935D" w14:textId="77777777" w:rsidR="00C4624A" w:rsidRPr="002D52A1" w:rsidRDefault="00C4624A" w:rsidP="00461AA0">
            <w:pPr>
              <w:jc w:val="center"/>
              <w:rPr>
                <w:noProof/>
                <w:sz w:val="20"/>
                <w:szCs w:val="20"/>
              </w:rPr>
            </w:pPr>
            <w:r w:rsidRPr="002D52A1">
              <w:rPr>
                <w:noProof/>
                <w:sz w:val="20"/>
              </w:rPr>
              <w:t>Rok</w:t>
            </w:r>
          </w:p>
          <w:p w14:paraId="5EE60E28" w14:textId="77777777" w:rsidR="00C4624A" w:rsidRPr="002D52A1" w:rsidRDefault="00C4624A" w:rsidP="00461AA0">
            <w:pPr>
              <w:jc w:val="center"/>
              <w:rPr>
                <w:noProof/>
                <w:sz w:val="18"/>
                <w:szCs w:val="18"/>
              </w:rPr>
            </w:pPr>
            <w:r w:rsidRPr="002D52A1">
              <w:rPr>
                <w:b/>
                <w:noProof/>
                <w:sz w:val="20"/>
              </w:rPr>
              <w:t>2027</w:t>
            </w:r>
          </w:p>
        </w:tc>
        <w:tc>
          <w:tcPr>
            <w:tcW w:w="2410" w:type="dxa"/>
            <w:vAlign w:val="center"/>
          </w:tcPr>
          <w:p w14:paraId="3AB9F74A" w14:textId="77777777" w:rsidR="00C4624A" w:rsidRPr="002D52A1" w:rsidRDefault="00C4624A" w:rsidP="00461AA0">
            <w:pPr>
              <w:jc w:val="center"/>
              <w:rPr>
                <w:noProof/>
                <w:sz w:val="20"/>
                <w:szCs w:val="20"/>
              </w:rPr>
            </w:pPr>
            <w:r w:rsidRPr="002D52A1">
              <w:rPr>
                <w:b/>
                <w:noProof/>
                <w:sz w:val="20"/>
              </w:rPr>
              <w:t>SPOLU</w:t>
            </w:r>
          </w:p>
        </w:tc>
      </w:tr>
      <w:tr w:rsidR="00C4624A" w:rsidRPr="002D52A1" w14:paraId="1AE4ACDC" w14:textId="77777777" w:rsidTr="00461AA0">
        <w:tc>
          <w:tcPr>
            <w:tcW w:w="14978" w:type="dxa"/>
            <w:gridSpan w:val="12"/>
            <w:vAlign w:val="center"/>
          </w:tcPr>
          <w:p w14:paraId="2F20DDAB" w14:textId="77777777" w:rsidR="00C4624A" w:rsidRPr="002D52A1" w:rsidRDefault="00C4624A" w:rsidP="00461AA0">
            <w:pPr>
              <w:jc w:val="left"/>
              <w:rPr>
                <w:rFonts w:eastAsia="Times New Roman"/>
                <w:noProof/>
                <w:sz w:val="21"/>
                <w:szCs w:val="21"/>
              </w:rPr>
            </w:pPr>
            <w:r w:rsidRPr="002D52A1">
              <w:rPr>
                <w:noProof/>
                <w:sz w:val="21"/>
              </w:rPr>
              <w:t>□ MFP I</w:t>
            </w:r>
            <w:r w:rsidRPr="002D52A1">
              <w:rPr>
                <w:noProof/>
                <w:sz w:val="21"/>
                <w:vertAlign w:val="superscript"/>
              </w:rPr>
              <w:t>8</w:t>
            </w:r>
          </w:p>
        </w:tc>
      </w:tr>
      <w:tr w:rsidR="00C4624A" w:rsidRPr="002D52A1" w14:paraId="6965F4E7" w14:textId="77777777" w:rsidTr="00461AA0">
        <w:trPr>
          <w:trHeight w:val="277"/>
        </w:trPr>
        <w:tc>
          <w:tcPr>
            <w:tcW w:w="3960" w:type="dxa"/>
            <w:vAlign w:val="center"/>
          </w:tcPr>
          <w:p w14:paraId="51C82F30" w14:textId="77777777" w:rsidR="00C4624A" w:rsidRPr="002D52A1" w:rsidRDefault="00C4624A" w:rsidP="00461AA0">
            <w:pPr>
              <w:rPr>
                <w:rFonts w:eastAsia="Times New Roman"/>
                <w:noProof/>
                <w:sz w:val="18"/>
                <w:szCs w:val="18"/>
              </w:rPr>
            </w:pPr>
            <w:r w:rsidRPr="002D52A1">
              <w:rPr>
                <w:noProof/>
                <w:sz w:val="18"/>
              </w:rPr>
              <w:t>Rozpočtový riadok</w:t>
            </w:r>
          </w:p>
          <w:p w14:paraId="07C73848" w14:textId="77777777" w:rsidR="00C4624A" w:rsidRPr="002D52A1" w:rsidRDefault="00C4624A" w:rsidP="00461AA0">
            <w:pPr>
              <w:jc w:val="left"/>
              <w:rPr>
                <w:rFonts w:eastAsia="Times New Roman"/>
                <w:noProof/>
                <w:sz w:val="18"/>
                <w:szCs w:val="18"/>
              </w:rPr>
            </w:pPr>
            <w:r w:rsidRPr="002D52A1">
              <w:rPr>
                <w:noProof/>
                <w:sz w:val="18"/>
              </w:rPr>
              <w:t>14 02 01 70 06 NDICI – Tvorba rezerv pre spoločný rezervný fond</w:t>
            </w:r>
            <w:r w:rsidRPr="002D52A1">
              <w:rPr>
                <w:rStyle w:val="FootnoteReference"/>
                <w:noProof/>
                <w:sz w:val="18"/>
              </w:rPr>
              <w:t xml:space="preserve"> </w:t>
            </w:r>
            <w:r w:rsidRPr="002D52A1">
              <w:rPr>
                <w:rStyle w:val="FootnoteReference"/>
                <w:rFonts w:eastAsia="Times New Roman"/>
                <w:noProof/>
                <w:sz w:val="18"/>
                <w:szCs w:val="18"/>
              </w:rPr>
              <w:footnoteReference w:id="38"/>
            </w:r>
          </w:p>
        </w:tc>
        <w:tc>
          <w:tcPr>
            <w:tcW w:w="1440" w:type="dxa"/>
            <w:gridSpan w:val="2"/>
            <w:vAlign w:val="center"/>
          </w:tcPr>
          <w:p w14:paraId="00C6CE98" w14:textId="77777777" w:rsidR="00C4624A" w:rsidRPr="002D52A1" w:rsidRDefault="00C4624A" w:rsidP="00461AA0">
            <w:pPr>
              <w:spacing w:before="20" w:after="20"/>
              <w:rPr>
                <w:rFonts w:eastAsia="Times New Roman"/>
                <w:noProof/>
                <w:sz w:val="18"/>
                <w:szCs w:val="18"/>
              </w:rPr>
            </w:pPr>
            <w:r w:rsidRPr="002D52A1">
              <w:rPr>
                <w:noProof/>
                <w:sz w:val="18"/>
              </w:rPr>
              <w:t>Záväzky</w:t>
            </w:r>
          </w:p>
        </w:tc>
        <w:tc>
          <w:tcPr>
            <w:tcW w:w="654" w:type="dxa"/>
            <w:vAlign w:val="center"/>
          </w:tcPr>
          <w:p w14:paraId="65F045AE" w14:textId="77777777" w:rsidR="00C4624A" w:rsidRPr="002D52A1" w:rsidRDefault="00C4624A" w:rsidP="00461AA0">
            <w:pPr>
              <w:spacing w:before="20" w:after="20"/>
              <w:jc w:val="center"/>
              <w:rPr>
                <w:noProof/>
                <w:sz w:val="14"/>
                <w:szCs w:val="14"/>
              </w:rPr>
            </w:pPr>
            <w:r w:rsidRPr="002D52A1">
              <w:rPr>
                <w:noProof/>
                <w:sz w:val="14"/>
              </w:rPr>
              <w:t>(c)</w:t>
            </w:r>
          </w:p>
        </w:tc>
        <w:tc>
          <w:tcPr>
            <w:tcW w:w="868" w:type="dxa"/>
          </w:tcPr>
          <w:p w14:paraId="4DAE0159" w14:textId="77777777" w:rsidR="00C4624A" w:rsidRPr="002D52A1" w:rsidRDefault="00C4624A" w:rsidP="00461AA0">
            <w:pPr>
              <w:spacing w:before="20" w:after="20"/>
              <w:jc w:val="right"/>
              <w:rPr>
                <w:rFonts w:eastAsia="Times New Roman"/>
                <w:noProof/>
                <w:sz w:val="20"/>
                <w:szCs w:val="20"/>
              </w:rPr>
            </w:pPr>
          </w:p>
          <w:p w14:paraId="2776902C" w14:textId="77777777" w:rsidR="00C4624A" w:rsidRPr="002D52A1" w:rsidRDefault="00C4624A" w:rsidP="00461AA0">
            <w:pPr>
              <w:spacing w:before="20" w:after="20"/>
              <w:jc w:val="right"/>
              <w:rPr>
                <w:rFonts w:eastAsia="Times New Roman"/>
                <w:noProof/>
                <w:sz w:val="20"/>
                <w:szCs w:val="20"/>
              </w:rPr>
            </w:pPr>
          </w:p>
          <w:p w14:paraId="0A859D7D" w14:textId="77777777" w:rsidR="00C4624A" w:rsidRPr="002D52A1" w:rsidRDefault="00C4624A" w:rsidP="00461AA0">
            <w:pPr>
              <w:spacing w:before="20" w:after="20"/>
              <w:jc w:val="right"/>
              <w:rPr>
                <w:rFonts w:eastAsia="Times New Roman"/>
                <w:noProof/>
                <w:sz w:val="20"/>
                <w:szCs w:val="20"/>
              </w:rPr>
            </w:pPr>
            <w:r w:rsidRPr="002D52A1">
              <w:rPr>
                <w:noProof/>
                <w:sz w:val="20"/>
              </w:rPr>
              <w:t>27,3</w:t>
            </w:r>
          </w:p>
        </w:tc>
        <w:tc>
          <w:tcPr>
            <w:tcW w:w="868" w:type="dxa"/>
            <w:vAlign w:val="center"/>
          </w:tcPr>
          <w:p w14:paraId="42F76C0C" w14:textId="77777777" w:rsidR="00C4624A" w:rsidRPr="002D52A1" w:rsidRDefault="00C4624A" w:rsidP="00461AA0">
            <w:pPr>
              <w:spacing w:before="20" w:after="20"/>
              <w:jc w:val="right"/>
              <w:rPr>
                <w:rFonts w:eastAsia="Times New Roman"/>
                <w:noProof/>
                <w:sz w:val="20"/>
                <w:szCs w:val="20"/>
              </w:rPr>
            </w:pPr>
          </w:p>
          <w:p w14:paraId="28F8E592" w14:textId="77777777" w:rsidR="00C4624A" w:rsidRPr="002D52A1" w:rsidRDefault="00C4624A" w:rsidP="00461AA0">
            <w:pPr>
              <w:spacing w:before="20" w:after="20"/>
              <w:jc w:val="right"/>
              <w:rPr>
                <w:rFonts w:eastAsia="Times New Roman"/>
                <w:noProof/>
                <w:sz w:val="20"/>
                <w:szCs w:val="20"/>
              </w:rPr>
            </w:pPr>
            <w:r w:rsidRPr="002D52A1">
              <w:rPr>
                <w:noProof/>
                <w:sz w:val="20"/>
              </w:rPr>
              <w:t>62,7</w:t>
            </w:r>
          </w:p>
        </w:tc>
        <w:tc>
          <w:tcPr>
            <w:tcW w:w="868" w:type="dxa"/>
            <w:vAlign w:val="center"/>
          </w:tcPr>
          <w:p w14:paraId="6F8BEA60" w14:textId="77777777" w:rsidR="00C4624A" w:rsidRPr="002D52A1" w:rsidRDefault="00C4624A" w:rsidP="00461AA0">
            <w:pPr>
              <w:spacing w:before="20" w:after="20"/>
              <w:jc w:val="right"/>
              <w:rPr>
                <w:rFonts w:eastAsia="Times New Roman"/>
                <w:noProof/>
                <w:sz w:val="20"/>
                <w:szCs w:val="20"/>
              </w:rPr>
            </w:pPr>
          </w:p>
        </w:tc>
        <w:tc>
          <w:tcPr>
            <w:tcW w:w="930" w:type="dxa"/>
            <w:vAlign w:val="center"/>
          </w:tcPr>
          <w:p w14:paraId="65AB6AFF" w14:textId="77777777" w:rsidR="00C4624A" w:rsidRPr="002D52A1" w:rsidRDefault="00C4624A" w:rsidP="00461AA0">
            <w:pPr>
              <w:spacing w:before="20" w:after="20"/>
              <w:jc w:val="right"/>
              <w:rPr>
                <w:rFonts w:eastAsia="Times New Roman"/>
                <w:noProof/>
                <w:sz w:val="20"/>
                <w:szCs w:val="20"/>
              </w:rPr>
            </w:pPr>
          </w:p>
        </w:tc>
        <w:tc>
          <w:tcPr>
            <w:tcW w:w="996" w:type="dxa"/>
            <w:vAlign w:val="center"/>
          </w:tcPr>
          <w:p w14:paraId="7C3497DE" w14:textId="77777777" w:rsidR="00C4624A" w:rsidRPr="002D52A1" w:rsidRDefault="00C4624A" w:rsidP="00461AA0">
            <w:pPr>
              <w:spacing w:before="20" w:after="20"/>
              <w:jc w:val="right"/>
              <w:rPr>
                <w:rFonts w:eastAsia="Times New Roman"/>
                <w:noProof/>
                <w:sz w:val="20"/>
                <w:szCs w:val="20"/>
              </w:rPr>
            </w:pPr>
          </w:p>
        </w:tc>
        <w:tc>
          <w:tcPr>
            <w:tcW w:w="992" w:type="dxa"/>
          </w:tcPr>
          <w:p w14:paraId="08B31AAF" w14:textId="77777777" w:rsidR="00C4624A" w:rsidRPr="002D52A1" w:rsidRDefault="00C4624A" w:rsidP="00461AA0">
            <w:pPr>
              <w:spacing w:before="20" w:after="20"/>
              <w:jc w:val="right"/>
              <w:rPr>
                <w:rFonts w:eastAsia="Times New Roman"/>
                <w:noProof/>
                <w:sz w:val="20"/>
                <w:szCs w:val="20"/>
              </w:rPr>
            </w:pPr>
          </w:p>
          <w:p w14:paraId="5A1368F0" w14:textId="77777777" w:rsidR="00C4624A" w:rsidRPr="002D52A1" w:rsidRDefault="00C4624A" w:rsidP="00461AA0">
            <w:pPr>
              <w:spacing w:before="20" w:after="20"/>
              <w:jc w:val="right"/>
              <w:rPr>
                <w:rFonts w:eastAsia="Times New Roman"/>
                <w:noProof/>
                <w:sz w:val="20"/>
                <w:szCs w:val="20"/>
              </w:rPr>
            </w:pPr>
          </w:p>
          <w:p w14:paraId="35ADB653" w14:textId="77777777" w:rsidR="00C4624A" w:rsidRPr="002D52A1" w:rsidRDefault="00C4624A" w:rsidP="00461AA0">
            <w:pPr>
              <w:spacing w:before="20" w:after="20"/>
              <w:jc w:val="right"/>
              <w:rPr>
                <w:rFonts w:eastAsia="Times New Roman"/>
                <w:noProof/>
                <w:sz w:val="20"/>
                <w:szCs w:val="20"/>
              </w:rPr>
            </w:pPr>
          </w:p>
        </w:tc>
        <w:tc>
          <w:tcPr>
            <w:tcW w:w="992" w:type="dxa"/>
          </w:tcPr>
          <w:p w14:paraId="643860A6" w14:textId="77777777" w:rsidR="00C4624A" w:rsidRPr="002D52A1" w:rsidRDefault="00C4624A" w:rsidP="00461AA0">
            <w:pPr>
              <w:spacing w:before="20" w:after="20"/>
              <w:jc w:val="right"/>
              <w:rPr>
                <w:rFonts w:eastAsia="Times New Roman"/>
                <w:noProof/>
                <w:sz w:val="20"/>
                <w:szCs w:val="20"/>
              </w:rPr>
            </w:pPr>
          </w:p>
          <w:p w14:paraId="61E0999E" w14:textId="77777777" w:rsidR="00C4624A" w:rsidRPr="002D52A1" w:rsidRDefault="00C4624A" w:rsidP="00461AA0">
            <w:pPr>
              <w:spacing w:before="20" w:after="20"/>
              <w:jc w:val="right"/>
              <w:rPr>
                <w:rFonts w:eastAsia="Times New Roman"/>
                <w:noProof/>
                <w:sz w:val="20"/>
                <w:szCs w:val="20"/>
              </w:rPr>
            </w:pPr>
          </w:p>
          <w:p w14:paraId="00723006" w14:textId="77777777" w:rsidR="00C4624A" w:rsidRPr="002D52A1" w:rsidRDefault="00C4624A" w:rsidP="00461AA0">
            <w:pPr>
              <w:spacing w:before="20" w:after="20"/>
              <w:jc w:val="right"/>
              <w:rPr>
                <w:rFonts w:eastAsia="Times New Roman"/>
                <w:noProof/>
                <w:sz w:val="20"/>
                <w:szCs w:val="20"/>
              </w:rPr>
            </w:pPr>
          </w:p>
        </w:tc>
        <w:tc>
          <w:tcPr>
            <w:tcW w:w="2410" w:type="dxa"/>
            <w:vAlign w:val="center"/>
          </w:tcPr>
          <w:p w14:paraId="37A8FFB1" w14:textId="77777777" w:rsidR="00C4624A" w:rsidRPr="002D52A1" w:rsidRDefault="00C4624A" w:rsidP="00461AA0">
            <w:pPr>
              <w:spacing w:before="20" w:after="20"/>
              <w:jc w:val="right"/>
              <w:rPr>
                <w:rFonts w:eastAsia="Times New Roman"/>
                <w:noProof/>
                <w:sz w:val="20"/>
                <w:szCs w:val="20"/>
              </w:rPr>
            </w:pPr>
            <w:r w:rsidRPr="002D52A1">
              <w:rPr>
                <w:b/>
                <w:noProof/>
                <w:sz w:val="20"/>
              </w:rPr>
              <w:t>90,0</w:t>
            </w:r>
          </w:p>
        </w:tc>
      </w:tr>
      <w:tr w:rsidR="00C4624A" w:rsidRPr="002D52A1" w14:paraId="257FFFAB" w14:textId="77777777" w:rsidTr="00461AA0">
        <w:trPr>
          <w:trHeight w:val="774"/>
        </w:trPr>
        <w:tc>
          <w:tcPr>
            <w:tcW w:w="3960" w:type="dxa"/>
          </w:tcPr>
          <w:p w14:paraId="077131CA" w14:textId="77777777" w:rsidR="00C4624A" w:rsidRPr="002D52A1" w:rsidRDefault="00C4624A" w:rsidP="00461AA0">
            <w:pPr>
              <w:jc w:val="left"/>
              <w:rPr>
                <w:rFonts w:eastAsia="Times New Roman"/>
                <w:noProof/>
                <w:sz w:val="18"/>
                <w:szCs w:val="18"/>
              </w:rPr>
            </w:pPr>
          </w:p>
        </w:tc>
        <w:tc>
          <w:tcPr>
            <w:tcW w:w="1440" w:type="dxa"/>
            <w:gridSpan w:val="2"/>
            <w:vAlign w:val="center"/>
          </w:tcPr>
          <w:p w14:paraId="1C8FCD21" w14:textId="77777777" w:rsidR="00C4624A" w:rsidRPr="002D52A1" w:rsidRDefault="00C4624A" w:rsidP="00461AA0">
            <w:pPr>
              <w:spacing w:before="20" w:after="20"/>
              <w:rPr>
                <w:rFonts w:eastAsia="Times New Roman"/>
                <w:noProof/>
                <w:sz w:val="18"/>
                <w:szCs w:val="18"/>
              </w:rPr>
            </w:pPr>
            <w:r w:rsidRPr="002D52A1">
              <w:rPr>
                <w:noProof/>
                <w:sz w:val="18"/>
              </w:rPr>
              <w:t>Platby</w:t>
            </w:r>
          </w:p>
        </w:tc>
        <w:tc>
          <w:tcPr>
            <w:tcW w:w="654" w:type="dxa"/>
            <w:vAlign w:val="center"/>
          </w:tcPr>
          <w:p w14:paraId="53BD2E0C" w14:textId="77777777" w:rsidR="00C4624A" w:rsidRPr="002D52A1" w:rsidRDefault="00C4624A" w:rsidP="00461AA0">
            <w:pPr>
              <w:spacing w:before="20" w:after="20"/>
              <w:jc w:val="center"/>
              <w:rPr>
                <w:noProof/>
                <w:sz w:val="14"/>
                <w:szCs w:val="14"/>
              </w:rPr>
            </w:pPr>
            <w:r w:rsidRPr="002D52A1">
              <w:rPr>
                <w:noProof/>
                <w:sz w:val="14"/>
              </w:rPr>
              <w:t>(d)</w:t>
            </w:r>
          </w:p>
        </w:tc>
        <w:tc>
          <w:tcPr>
            <w:tcW w:w="868" w:type="dxa"/>
          </w:tcPr>
          <w:p w14:paraId="1B9C7201" w14:textId="77777777" w:rsidR="00C4624A" w:rsidRPr="002D52A1" w:rsidRDefault="00C4624A" w:rsidP="00461AA0">
            <w:pPr>
              <w:spacing w:before="20" w:after="20"/>
              <w:jc w:val="right"/>
              <w:rPr>
                <w:rFonts w:eastAsia="Times New Roman"/>
                <w:noProof/>
                <w:sz w:val="20"/>
                <w:szCs w:val="20"/>
              </w:rPr>
            </w:pPr>
          </w:p>
        </w:tc>
        <w:tc>
          <w:tcPr>
            <w:tcW w:w="868" w:type="dxa"/>
            <w:vAlign w:val="center"/>
          </w:tcPr>
          <w:p w14:paraId="5BCE5C90" w14:textId="77777777" w:rsidR="00C4624A" w:rsidRPr="002D52A1" w:rsidRDefault="00C4624A" w:rsidP="00461AA0">
            <w:pPr>
              <w:spacing w:before="20" w:after="20"/>
              <w:jc w:val="right"/>
              <w:rPr>
                <w:rFonts w:eastAsia="Times New Roman"/>
                <w:noProof/>
                <w:sz w:val="20"/>
                <w:szCs w:val="20"/>
              </w:rPr>
            </w:pPr>
          </w:p>
        </w:tc>
        <w:tc>
          <w:tcPr>
            <w:tcW w:w="868" w:type="dxa"/>
            <w:vAlign w:val="center"/>
          </w:tcPr>
          <w:p w14:paraId="16C1F61A" w14:textId="77777777" w:rsidR="00C4624A" w:rsidRPr="002D52A1" w:rsidRDefault="00C4624A" w:rsidP="00461AA0">
            <w:pPr>
              <w:spacing w:before="20" w:after="20"/>
              <w:jc w:val="right"/>
              <w:rPr>
                <w:rFonts w:eastAsia="Times New Roman"/>
                <w:noProof/>
                <w:sz w:val="20"/>
                <w:szCs w:val="20"/>
              </w:rPr>
            </w:pPr>
          </w:p>
        </w:tc>
        <w:tc>
          <w:tcPr>
            <w:tcW w:w="930" w:type="dxa"/>
            <w:vAlign w:val="center"/>
          </w:tcPr>
          <w:p w14:paraId="2A0B0B9A" w14:textId="77777777" w:rsidR="00C4624A" w:rsidRPr="002D52A1" w:rsidRDefault="00C4624A" w:rsidP="00461AA0">
            <w:pPr>
              <w:spacing w:before="20" w:after="20"/>
              <w:jc w:val="right"/>
              <w:rPr>
                <w:rFonts w:eastAsia="Times New Roman"/>
                <w:noProof/>
                <w:sz w:val="20"/>
                <w:szCs w:val="20"/>
              </w:rPr>
            </w:pPr>
            <w:r w:rsidRPr="002D52A1">
              <w:rPr>
                <w:noProof/>
                <w:sz w:val="20"/>
              </w:rPr>
              <w:t xml:space="preserve"> 81,2</w:t>
            </w:r>
          </w:p>
        </w:tc>
        <w:tc>
          <w:tcPr>
            <w:tcW w:w="996" w:type="dxa"/>
            <w:vAlign w:val="center"/>
          </w:tcPr>
          <w:p w14:paraId="04C8E9B7" w14:textId="77777777" w:rsidR="00C4624A" w:rsidRPr="002D52A1" w:rsidRDefault="00C4624A" w:rsidP="00461AA0">
            <w:pPr>
              <w:spacing w:before="20" w:after="20"/>
              <w:jc w:val="right"/>
              <w:rPr>
                <w:rFonts w:eastAsia="Times New Roman"/>
                <w:noProof/>
                <w:sz w:val="20"/>
                <w:szCs w:val="20"/>
              </w:rPr>
            </w:pPr>
            <w:r w:rsidRPr="002D52A1">
              <w:rPr>
                <w:noProof/>
                <w:sz w:val="20"/>
              </w:rPr>
              <w:t xml:space="preserve"> 8,8</w:t>
            </w:r>
          </w:p>
        </w:tc>
        <w:tc>
          <w:tcPr>
            <w:tcW w:w="992" w:type="dxa"/>
            <w:vAlign w:val="center"/>
          </w:tcPr>
          <w:p w14:paraId="2ABAD1FF" w14:textId="77777777" w:rsidR="00C4624A" w:rsidRPr="002D52A1" w:rsidRDefault="00C4624A" w:rsidP="00461AA0">
            <w:pPr>
              <w:spacing w:before="20" w:after="20"/>
              <w:rPr>
                <w:rFonts w:eastAsia="Times New Roman"/>
                <w:noProof/>
                <w:sz w:val="20"/>
                <w:szCs w:val="20"/>
              </w:rPr>
            </w:pPr>
            <w:r w:rsidRPr="002D52A1">
              <w:rPr>
                <w:noProof/>
                <w:sz w:val="20"/>
              </w:rPr>
              <w:t xml:space="preserve"> </w:t>
            </w:r>
          </w:p>
        </w:tc>
        <w:tc>
          <w:tcPr>
            <w:tcW w:w="992" w:type="dxa"/>
            <w:vAlign w:val="center"/>
          </w:tcPr>
          <w:p w14:paraId="5C16E62C" w14:textId="77777777" w:rsidR="00C4624A" w:rsidRPr="002D52A1" w:rsidRDefault="00C4624A" w:rsidP="00461AA0">
            <w:pPr>
              <w:spacing w:before="20" w:after="20"/>
              <w:jc w:val="right"/>
              <w:rPr>
                <w:rFonts w:eastAsia="Times New Roman"/>
                <w:noProof/>
                <w:sz w:val="20"/>
                <w:szCs w:val="20"/>
              </w:rPr>
            </w:pPr>
            <w:r w:rsidRPr="002D52A1">
              <w:rPr>
                <w:noProof/>
                <w:sz w:val="20"/>
              </w:rPr>
              <w:t xml:space="preserve"> </w:t>
            </w:r>
          </w:p>
        </w:tc>
        <w:tc>
          <w:tcPr>
            <w:tcW w:w="2410" w:type="dxa"/>
            <w:vAlign w:val="center"/>
          </w:tcPr>
          <w:p w14:paraId="75890B36" w14:textId="77777777" w:rsidR="00C4624A" w:rsidRPr="002D52A1" w:rsidRDefault="00C4624A" w:rsidP="00461AA0">
            <w:pPr>
              <w:spacing w:before="20" w:after="20"/>
              <w:jc w:val="right"/>
              <w:rPr>
                <w:rFonts w:eastAsia="Times New Roman"/>
                <w:noProof/>
                <w:sz w:val="20"/>
                <w:szCs w:val="20"/>
              </w:rPr>
            </w:pPr>
            <w:r w:rsidRPr="002D52A1">
              <w:rPr>
                <w:b/>
                <w:noProof/>
                <w:sz w:val="20"/>
              </w:rPr>
              <w:t>90,0</w:t>
            </w:r>
          </w:p>
        </w:tc>
      </w:tr>
      <w:tr w:rsidR="00C4624A" w:rsidRPr="002D52A1" w14:paraId="5DF57148" w14:textId="77777777" w:rsidTr="00461AA0">
        <w:trPr>
          <w:trHeight w:val="774"/>
        </w:trPr>
        <w:tc>
          <w:tcPr>
            <w:tcW w:w="14978" w:type="dxa"/>
            <w:gridSpan w:val="12"/>
          </w:tcPr>
          <w:p w14:paraId="3A801013" w14:textId="77777777" w:rsidR="00C4624A" w:rsidRPr="002D52A1" w:rsidRDefault="00C4624A" w:rsidP="00461AA0">
            <w:pPr>
              <w:jc w:val="left"/>
              <w:rPr>
                <w:rFonts w:eastAsia="Times New Roman"/>
                <w:noProof/>
                <w:sz w:val="20"/>
                <w:szCs w:val="20"/>
              </w:rPr>
            </w:pPr>
            <w:r w:rsidRPr="002D52A1">
              <w:rPr>
                <w:noProof/>
                <w:sz w:val="20"/>
              </w:rPr>
              <w:t>□ MFP II</w:t>
            </w:r>
          </w:p>
        </w:tc>
      </w:tr>
      <w:tr w:rsidR="00C4624A" w:rsidRPr="002D52A1" w14:paraId="0C576811" w14:textId="77777777" w:rsidTr="00461AA0">
        <w:trPr>
          <w:trHeight w:val="774"/>
        </w:trPr>
        <w:tc>
          <w:tcPr>
            <w:tcW w:w="3960" w:type="dxa"/>
            <w:vMerge w:val="restart"/>
          </w:tcPr>
          <w:p w14:paraId="151077AB" w14:textId="77777777" w:rsidR="002D52A1" w:rsidRPr="002D52A1" w:rsidRDefault="00C4624A" w:rsidP="00461AA0">
            <w:pPr>
              <w:rPr>
                <w:noProof/>
                <w:sz w:val="18"/>
              </w:rPr>
            </w:pPr>
            <w:r w:rsidRPr="002D52A1">
              <w:rPr>
                <w:noProof/>
                <w:sz w:val="18"/>
              </w:rPr>
              <w:t>Rozpočtový riadok</w:t>
            </w:r>
          </w:p>
          <w:p w14:paraId="40CA1987" w14:textId="3F17F4A0" w:rsidR="00C4624A" w:rsidRPr="002D52A1" w:rsidRDefault="00C4624A" w:rsidP="00461AA0">
            <w:pPr>
              <w:rPr>
                <w:rFonts w:eastAsia="Times New Roman"/>
                <w:noProof/>
                <w:sz w:val="18"/>
                <w:szCs w:val="18"/>
              </w:rPr>
            </w:pPr>
            <w:r w:rsidRPr="002D52A1">
              <w:rPr>
                <w:noProof/>
                <w:sz w:val="18"/>
              </w:rPr>
              <w:t>14 02 01 70 06 NDICI – Tvorba rezerv pre spoločný rezervný fond</w:t>
            </w:r>
            <w:r w:rsidRPr="002D52A1">
              <w:rPr>
                <w:rStyle w:val="FootnoteReference"/>
                <w:noProof/>
                <w:sz w:val="18"/>
              </w:rPr>
              <w:t xml:space="preserve"> </w:t>
            </w:r>
            <w:r w:rsidRPr="002D52A1">
              <w:rPr>
                <w:rStyle w:val="FootnoteReference"/>
                <w:rFonts w:eastAsia="Times New Roman"/>
                <w:noProof/>
                <w:sz w:val="18"/>
                <w:szCs w:val="18"/>
              </w:rPr>
              <w:footnoteReference w:id="39"/>
            </w:r>
          </w:p>
        </w:tc>
        <w:tc>
          <w:tcPr>
            <w:tcW w:w="1440" w:type="dxa"/>
            <w:gridSpan w:val="2"/>
            <w:vAlign w:val="center"/>
          </w:tcPr>
          <w:p w14:paraId="24423A12" w14:textId="77777777" w:rsidR="00C4624A" w:rsidRPr="002D52A1" w:rsidRDefault="00C4624A" w:rsidP="00461AA0">
            <w:pPr>
              <w:jc w:val="left"/>
              <w:rPr>
                <w:rFonts w:eastAsia="Times New Roman"/>
                <w:noProof/>
                <w:sz w:val="18"/>
                <w:szCs w:val="18"/>
              </w:rPr>
            </w:pPr>
            <w:r w:rsidRPr="002D52A1">
              <w:rPr>
                <w:noProof/>
                <w:sz w:val="18"/>
              </w:rPr>
              <w:t>Záväzky</w:t>
            </w:r>
          </w:p>
        </w:tc>
        <w:tc>
          <w:tcPr>
            <w:tcW w:w="654" w:type="dxa"/>
            <w:vAlign w:val="center"/>
          </w:tcPr>
          <w:p w14:paraId="1BBA78D7" w14:textId="77777777" w:rsidR="00C4624A" w:rsidRPr="002D52A1" w:rsidRDefault="00C4624A" w:rsidP="00461AA0">
            <w:pPr>
              <w:jc w:val="center"/>
              <w:rPr>
                <w:rFonts w:eastAsia="Calibri"/>
                <w:noProof/>
                <w:sz w:val="16"/>
                <w:szCs w:val="16"/>
              </w:rPr>
            </w:pPr>
            <w:r w:rsidRPr="002D52A1">
              <w:rPr>
                <w:noProof/>
                <w:sz w:val="16"/>
              </w:rPr>
              <w:t>(c)</w:t>
            </w:r>
          </w:p>
        </w:tc>
        <w:tc>
          <w:tcPr>
            <w:tcW w:w="868" w:type="dxa"/>
          </w:tcPr>
          <w:p w14:paraId="5BBAA1B3" w14:textId="77777777" w:rsidR="00C4624A" w:rsidRPr="002D52A1" w:rsidRDefault="00C4624A" w:rsidP="00461AA0">
            <w:pPr>
              <w:jc w:val="right"/>
              <w:rPr>
                <w:rFonts w:eastAsia="Times New Roman"/>
                <w:noProof/>
                <w:sz w:val="20"/>
                <w:szCs w:val="20"/>
              </w:rPr>
            </w:pPr>
          </w:p>
        </w:tc>
        <w:tc>
          <w:tcPr>
            <w:tcW w:w="868" w:type="dxa"/>
            <w:vAlign w:val="center"/>
          </w:tcPr>
          <w:p w14:paraId="21DA48D0" w14:textId="77777777" w:rsidR="00C4624A" w:rsidRPr="002D52A1" w:rsidRDefault="00C4624A" w:rsidP="00461AA0">
            <w:pPr>
              <w:jc w:val="right"/>
              <w:rPr>
                <w:rFonts w:eastAsia="Times New Roman"/>
                <w:noProof/>
                <w:sz w:val="20"/>
                <w:szCs w:val="20"/>
              </w:rPr>
            </w:pPr>
            <w:r w:rsidRPr="002D52A1">
              <w:rPr>
                <w:noProof/>
                <w:sz w:val="20"/>
              </w:rPr>
              <w:t>62,4</w:t>
            </w:r>
          </w:p>
        </w:tc>
        <w:tc>
          <w:tcPr>
            <w:tcW w:w="868" w:type="dxa"/>
            <w:vAlign w:val="center"/>
          </w:tcPr>
          <w:p w14:paraId="4E2825E8" w14:textId="77777777" w:rsidR="00C4624A" w:rsidRPr="002D52A1" w:rsidRDefault="00C4624A" w:rsidP="00461AA0">
            <w:pPr>
              <w:jc w:val="right"/>
              <w:rPr>
                <w:rFonts w:eastAsia="Times New Roman"/>
                <w:noProof/>
                <w:sz w:val="20"/>
                <w:szCs w:val="20"/>
              </w:rPr>
            </w:pPr>
            <w:r w:rsidRPr="002D52A1">
              <w:rPr>
                <w:noProof/>
                <w:sz w:val="20"/>
              </w:rPr>
              <w:t>162,6</w:t>
            </w:r>
          </w:p>
        </w:tc>
        <w:tc>
          <w:tcPr>
            <w:tcW w:w="930" w:type="dxa"/>
            <w:vAlign w:val="center"/>
          </w:tcPr>
          <w:p w14:paraId="75432705" w14:textId="77777777" w:rsidR="00C4624A" w:rsidRPr="002D52A1" w:rsidRDefault="00C4624A" w:rsidP="00461AA0">
            <w:pPr>
              <w:jc w:val="right"/>
              <w:rPr>
                <w:rFonts w:eastAsia="Times New Roman"/>
                <w:noProof/>
                <w:sz w:val="20"/>
                <w:szCs w:val="20"/>
              </w:rPr>
            </w:pPr>
            <w:r w:rsidRPr="002D52A1">
              <w:rPr>
                <w:noProof/>
                <w:sz w:val="20"/>
              </w:rPr>
              <w:t>32,5</w:t>
            </w:r>
          </w:p>
        </w:tc>
        <w:tc>
          <w:tcPr>
            <w:tcW w:w="996" w:type="dxa"/>
            <w:vAlign w:val="center"/>
          </w:tcPr>
          <w:p w14:paraId="2C3CE0AE" w14:textId="77777777" w:rsidR="00C4624A" w:rsidRPr="002D52A1" w:rsidRDefault="00C4624A" w:rsidP="00461AA0">
            <w:pPr>
              <w:jc w:val="right"/>
              <w:rPr>
                <w:rFonts w:eastAsia="Times New Roman"/>
                <w:noProof/>
                <w:sz w:val="20"/>
                <w:szCs w:val="20"/>
              </w:rPr>
            </w:pPr>
            <w:r w:rsidRPr="002D52A1">
              <w:rPr>
                <w:noProof/>
                <w:sz w:val="20"/>
              </w:rPr>
              <w:t>143,4</w:t>
            </w:r>
          </w:p>
        </w:tc>
        <w:tc>
          <w:tcPr>
            <w:tcW w:w="992" w:type="dxa"/>
            <w:vAlign w:val="center"/>
          </w:tcPr>
          <w:p w14:paraId="36844269" w14:textId="77777777" w:rsidR="00C4624A" w:rsidRPr="002D52A1" w:rsidRDefault="00C4624A" w:rsidP="00461AA0">
            <w:pPr>
              <w:rPr>
                <w:rFonts w:eastAsia="Times New Roman"/>
                <w:noProof/>
                <w:sz w:val="20"/>
                <w:szCs w:val="20"/>
              </w:rPr>
            </w:pPr>
            <w:r w:rsidRPr="002D52A1">
              <w:rPr>
                <w:noProof/>
                <w:sz w:val="20"/>
              </w:rPr>
              <w:t>49,1</w:t>
            </w:r>
          </w:p>
        </w:tc>
        <w:tc>
          <w:tcPr>
            <w:tcW w:w="992" w:type="dxa"/>
            <w:vAlign w:val="center"/>
          </w:tcPr>
          <w:p w14:paraId="0AF48FC3" w14:textId="77777777" w:rsidR="00C4624A" w:rsidRPr="002D52A1" w:rsidRDefault="00C4624A" w:rsidP="00461AA0">
            <w:pPr>
              <w:jc w:val="right"/>
              <w:rPr>
                <w:rFonts w:eastAsia="Times New Roman"/>
                <w:noProof/>
                <w:sz w:val="20"/>
                <w:szCs w:val="20"/>
              </w:rPr>
            </w:pPr>
          </w:p>
        </w:tc>
        <w:tc>
          <w:tcPr>
            <w:tcW w:w="2410" w:type="dxa"/>
            <w:vAlign w:val="center"/>
          </w:tcPr>
          <w:p w14:paraId="633BE89B" w14:textId="77777777" w:rsidR="00C4624A" w:rsidRPr="002D52A1" w:rsidRDefault="00C4624A" w:rsidP="00461AA0">
            <w:pPr>
              <w:jc w:val="right"/>
              <w:rPr>
                <w:rFonts w:eastAsia="Times New Roman"/>
                <w:b/>
                <w:noProof/>
                <w:sz w:val="20"/>
                <w:szCs w:val="20"/>
              </w:rPr>
            </w:pPr>
            <w:r w:rsidRPr="002D52A1">
              <w:rPr>
                <w:b/>
                <w:noProof/>
                <w:sz w:val="20"/>
              </w:rPr>
              <w:t>450,0</w:t>
            </w:r>
          </w:p>
        </w:tc>
      </w:tr>
      <w:tr w:rsidR="00C4624A" w:rsidRPr="002D52A1" w14:paraId="15A5D64E" w14:textId="77777777" w:rsidTr="00461AA0">
        <w:trPr>
          <w:trHeight w:val="774"/>
        </w:trPr>
        <w:tc>
          <w:tcPr>
            <w:tcW w:w="3960" w:type="dxa"/>
            <w:vMerge/>
          </w:tcPr>
          <w:p w14:paraId="103FFAEB" w14:textId="77777777" w:rsidR="00C4624A" w:rsidRPr="002D52A1" w:rsidRDefault="00C4624A" w:rsidP="00461AA0">
            <w:pPr>
              <w:rPr>
                <w:noProof/>
              </w:rPr>
            </w:pPr>
          </w:p>
        </w:tc>
        <w:tc>
          <w:tcPr>
            <w:tcW w:w="1440" w:type="dxa"/>
            <w:gridSpan w:val="2"/>
            <w:vAlign w:val="center"/>
          </w:tcPr>
          <w:p w14:paraId="0189B954" w14:textId="77777777" w:rsidR="00C4624A" w:rsidRPr="002D52A1" w:rsidRDefault="00C4624A" w:rsidP="00461AA0">
            <w:pPr>
              <w:jc w:val="left"/>
              <w:rPr>
                <w:rFonts w:eastAsia="Times New Roman"/>
                <w:noProof/>
                <w:sz w:val="18"/>
                <w:szCs w:val="18"/>
              </w:rPr>
            </w:pPr>
            <w:r w:rsidRPr="002D52A1">
              <w:rPr>
                <w:noProof/>
                <w:sz w:val="18"/>
              </w:rPr>
              <w:t>Platby</w:t>
            </w:r>
          </w:p>
        </w:tc>
        <w:tc>
          <w:tcPr>
            <w:tcW w:w="654" w:type="dxa"/>
            <w:vAlign w:val="center"/>
          </w:tcPr>
          <w:p w14:paraId="1B978896" w14:textId="77777777" w:rsidR="00C4624A" w:rsidRPr="002D52A1" w:rsidRDefault="00C4624A" w:rsidP="00461AA0">
            <w:pPr>
              <w:jc w:val="center"/>
              <w:rPr>
                <w:rFonts w:eastAsia="Calibri"/>
                <w:noProof/>
                <w:sz w:val="16"/>
                <w:szCs w:val="16"/>
              </w:rPr>
            </w:pPr>
            <w:r w:rsidRPr="002D52A1">
              <w:rPr>
                <w:noProof/>
                <w:sz w:val="16"/>
              </w:rPr>
              <w:t>(d)</w:t>
            </w:r>
          </w:p>
        </w:tc>
        <w:tc>
          <w:tcPr>
            <w:tcW w:w="868" w:type="dxa"/>
          </w:tcPr>
          <w:p w14:paraId="1F5F9765" w14:textId="77777777" w:rsidR="00C4624A" w:rsidRPr="002D52A1" w:rsidRDefault="00C4624A" w:rsidP="00461AA0">
            <w:pPr>
              <w:jc w:val="right"/>
              <w:rPr>
                <w:rFonts w:eastAsia="Times New Roman"/>
                <w:noProof/>
                <w:sz w:val="20"/>
                <w:szCs w:val="20"/>
              </w:rPr>
            </w:pPr>
          </w:p>
        </w:tc>
        <w:tc>
          <w:tcPr>
            <w:tcW w:w="868" w:type="dxa"/>
            <w:vAlign w:val="center"/>
          </w:tcPr>
          <w:p w14:paraId="313FC5D0" w14:textId="77777777" w:rsidR="00C4624A" w:rsidRPr="002D52A1" w:rsidRDefault="00C4624A" w:rsidP="00461AA0">
            <w:pPr>
              <w:jc w:val="right"/>
              <w:rPr>
                <w:rFonts w:eastAsia="Times New Roman"/>
                <w:noProof/>
                <w:sz w:val="20"/>
                <w:szCs w:val="20"/>
              </w:rPr>
            </w:pPr>
          </w:p>
        </w:tc>
        <w:tc>
          <w:tcPr>
            <w:tcW w:w="868" w:type="dxa"/>
            <w:vAlign w:val="center"/>
          </w:tcPr>
          <w:p w14:paraId="76947CA9" w14:textId="77777777" w:rsidR="00C4624A" w:rsidRPr="002D52A1" w:rsidRDefault="00C4624A" w:rsidP="00461AA0">
            <w:pPr>
              <w:jc w:val="right"/>
              <w:rPr>
                <w:rFonts w:eastAsia="Times New Roman"/>
                <w:noProof/>
                <w:sz w:val="20"/>
                <w:szCs w:val="20"/>
              </w:rPr>
            </w:pPr>
          </w:p>
        </w:tc>
        <w:tc>
          <w:tcPr>
            <w:tcW w:w="930" w:type="dxa"/>
            <w:vAlign w:val="center"/>
          </w:tcPr>
          <w:p w14:paraId="397F5B84" w14:textId="77777777" w:rsidR="00C4624A" w:rsidRPr="002D52A1" w:rsidRDefault="00C4624A" w:rsidP="00461AA0">
            <w:pPr>
              <w:jc w:val="right"/>
              <w:rPr>
                <w:rFonts w:eastAsia="Times New Roman"/>
                <w:noProof/>
                <w:sz w:val="20"/>
                <w:szCs w:val="20"/>
              </w:rPr>
            </w:pPr>
          </w:p>
        </w:tc>
        <w:tc>
          <w:tcPr>
            <w:tcW w:w="996" w:type="dxa"/>
            <w:vAlign w:val="center"/>
          </w:tcPr>
          <w:p w14:paraId="65E6996A" w14:textId="77777777" w:rsidR="00C4624A" w:rsidRPr="002D52A1" w:rsidRDefault="00C4624A" w:rsidP="00461AA0">
            <w:pPr>
              <w:jc w:val="right"/>
              <w:rPr>
                <w:rFonts w:eastAsia="Times New Roman"/>
                <w:noProof/>
                <w:sz w:val="20"/>
                <w:szCs w:val="20"/>
              </w:rPr>
            </w:pPr>
            <w:r w:rsidRPr="002D52A1">
              <w:rPr>
                <w:noProof/>
                <w:sz w:val="20"/>
              </w:rPr>
              <w:t>91,2</w:t>
            </w:r>
          </w:p>
        </w:tc>
        <w:tc>
          <w:tcPr>
            <w:tcW w:w="992" w:type="dxa"/>
            <w:vAlign w:val="center"/>
          </w:tcPr>
          <w:p w14:paraId="5A9855C4" w14:textId="77777777" w:rsidR="00C4624A" w:rsidRPr="002D52A1" w:rsidRDefault="00C4624A" w:rsidP="00461AA0">
            <w:pPr>
              <w:rPr>
                <w:rFonts w:eastAsia="Times New Roman"/>
                <w:noProof/>
                <w:sz w:val="20"/>
                <w:szCs w:val="20"/>
              </w:rPr>
            </w:pPr>
            <w:r w:rsidRPr="002D52A1">
              <w:rPr>
                <w:noProof/>
                <w:sz w:val="20"/>
              </w:rPr>
              <w:t>300,0</w:t>
            </w:r>
          </w:p>
        </w:tc>
        <w:tc>
          <w:tcPr>
            <w:tcW w:w="992" w:type="dxa"/>
            <w:vAlign w:val="center"/>
          </w:tcPr>
          <w:p w14:paraId="211F2D60" w14:textId="77777777" w:rsidR="00C4624A" w:rsidRPr="002D52A1" w:rsidRDefault="00C4624A" w:rsidP="00461AA0">
            <w:pPr>
              <w:jc w:val="right"/>
              <w:rPr>
                <w:rFonts w:eastAsia="Times New Roman"/>
                <w:noProof/>
                <w:sz w:val="20"/>
                <w:szCs w:val="20"/>
              </w:rPr>
            </w:pPr>
            <w:r w:rsidRPr="002D52A1">
              <w:rPr>
                <w:noProof/>
                <w:sz w:val="20"/>
              </w:rPr>
              <w:t>58,8</w:t>
            </w:r>
          </w:p>
        </w:tc>
        <w:tc>
          <w:tcPr>
            <w:tcW w:w="2410" w:type="dxa"/>
            <w:vAlign w:val="center"/>
          </w:tcPr>
          <w:p w14:paraId="441C884D" w14:textId="77777777" w:rsidR="00C4624A" w:rsidRPr="002D52A1" w:rsidRDefault="00C4624A" w:rsidP="00461AA0">
            <w:pPr>
              <w:jc w:val="right"/>
              <w:rPr>
                <w:rFonts w:eastAsia="Times New Roman"/>
                <w:b/>
                <w:noProof/>
                <w:sz w:val="20"/>
                <w:szCs w:val="20"/>
              </w:rPr>
            </w:pPr>
            <w:r w:rsidRPr="002D52A1">
              <w:rPr>
                <w:b/>
                <w:noProof/>
                <w:sz w:val="20"/>
              </w:rPr>
              <w:t>450,0</w:t>
            </w:r>
          </w:p>
        </w:tc>
      </w:tr>
      <w:tr w:rsidR="00C4624A" w:rsidRPr="002D52A1" w14:paraId="03A62B2C" w14:textId="77777777" w:rsidTr="00461AA0">
        <w:trPr>
          <w:trHeight w:val="231"/>
        </w:trPr>
        <w:tc>
          <w:tcPr>
            <w:tcW w:w="6054" w:type="dxa"/>
            <w:gridSpan w:val="4"/>
            <w:vAlign w:val="center"/>
          </w:tcPr>
          <w:p w14:paraId="2383713F" w14:textId="12C2D867" w:rsidR="002D52A1" w:rsidRPr="002D52A1" w:rsidRDefault="00C4624A" w:rsidP="00461AA0">
            <w:pPr>
              <w:spacing w:before="20" w:after="20"/>
              <w:rPr>
                <w:noProof/>
                <w:sz w:val="21"/>
              </w:rPr>
            </w:pPr>
            <w:r w:rsidRPr="002D52A1">
              <w:rPr>
                <w:noProof/>
                <w:sz w:val="20"/>
              </w:rPr>
              <w:t>□ Administratívne rozpočtové prostriedky financované</w:t>
            </w:r>
            <w:r w:rsidR="002D52A1">
              <w:rPr>
                <w:noProof/>
                <w:sz w:val="20"/>
              </w:rPr>
              <w:t xml:space="preserve"> z </w:t>
            </w:r>
            <w:r w:rsidRPr="002D52A1">
              <w:rPr>
                <w:noProof/>
                <w:sz w:val="20"/>
              </w:rPr>
              <w:t>finančného krytia na vykonávanie osobitných programov</w:t>
            </w:r>
            <w:r w:rsidRPr="002D52A1">
              <w:rPr>
                <w:rStyle w:val="FootnoteReference"/>
                <w:b/>
                <w:bCs/>
                <w:noProof/>
                <w:sz w:val="20"/>
                <w:szCs w:val="20"/>
              </w:rPr>
              <w:footnoteReference w:id="40"/>
            </w:r>
          </w:p>
          <w:p w14:paraId="2B2C0BE1" w14:textId="33CB90EC" w:rsidR="00C4624A" w:rsidRPr="002D52A1" w:rsidRDefault="00C4624A" w:rsidP="00461AA0">
            <w:pPr>
              <w:spacing w:before="0" w:after="0"/>
              <w:rPr>
                <w:noProof/>
              </w:rPr>
            </w:pPr>
          </w:p>
        </w:tc>
        <w:tc>
          <w:tcPr>
            <w:tcW w:w="8924" w:type="dxa"/>
            <w:gridSpan w:val="8"/>
          </w:tcPr>
          <w:p w14:paraId="53D0930D" w14:textId="77777777" w:rsidR="00C4624A" w:rsidRPr="002D52A1" w:rsidRDefault="00C4624A" w:rsidP="00461AA0">
            <w:pPr>
              <w:rPr>
                <w:rFonts w:eastAsia="Times New Roman"/>
                <w:b/>
                <w:noProof/>
                <w:sz w:val="20"/>
                <w:szCs w:val="20"/>
              </w:rPr>
            </w:pPr>
          </w:p>
        </w:tc>
      </w:tr>
      <w:tr w:rsidR="00C4624A" w:rsidRPr="002D52A1" w14:paraId="5DDD48EF" w14:textId="77777777" w:rsidTr="00461AA0">
        <w:trPr>
          <w:trHeight w:val="319"/>
        </w:trPr>
        <w:tc>
          <w:tcPr>
            <w:tcW w:w="3960" w:type="dxa"/>
            <w:vMerge w:val="restart"/>
            <w:vAlign w:val="center"/>
          </w:tcPr>
          <w:p w14:paraId="18D2FB79" w14:textId="77777777" w:rsidR="00C4624A" w:rsidRPr="002D52A1" w:rsidRDefault="00C4624A" w:rsidP="00461AA0">
            <w:pPr>
              <w:rPr>
                <w:rFonts w:eastAsia="Times New Roman"/>
                <w:noProof/>
                <w:sz w:val="18"/>
                <w:szCs w:val="18"/>
              </w:rPr>
            </w:pPr>
            <w:r w:rsidRPr="002D52A1">
              <w:rPr>
                <w:noProof/>
                <w:sz w:val="18"/>
              </w:rPr>
              <w:t>Rozpočtový riadok</w:t>
            </w:r>
          </w:p>
          <w:p w14:paraId="7106052E" w14:textId="4F1358D0" w:rsidR="00C4624A" w:rsidRPr="002D52A1" w:rsidRDefault="00C4624A" w:rsidP="00461AA0">
            <w:pPr>
              <w:rPr>
                <w:rFonts w:eastAsia="Times New Roman"/>
                <w:noProof/>
                <w:sz w:val="18"/>
                <w:szCs w:val="18"/>
              </w:rPr>
            </w:pPr>
            <w:r w:rsidRPr="002D52A1">
              <w:rPr>
                <w:noProof/>
                <w:sz w:val="18"/>
              </w:rPr>
              <w:t>14 20 03 01 Granty poskytované</w:t>
            </w:r>
            <w:r w:rsidR="002D52A1">
              <w:rPr>
                <w:noProof/>
                <w:sz w:val="18"/>
              </w:rPr>
              <w:t xml:space="preserve"> v </w:t>
            </w:r>
            <w:r w:rsidRPr="002D52A1">
              <w:rPr>
                <w:noProof/>
                <w:sz w:val="18"/>
              </w:rPr>
              <w:t>rámci makrofinančnej pomoci</w:t>
            </w:r>
          </w:p>
        </w:tc>
        <w:tc>
          <w:tcPr>
            <w:tcW w:w="1440" w:type="dxa"/>
            <w:gridSpan w:val="2"/>
            <w:vAlign w:val="center"/>
          </w:tcPr>
          <w:p w14:paraId="0F01A6B5" w14:textId="77777777" w:rsidR="00C4624A" w:rsidRPr="002D52A1" w:rsidRDefault="00C4624A" w:rsidP="00461AA0">
            <w:pPr>
              <w:spacing w:before="40" w:after="40"/>
              <w:jc w:val="left"/>
              <w:rPr>
                <w:noProof/>
                <w:sz w:val="18"/>
                <w:szCs w:val="18"/>
              </w:rPr>
            </w:pPr>
            <w:r w:rsidRPr="002D52A1">
              <w:rPr>
                <w:noProof/>
                <w:sz w:val="18"/>
              </w:rPr>
              <w:t xml:space="preserve">Záväzky </w:t>
            </w:r>
          </w:p>
        </w:tc>
        <w:tc>
          <w:tcPr>
            <w:tcW w:w="654" w:type="dxa"/>
            <w:vAlign w:val="center"/>
          </w:tcPr>
          <w:p w14:paraId="4D651DEF" w14:textId="77777777" w:rsidR="00C4624A" w:rsidRPr="002D52A1" w:rsidRDefault="00C4624A" w:rsidP="00461AA0">
            <w:pPr>
              <w:spacing w:before="40" w:after="40"/>
              <w:jc w:val="center"/>
              <w:rPr>
                <w:noProof/>
                <w:sz w:val="14"/>
                <w:szCs w:val="14"/>
              </w:rPr>
            </w:pPr>
            <w:r w:rsidRPr="002D52A1">
              <w:rPr>
                <w:noProof/>
                <w:sz w:val="14"/>
              </w:rPr>
              <w:t>(c)</w:t>
            </w:r>
          </w:p>
        </w:tc>
        <w:tc>
          <w:tcPr>
            <w:tcW w:w="868" w:type="dxa"/>
          </w:tcPr>
          <w:p w14:paraId="3B3A2BCC" w14:textId="77777777" w:rsidR="00C4624A" w:rsidRPr="002D52A1" w:rsidRDefault="00C4624A" w:rsidP="00461AA0">
            <w:pPr>
              <w:spacing w:before="40" w:after="40"/>
              <w:jc w:val="right"/>
              <w:rPr>
                <w:rFonts w:eastAsia="Times New Roman"/>
                <w:b/>
                <w:noProof/>
                <w:sz w:val="20"/>
                <w:szCs w:val="20"/>
              </w:rPr>
            </w:pPr>
          </w:p>
        </w:tc>
        <w:tc>
          <w:tcPr>
            <w:tcW w:w="868" w:type="dxa"/>
            <w:vAlign w:val="center"/>
          </w:tcPr>
          <w:p w14:paraId="41AF0002" w14:textId="77777777" w:rsidR="00C4624A" w:rsidRPr="002D52A1" w:rsidRDefault="00C4624A" w:rsidP="00461AA0">
            <w:pPr>
              <w:spacing w:before="40" w:after="40"/>
              <w:jc w:val="right"/>
              <w:rPr>
                <w:rFonts w:eastAsia="Times New Roman"/>
                <w:noProof/>
                <w:sz w:val="20"/>
                <w:szCs w:val="20"/>
              </w:rPr>
            </w:pPr>
            <w:r w:rsidRPr="002D52A1">
              <w:rPr>
                <w:noProof/>
                <w:sz w:val="20"/>
              </w:rPr>
              <w:t>0,15</w:t>
            </w:r>
          </w:p>
        </w:tc>
        <w:tc>
          <w:tcPr>
            <w:tcW w:w="868" w:type="dxa"/>
            <w:vAlign w:val="center"/>
          </w:tcPr>
          <w:p w14:paraId="71A030D4" w14:textId="77777777" w:rsidR="00C4624A" w:rsidRPr="002D52A1" w:rsidRDefault="00C4624A" w:rsidP="00461AA0">
            <w:pPr>
              <w:spacing w:before="40" w:after="40"/>
              <w:jc w:val="right"/>
              <w:rPr>
                <w:rFonts w:eastAsia="Times New Roman"/>
                <w:noProof/>
                <w:sz w:val="20"/>
                <w:szCs w:val="20"/>
              </w:rPr>
            </w:pPr>
          </w:p>
        </w:tc>
        <w:tc>
          <w:tcPr>
            <w:tcW w:w="930" w:type="dxa"/>
            <w:vAlign w:val="center"/>
          </w:tcPr>
          <w:p w14:paraId="297E28A2" w14:textId="77777777" w:rsidR="00C4624A" w:rsidRPr="002D52A1" w:rsidRDefault="00C4624A" w:rsidP="00461AA0">
            <w:pPr>
              <w:spacing w:before="40" w:after="40"/>
              <w:jc w:val="right"/>
              <w:rPr>
                <w:rFonts w:eastAsia="Times New Roman"/>
                <w:noProof/>
                <w:sz w:val="20"/>
                <w:szCs w:val="20"/>
              </w:rPr>
            </w:pPr>
          </w:p>
        </w:tc>
        <w:tc>
          <w:tcPr>
            <w:tcW w:w="996" w:type="dxa"/>
            <w:vAlign w:val="center"/>
          </w:tcPr>
          <w:p w14:paraId="67E98CD1" w14:textId="77777777" w:rsidR="00C4624A" w:rsidRPr="002D52A1" w:rsidRDefault="00C4624A" w:rsidP="00461AA0">
            <w:pPr>
              <w:spacing w:before="40" w:after="40"/>
              <w:jc w:val="right"/>
              <w:rPr>
                <w:rFonts w:eastAsia="Times New Roman"/>
                <w:noProof/>
                <w:sz w:val="20"/>
                <w:szCs w:val="20"/>
              </w:rPr>
            </w:pPr>
            <w:r w:rsidRPr="002D52A1">
              <w:rPr>
                <w:noProof/>
                <w:sz w:val="20"/>
              </w:rPr>
              <w:t>0,15</w:t>
            </w:r>
          </w:p>
        </w:tc>
        <w:tc>
          <w:tcPr>
            <w:tcW w:w="992" w:type="dxa"/>
          </w:tcPr>
          <w:p w14:paraId="05CC1016" w14:textId="77777777" w:rsidR="00C4624A" w:rsidRPr="002D52A1" w:rsidRDefault="00C4624A" w:rsidP="00461AA0">
            <w:pPr>
              <w:spacing w:before="40" w:after="40"/>
              <w:jc w:val="right"/>
              <w:rPr>
                <w:rFonts w:eastAsia="Times New Roman"/>
                <w:b/>
                <w:noProof/>
                <w:sz w:val="20"/>
                <w:szCs w:val="20"/>
              </w:rPr>
            </w:pPr>
          </w:p>
        </w:tc>
        <w:tc>
          <w:tcPr>
            <w:tcW w:w="992" w:type="dxa"/>
          </w:tcPr>
          <w:p w14:paraId="0091CD86" w14:textId="77777777" w:rsidR="00C4624A" w:rsidRPr="002D52A1" w:rsidRDefault="00C4624A" w:rsidP="00461AA0">
            <w:pPr>
              <w:spacing w:before="40" w:after="40"/>
              <w:jc w:val="right"/>
              <w:rPr>
                <w:rFonts w:eastAsia="Times New Roman"/>
                <w:b/>
                <w:noProof/>
                <w:sz w:val="20"/>
                <w:szCs w:val="20"/>
              </w:rPr>
            </w:pPr>
          </w:p>
        </w:tc>
        <w:tc>
          <w:tcPr>
            <w:tcW w:w="2410" w:type="dxa"/>
            <w:vAlign w:val="center"/>
          </w:tcPr>
          <w:p w14:paraId="748643A0" w14:textId="77777777" w:rsidR="00C4624A" w:rsidRPr="002D52A1" w:rsidRDefault="00C4624A" w:rsidP="00461AA0">
            <w:pPr>
              <w:spacing w:before="40" w:after="40"/>
              <w:jc w:val="right"/>
              <w:rPr>
                <w:rFonts w:eastAsia="Times New Roman"/>
                <w:b/>
                <w:bCs/>
                <w:noProof/>
                <w:sz w:val="20"/>
                <w:szCs w:val="20"/>
              </w:rPr>
            </w:pPr>
            <w:r w:rsidRPr="002D52A1">
              <w:rPr>
                <w:b/>
                <w:noProof/>
                <w:sz w:val="20"/>
              </w:rPr>
              <w:t>0,3</w:t>
            </w:r>
          </w:p>
        </w:tc>
      </w:tr>
      <w:tr w:rsidR="00C4624A" w:rsidRPr="002D52A1" w14:paraId="23EBBED2" w14:textId="77777777" w:rsidTr="00461AA0">
        <w:trPr>
          <w:trHeight w:val="319"/>
        </w:trPr>
        <w:tc>
          <w:tcPr>
            <w:tcW w:w="3960" w:type="dxa"/>
            <w:vMerge/>
            <w:vAlign w:val="center"/>
          </w:tcPr>
          <w:p w14:paraId="0D43EF4A" w14:textId="77777777" w:rsidR="00C4624A" w:rsidRPr="002D52A1" w:rsidRDefault="00C4624A" w:rsidP="00461AA0">
            <w:pPr>
              <w:rPr>
                <w:noProof/>
                <w:sz w:val="20"/>
                <w:szCs w:val="20"/>
              </w:rPr>
            </w:pPr>
          </w:p>
        </w:tc>
        <w:tc>
          <w:tcPr>
            <w:tcW w:w="1440" w:type="dxa"/>
            <w:gridSpan w:val="2"/>
            <w:vAlign w:val="center"/>
          </w:tcPr>
          <w:p w14:paraId="023FA408" w14:textId="77777777" w:rsidR="00C4624A" w:rsidRPr="002D52A1" w:rsidRDefault="00C4624A" w:rsidP="00461AA0">
            <w:pPr>
              <w:jc w:val="left"/>
              <w:rPr>
                <w:noProof/>
                <w:sz w:val="18"/>
                <w:szCs w:val="18"/>
              </w:rPr>
            </w:pPr>
            <w:r w:rsidRPr="002D52A1">
              <w:rPr>
                <w:noProof/>
                <w:sz w:val="18"/>
              </w:rPr>
              <w:t>Platby</w:t>
            </w:r>
          </w:p>
        </w:tc>
        <w:tc>
          <w:tcPr>
            <w:tcW w:w="654" w:type="dxa"/>
            <w:vAlign w:val="center"/>
          </w:tcPr>
          <w:p w14:paraId="5E847895" w14:textId="77777777" w:rsidR="00C4624A" w:rsidRPr="002D52A1" w:rsidRDefault="00C4624A" w:rsidP="00461AA0">
            <w:pPr>
              <w:jc w:val="center"/>
              <w:rPr>
                <w:noProof/>
                <w:sz w:val="14"/>
                <w:szCs w:val="14"/>
              </w:rPr>
            </w:pPr>
            <w:r w:rsidRPr="002D52A1">
              <w:rPr>
                <w:noProof/>
                <w:sz w:val="14"/>
              </w:rPr>
              <w:t>(d)</w:t>
            </w:r>
          </w:p>
        </w:tc>
        <w:tc>
          <w:tcPr>
            <w:tcW w:w="868" w:type="dxa"/>
          </w:tcPr>
          <w:p w14:paraId="1B12D662" w14:textId="77777777" w:rsidR="00C4624A" w:rsidRPr="002D52A1" w:rsidRDefault="00C4624A" w:rsidP="00461AA0">
            <w:pPr>
              <w:jc w:val="right"/>
              <w:rPr>
                <w:rFonts w:eastAsia="Times New Roman"/>
                <w:b/>
                <w:noProof/>
                <w:sz w:val="20"/>
                <w:szCs w:val="20"/>
              </w:rPr>
            </w:pPr>
          </w:p>
        </w:tc>
        <w:tc>
          <w:tcPr>
            <w:tcW w:w="868" w:type="dxa"/>
            <w:vAlign w:val="center"/>
          </w:tcPr>
          <w:p w14:paraId="3CB72772" w14:textId="77777777" w:rsidR="00C4624A" w:rsidRPr="002D52A1" w:rsidRDefault="00C4624A" w:rsidP="00461AA0">
            <w:pPr>
              <w:jc w:val="right"/>
              <w:rPr>
                <w:rFonts w:eastAsia="Times New Roman"/>
                <w:noProof/>
                <w:sz w:val="20"/>
                <w:szCs w:val="20"/>
              </w:rPr>
            </w:pPr>
            <w:r w:rsidRPr="002D52A1">
              <w:rPr>
                <w:noProof/>
                <w:sz w:val="20"/>
              </w:rPr>
              <w:t>0,15</w:t>
            </w:r>
          </w:p>
        </w:tc>
        <w:tc>
          <w:tcPr>
            <w:tcW w:w="868" w:type="dxa"/>
            <w:vAlign w:val="center"/>
          </w:tcPr>
          <w:p w14:paraId="597122F2" w14:textId="77777777" w:rsidR="00C4624A" w:rsidRPr="002D52A1" w:rsidRDefault="00C4624A" w:rsidP="00461AA0">
            <w:pPr>
              <w:jc w:val="right"/>
              <w:rPr>
                <w:rFonts w:eastAsia="Times New Roman"/>
                <w:noProof/>
                <w:sz w:val="20"/>
                <w:szCs w:val="20"/>
              </w:rPr>
            </w:pPr>
          </w:p>
        </w:tc>
        <w:tc>
          <w:tcPr>
            <w:tcW w:w="930" w:type="dxa"/>
            <w:vAlign w:val="center"/>
          </w:tcPr>
          <w:p w14:paraId="64567248" w14:textId="77777777" w:rsidR="00C4624A" w:rsidRPr="002D52A1" w:rsidRDefault="00C4624A" w:rsidP="00461AA0">
            <w:pPr>
              <w:jc w:val="right"/>
              <w:rPr>
                <w:rFonts w:eastAsia="Times New Roman"/>
                <w:noProof/>
                <w:sz w:val="20"/>
                <w:szCs w:val="20"/>
              </w:rPr>
            </w:pPr>
          </w:p>
        </w:tc>
        <w:tc>
          <w:tcPr>
            <w:tcW w:w="996" w:type="dxa"/>
            <w:vAlign w:val="center"/>
          </w:tcPr>
          <w:p w14:paraId="636B2239" w14:textId="77777777" w:rsidR="00C4624A" w:rsidRPr="002D52A1" w:rsidRDefault="00C4624A" w:rsidP="00461AA0">
            <w:pPr>
              <w:spacing w:before="40" w:after="40"/>
              <w:jc w:val="right"/>
              <w:rPr>
                <w:rFonts w:eastAsia="Times New Roman"/>
                <w:noProof/>
                <w:sz w:val="20"/>
                <w:szCs w:val="20"/>
              </w:rPr>
            </w:pPr>
          </w:p>
          <w:p w14:paraId="200CDE65" w14:textId="77777777" w:rsidR="00C4624A" w:rsidRPr="002D52A1" w:rsidRDefault="00C4624A" w:rsidP="00461AA0">
            <w:pPr>
              <w:spacing w:before="40" w:after="40"/>
              <w:jc w:val="right"/>
              <w:rPr>
                <w:rFonts w:eastAsia="Times New Roman"/>
                <w:noProof/>
                <w:sz w:val="20"/>
                <w:szCs w:val="20"/>
              </w:rPr>
            </w:pPr>
            <w:r w:rsidRPr="002D52A1">
              <w:rPr>
                <w:noProof/>
                <w:sz w:val="20"/>
              </w:rPr>
              <w:t>0,15</w:t>
            </w:r>
          </w:p>
        </w:tc>
        <w:tc>
          <w:tcPr>
            <w:tcW w:w="992" w:type="dxa"/>
          </w:tcPr>
          <w:p w14:paraId="28BC7B92" w14:textId="77777777" w:rsidR="00C4624A" w:rsidRPr="002D52A1" w:rsidRDefault="00C4624A" w:rsidP="00461AA0">
            <w:pPr>
              <w:jc w:val="right"/>
              <w:rPr>
                <w:rFonts w:eastAsia="Times New Roman"/>
                <w:b/>
                <w:noProof/>
                <w:sz w:val="20"/>
                <w:szCs w:val="20"/>
              </w:rPr>
            </w:pPr>
          </w:p>
        </w:tc>
        <w:tc>
          <w:tcPr>
            <w:tcW w:w="992" w:type="dxa"/>
          </w:tcPr>
          <w:p w14:paraId="61DD5053" w14:textId="77777777" w:rsidR="00C4624A" w:rsidRPr="002D52A1" w:rsidRDefault="00C4624A" w:rsidP="00461AA0">
            <w:pPr>
              <w:jc w:val="right"/>
              <w:rPr>
                <w:rFonts w:eastAsia="Times New Roman"/>
                <w:b/>
                <w:noProof/>
                <w:sz w:val="20"/>
                <w:szCs w:val="20"/>
              </w:rPr>
            </w:pPr>
          </w:p>
        </w:tc>
        <w:tc>
          <w:tcPr>
            <w:tcW w:w="2410" w:type="dxa"/>
            <w:vAlign w:val="center"/>
          </w:tcPr>
          <w:p w14:paraId="025F7A84" w14:textId="77777777" w:rsidR="00C4624A" w:rsidRPr="002D52A1" w:rsidRDefault="00C4624A" w:rsidP="00461AA0">
            <w:pPr>
              <w:jc w:val="right"/>
              <w:rPr>
                <w:rFonts w:eastAsia="Times New Roman"/>
                <w:b/>
                <w:bCs/>
                <w:noProof/>
                <w:sz w:val="20"/>
                <w:szCs w:val="20"/>
              </w:rPr>
            </w:pPr>
            <w:r w:rsidRPr="002D52A1">
              <w:rPr>
                <w:b/>
                <w:noProof/>
                <w:sz w:val="20"/>
              </w:rPr>
              <w:t>0,3</w:t>
            </w:r>
          </w:p>
        </w:tc>
      </w:tr>
      <w:tr w:rsidR="00C4624A" w:rsidRPr="002D52A1" w14:paraId="4FF4CD66" w14:textId="77777777" w:rsidTr="00461AA0">
        <w:tc>
          <w:tcPr>
            <w:tcW w:w="3960" w:type="dxa"/>
            <w:vMerge w:val="restart"/>
            <w:vAlign w:val="center"/>
          </w:tcPr>
          <w:p w14:paraId="26043FDB" w14:textId="77777777" w:rsidR="00C4624A" w:rsidRPr="002D52A1" w:rsidRDefault="00C4624A" w:rsidP="00461AA0">
            <w:pPr>
              <w:jc w:val="center"/>
              <w:rPr>
                <w:b/>
                <w:bCs/>
                <w:noProof/>
              </w:rPr>
            </w:pPr>
            <w:r w:rsidRPr="002D52A1">
              <w:rPr>
                <w:b/>
                <w:noProof/>
                <w:sz w:val="22"/>
              </w:rPr>
              <w:t>Rozpočtové prostriedky pre GR ECFIN SPOLU</w:t>
            </w:r>
          </w:p>
        </w:tc>
        <w:tc>
          <w:tcPr>
            <w:tcW w:w="1440" w:type="dxa"/>
            <w:gridSpan w:val="2"/>
            <w:vAlign w:val="center"/>
          </w:tcPr>
          <w:p w14:paraId="0C127C91" w14:textId="77777777" w:rsidR="00C4624A" w:rsidRPr="002D52A1" w:rsidRDefault="00C4624A" w:rsidP="00461AA0">
            <w:pPr>
              <w:rPr>
                <w:noProof/>
                <w:sz w:val="18"/>
                <w:szCs w:val="18"/>
              </w:rPr>
            </w:pPr>
            <w:r w:rsidRPr="002D52A1">
              <w:rPr>
                <w:noProof/>
                <w:sz w:val="18"/>
              </w:rPr>
              <w:t>Záväzky</w:t>
            </w:r>
          </w:p>
        </w:tc>
        <w:tc>
          <w:tcPr>
            <w:tcW w:w="654" w:type="dxa"/>
            <w:vAlign w:val="center"/>
          </w:tcPr>
          <w:p w14:paraId="3C418F82" w14:textId="77777777" w:rsidR="00C4624A" w:rsidRPr="002D52A1" w:rsidRDefault="00C4624A" w:rsidP="00461AA0">
            <w:pPr>
              <w:jc w:val="center"/>
              <w:rPr>
                <w:rFonts w:eastAsia="Calibri"/>
                <w:noProof/>
                <w:szCs w:val="24"/>
              </w:rPr>
            </w:pPr>
            <w:r w:rsidRPr="002D52A1">
              <w:rPr>
                <w:noProof/>
                <w:sz w:val="14"/>
              </w:rPr>
              <w:t>Spolu (c)</w:t>
            </w:r>
          </w:p>
        </w:tc>
        <w:tc>
          <w:tcPr>
            <w:tcW w:w="868" w:type="dxa"/>
          </w:tcPr>
          <w:p w14:paraId="3A2B36FC" w14:textId="77777777" w:rsidR="00C4624A" w:rsidRPr="002D52A1" w:rsidRDefault="00C4624A" w:rsidP="00461AA0">
            <w:pPr>
              <w:spacing w:before="20" w:after="20"/>
              <w:jc w:val="right"/>
              <w:rPr>
                <w:rFonts w:eastAsia="Times New Roman"/>
                <w:b/>
                <w:noProof/>
                <w:sz w:val="20"/>
                <w:szCs w:val="20"/>
              </w:rPr>
            </w:pPr>
          </w:p>
          <w:p w14:paraId="26E92356" w14:textId="77777777" w:rsidR="00C4624A" w:rsidRPr="002D52A1" w:rsidRDefault="00C4624A" w:rsidP="00461AA0">
            <w:pPr>
              <w:spacing w:before="20" w:after="20"/>
              <w:jc w:val="right"/>
              <w:rPr>
                <w:rFonts w:eastAsia="Times New Roman"/>
                <w:b/>
                <w:bCs/>
                <w:noProof/>
                <w:sz w:val="20"/>
                <w:szCs w:val="20"/>
              </w:rPr>
            </w:pPr>
            <w:r w:rsidRPr="002D52A1">
              <w:rPr>
                <w:b/>
                <w:noProof/>
                <w:sz w:val="20"/>
              </w:rPr>
              <w:t>27,3</w:t>
            </w:r>
          </w:p>
          <w:p w14:paraId="58FD6026" w14:textId="77777777" w:rsidR="00C4624A" w:rsidRPr="002D52A1" w:rsidRDefault="00C4624A" w:rsidP="00461AA0">
            <w:pPr>
              <w:spacing w:before="20" w:after="20"/>
              <w:jc w:val="right"/>
              <w:rPr>
                <w:rFonts w:eastAsia="Times New Roman"/>
                <w:b/>
                <w:noProof/>
                <w:sz w:val="20"/>
                <w:szCs w:val="20"/>
              </w:rPr>
            </w:pPr>
          </w:p>
        </w:tc>
        <w:tc>
          <w:tcPr>
            <w:tcW w:w="868" w:type="dxa"/>
            <w:vAlign w:val="center"/>
          </w:tcPr>
          <w:p w14:paraId="0B5E7DB4" w14:textId="77777777" w:rsidR="00C4624A" w:rsidRPr="002D52A1" w:rsidRDefault="00C4624A" w:rsidP="00461AA0">
            <w:pPr>
              <w:spacing w:before="20" w:after="20"/>
              <w:jc w:val="right"/>
              <w:rPr>
                <w:rFonts w:eastAsia="Times New Roman"/>
                <w:b/>
                <w:bCs/>
                <w:noProof/>
                <w:sz w:val="20"/>
                <w:szCs w:val="20"/>
              </w:rPr>
            </w:pPr>
            <w:r w:rsidRPr="002D52A1">
              <w:rPr>
                <w:b/>
                <w:noProof/>
                <w:sz w:val="20"/>
              </w:rPr>
              <w:t>125,2</w:t>
            </w:r>
          </w:p>
        </w:tc>
        <w:tc>
          <w:tcPr>
            <w:tcW w:w="868" w:type="dxa"/>
            <w:vAlign w:val="center"/>
          </w:tcPr>
          <w:p w14:paraId="43092B72" w14:textId="77777777" w:rsidR="00C4624A" w:rsidRPr="002D52A1" w:rsidRDefault="00C4624A" w:rsidP="00461AA0">
            <w:pPr>
              <w:spacing w:before="20" w:after="20"/>
              <w:jc w:val="right"/>
              <w:rPr>
                <w:rFonts w:eastAsia="Times New Roman"/>
                <w:b/>
                <w:noProof/>
                <w:sz w:val="20"/>
                <w:szCs w:val="20"/>
              </w:rPr>
            </w:pPr>
            <w:r w:rsidRPr="002D52A1">
              <w:rPr>
                <w:b/>
                <w:noProof/>
                <w:sz w:val="20"/>
              </w:rPr>
              <w:t>162,6</w:t>
            </w:r>
          </w:p>
        </w:tc>
        <w:tc>
          <w:tcPr>
            <w:tcW w:w="930" w:type="dxa"/>
            <w:vAlign w:val="center"/>
          </w:tcPr>
          <w:p w14:paraId="51D49213" w14:textId="77777777" w:rsidR="00C4624A" w:rsidRPr="002D52A1" w:rsidRDefault="00C4624A" w:rsidP="00461AA0">
            <w:pPr>
              <w:spacing w:before="20" w:after="20"/>
              <w:jc w:val="right"/>
              <w:rPr>
                <w:rFonts w:eastAsia="Times New Roman"/>
                <w:b/>
                <w:noProof/>
                <w:sz w:val="20"/>
                <w:szCs w:val="20"/>
              </w:rPr>
            </w:pPr>
            <w:r w:rsidRPr="002D52A1">
              <w:rPr>
                <w:b/>
                <w:noProof/>
                <w:sz w:val="20"/>
              </w:rPr>
              <w:t>32,5</w:t>
            </w:r>
          </w:p>
        </w:tc>
        <w:tc>
          <w:tcPr>
            <w:tcW w:w="996" w:type="dxa"/>
            <w:vAlign w:val="center"/>
          </w:tcPr>
          <w:p w14:paraId="62F4BEB0" w14:textId="77777777" w:rsidR="00C4624A" w:rsidRPr="002D52A1" w:rsidRDefault="00C4624A" w:rsidP="00461AA0">
            <w:pPr>
              <w:spacing w:before="20" w:after="20"/>
              <w:jc w:val="right"/>
              <w:rPr>
                <w:rFonts w:eastAsia="Times New Roman"/>
                <w:b/>
                <w:noProof/>
                <w:sz w:val="20"/>
                <w:szCs w:val="20"/>
              </w:rPr>
            </w:pPr>
            <w:r w:rsidRPr="002D52A1">
              <w:rPr>
                <w:b/>
                <w:noProof/>
                <w:sz w:val="20"/>
              </w:rPr>
              <w:t>143,55</w:t>
            </w:r>
          </w:p>
        </w:tc>
        <w:tc>
          <w:tcPr>
            <w:tcW w:w="992" w:type="dxa"/>
          </w:tcPr>
          <w:p w14:paraId="62445355" w14:textId="77777777" w:rsidR="00C4624A" w:rsidRPr="002D52A1" w:rsidRDefault="00C4624A" w:rsidP="00461AA0">
            <w:pPr>
              <w:spacing w:before="20" w:after="20"/>
              <w:jc w:val="right"/>
              <w:rPr>
                <w:rFonts w:eastAsia="Times New Roman"/>
                <w:b/>
                <w:noProof/>
                <w:sz w:val="20"/>
                <w:szCs w:val="20"/>
              </w:rPr>
            </w:pPr>
          </w:p>
          <w:p w14:paraId="723DC535" w14:textId="77777777" w:rsidR="00C4624A" w:rsidRPr="002D52A1" w:rsidRDefault="00C4624A" w:rsidP="00461AA0">
            <w:pPr>
              <w:spacing w:before="20" w:after="20"/>
              <w:jc w:val="right"/>
              <w:rPr>
                <w:rFonts w:eastAsia="Times New Roman"/>
                <w:b/>
                <w:bCs/>
                <w:noProof/>
                <w:sz w:val="20"/>
                <w:szCs w:val="20"/>
              </w:rPr>
            </w:pPr>
            <w:r w:rsidRPr="002D52A1">
              <w:rPr>
                <w:b/>
                <w:noProof/>
                <w:sz w:val="20"/>
              </w:rPr>
              <w:t>49,1</w:t>
            </w:r>
          </w:p>
          <w:p w14:paraId="46C38095" w14:textId="77777777" w:rsidR="00C4624A" w:rsidRPr="002D52A1" w:rsidRDefault="00C4624A" w:rsidP="00461AA0">
            <w:pPr>
              <w:spacing w:before="20" w:after="20"/>
              <w:jc w:val="right"/>
              <w:rPr>
                <w:rFonts w:eastAsia="Times New Roman"/>
                <w:b/>
                <w:noProof/>
                <w:sz w:val="20"/>
                <w:szCs w:val="20"/>
              </w:rPr>
            </w:pPr>
          </w:p>
        </w:tc>
        <w:tc>
          <w:tcPr>
            <w:tcW w:w="992" w:type="dxa"/>
          </w:tcPr>
          <w:p w14:paraId="5528B78F" w14:textId="77777777" w:rsidR="00C4624A" w:rsidRPr="002D52A1" w:rsidRDefault="00C4624A" w:rsidP="00461AA0">
            <w:pPr>
              <w:spacing w:before="20" w:after="20"/>
              <w:jc w:val="right"/>
              <w:rPr>
                <w:rFonts w:eastAsia="Times New Roman"/>
                <w:b/>
                <w:noProof/>
                <w:sz w:val="20"/>
                <w:szCs w:val="20"/>
              </w:rPr>
            </w:pPr>
          </w:p>
          <w:p w14:paraId="1616C437" w14:textId="77777777" w:rsidR="00C4624A" w:rsidRPr="002D52A1" w:rsidRDefault="00C4624A" w:rsidP="00461AA0">
            <w:pPr>
              <w:spacing w:before="20" w:after="20"/>
              <w:jc w:val="right"/>
              <w:rPr>
                <w:rFonts w:eastAsia="Times New Roman"/>
                <w:b/>
                <w:noProof/>
                <w:sz w:val="20"/>
                <w:szCs w:val="20"/>
              </w:rPr>
            </w:pPr>
          </w:p>
        </w:tc>
        <w:tc>
          <w:tcPr>
            <w:tcW w:w="2410" w:type="dxa"/>
          </w:tcPr>
          <w:p w14:paraId="02722E9A" w14:textId="77777777" w:rsidR="00C4624A" w:rsidRPr="002D52A1" w:rsidRDefault="00C4624A" w:rsidP="00461AA0">
            <w:pPr>
              <w:spacing w:before="20" w:after="20"/>
              <w:jc w:val="right"/>
              <w:rPr>
                <w:rFonts w:eastAsia="Times New Roman"/>
                <w:b/>
                <w:noProof/>
                <w:sz w:val="20"/>
                <w:szCs w:val="20"/>
              </w:rPr>
            </w:pPr>
          </w:p>
          <w:p w14:paraId="71727B65" w14:textId="77777777" w:rsidR="00C4624A" w:rsidRPr="002D52A1" w:rsidRDefault="00C4624A" w:rsidP="00461AA0">
            <w:pPr>
              <w:spacing w:before="20" w:after="20"/>
              <w:jc w:val="right"/>
              <w:rPr>
                <w:rFonts w:eastAsia="Times New Roman"/>
                <w:b/>
                <w:bCs/>
                <w:noProof/>
                <w:sz w:val="20"/>
                <w:szCs w:val="20"/>
              </w:rPr>
            </w:pPr>
            <w:r w:rsidRPr="002D52A1">
              <w:rPr>
                <w:b/>
                <w:noProof/>
                <w:sz w:val="20"/>
              </w:rPr>
              <w:t>540,3</w:t>
            </w:r>
          </w:p>
        </w:tc>
      </w:tr>
      <w:tr w:rsidR="00C4624A" w:rsidRPr="002D52A1" w14:paraId="22D1F6D4" w14:textId="77777777" w:rsidTr="00461AA0">
        <w:tc>
          <w:tcPr>
            <w:tcW w:w="3960" w:type="dxa"/>
            <w:vMerge/>
          </w:tcPr>
          <w:p w14:paraId="7D78AE9F" w14:textId="77777777" w:rsidR="00C4624A" w:rsidRPr="002D52A1" w:rsidRDefault="00C4624A" w:rsidP="00461AA0">
            <w:pPr>
              <w:rPr>
                <w:noProof/>
                <w:sz w:val="20"/>
              </w:rPr>
            </w:pPr>
          </w:p>
        </w:tc>
        <w:tc>
          <w:tcPr>
            <w:tcW w:w="1440" w:type="dxa"/>
            <w:gridSpan w:val="2"/>
            <w:vAlign w:val="center"/>
          </w:tcPr>
          <w:p w14:paraId="19D01189" w14:textId="77777777" w:rsidR="00C4624A" w:rsidRPr="002D52A1" w:rsidRDefault="00C4624A" w:rsidP="00461AA0">
            <w:pPr>
              <w:rPr>
                <w:noProof/>
                <w:sz w:val="18"/>
                <w:szCs w:val="18"/>
              </w:rPr>
            </w:pPr>
            <w:r w:rsidRPr="002D52A1">
              <w:rPr>
                <w:noProof/>
                <w:sz w:val="18"/>
              </w:rPr>
              <w:t>Platby</w:t>
            </w:r>
          </w:p>
        </w:tc>
        <w:tc>
          <w:tcPr>
            <w:tcW w:w="654" w:type="dxa"/>
            <w:vAlign w:val="center"/>
          </w:tcPr>
          <w:p w14:paraId="5E3D6D57" w14:textId="77777777" w:rsidR="00C4624A" w:rsidRPr="002D52A1" w:rsidRDefault="00C4624A" w:rsidP="00461AA0">
            <w:pPr>
              <w:jc w:val="center"/>
              <w:rPr>
                <w:rFonts w:eastAsia="Calibri"/>
                <w:noProof/>
                <w:szCs w:val="24"/>
              </w:rPr>
            </w:pPr>
            <w:r w:rsidRPr="002D52A1">
              <w:rPr>
                <w:noProof/>
                <w:sz w:val="14"/>
              </w:rPr>
              <w:t>Spolu (d)</w:t>
            </w:r>
          </w:p>
        </w:tc>
        <w:tc>
          <w:tcPr>
            <w:tcW w:w="868" w:type="dxa"/>
          </w:tcPr>
          <w:p w14:paraId="759881C3" w14:textId="77777777" w:rsidR="00C4624A" w:rsidRPr="002D52A1" w:rsidRDefault="00C4624A" w:rsidP="00461AA0">
            <w:pPr>
              <w:spacing w:before="20" w:after="20"/>
              <w:jc w:val="right"/>
              <w:rPr>
                <w:rFonts w:eastAsia="Times New Roman"/>
                <w:b/>
                <w:noProof/>
                <w:sz w:val="20"/>
                <w:szCs w:val="20"/>
              </w:rPr>
            </w:pPr>
          </w:p>
        </w:tc>
        <w:tc>
          <w:tcPr>
            <w:tcW w:w="868" w:type="dxa"/>
            <w:vAlign w:val="center"/>
          </w:tcPr>
          <w:p w14:paraId="76B709E7" w14:textId="77777777" w:rsidR="00C4624A" w:rsidRPr="002D52A1" w:rsidRDefault="00C4624A" w:rsidP="00461AA0">
            <w:pPr>
              <w:spacing w:before="20" w:after="20"/>
              <w:jc w:val="right"/>
              <w:rPr>
                <w:rFonts w:eastAsia="Times New Roman"/>
                <w:b/>
                <w:bCs/>
                <w:noProof/>
                <w:sz w:val="20"/>
                <w:szCs w:val="20"/>
              </w:rPr>
            </w:pPr>
            <w:r w:rsidRPr="002D52A1">
              <w:rPr>
                <w:b/>
                <w:noProof/>
                <w:sz w:val="20"/>
              </w:rPr>
              <w:t>0,15</w:t>
            </w:r>
          </w:p>
        </w:tc>
        <w:tc>
          <w:tcPr>
            <w:tcW w:w="868" w:type="dxa"/>
            <w:vAlign w:val="center"/>
          </w:tcPr>
          <w:p w14:paraId="6703CAB1" w14:textId="77777777" w:rsidR="00C4624A" w:rsidRPr="002D52A1" w:rsidRDefault="00C4624A" w:rsidP="00461AA0">
            <w:pPr>
              <w:spacing w:before="20" w:after="20"/>
              <w:jc w:val="right"/>
              <w:rPr>
                <w:rFonts w:eastAsia="Times New Roman"/>
                <w:b/>
                <w:noProof/>
                <w:sz w:val="20"/>
                <w:szCs w:val="20"/>
              </w:rPr>
            </w:pPr>
          </w:p>
        </w:tc>
        <w:tc>
          <w:tcPr>
            <w:tcW w:w="930" w:type="dxa"/>
            <w:vAlign w:val="center"/>
          </w:tcPr>
          <w:p w14:paraId="1783D82C" w14:textId="77777777" w:rsidR="00C4624A" w:rsidRPr="002D52A1" w:rsidRDefault="00C4624A" w:rsidP="00461AA0">
            <w:pPr>
              <w:spacing w:before="20" w:after="20"/>
              <w:jc w:val="right"/>
              <w:rPr>
                <w:rFonts w:eastAsia="Times New Roman"/>
                <w:b/>
                <w:noProof/>
                <w:sz w:val="20"/>
                <w:szCs w:val="20"/>
              </w:rPr>
            </w:pPr>
            <w:r w:rsidRPr="002D52A1">
              <w:rPr>
                <w:b/>
                <w:noProof/>
                <w:sz w:val="20"/>
              </w:rPr>
              <w:t xml:space="preserve"> 81,2</w:t>
            </w:r>
          </w:p>
        </w:tc>
        <w:tc>
          <w:tcPr>
            <w:tcW w:w="996" w:type="dxa"/>
            <w:vAlign w:val="center"/>
          </w:tcPr>
          <w:p w14:paraId="3808CABB" w14:textId="77777777" w:rsidR="00C4624A" w:rsidRPr="002D52A1" w:rsidRDefault="00C4624A" w:rsidP="00461AA0">
            <w:pPr>
              <w:spacing w:before="20" w:after="20"/>
              <w:jc w:val="right"/>
              <w:rPr>
                <w:rFonts w:eastAsia="Times New Roman"/>
                <w:b/>
                <w:noProof/>
                <w:sz w:val="20"/>
                <w:szCs w:val="20"/>
              </w:rPr>
            </w:pPr>
            <w:r w:rsidRPr="002D52A1">
              <w:rPr>
                <w:b/>
                <w:noProof/>
                <w:sz w:val="20"/>
              </w:rPr>
              <w:t xml:space="preserve"> 100,15</w:t>
            </w:r>
          </w:p>
        </w:tc>
        <w:tc>
          <w:tcPr>
            <w:tcW w:w="992" w:type="dxa"/>
            <w:vAlign w:val="center"/>
          </w:tcPr>
          <w:p w14:paraId="44562AFF" w14:textId="77777777" w:rsidR="00C4624A" w:rsidRPr="002D52A1" w:rsidRDefault="00C4624A" w:rsidP="00461AA0">
            <w:pPr>
              <w:spacing w:before="20" w:after="20"/>
              <w:jc w:val="right"/>
              <w:rPr>
                <w:rFonts w:eastAsia="Times New Roman"/>
                <w:b/>
                <w:noProof/>
                <w:sz w:val="20"/>
                <w:szCs w:val="20"/>
              </w:rPr>
            </w:pPr>
            <w:r w:rsidRPr="002D52A1">
              <w:rPr>
                <w:b/>
                <w:noProof/>
                <w:sz w:val="20"/>
              </w:rPr>
              <w:t xml:space="preserve"> 300,0</w:t>
            </w:r>
          </w:p>
        </w:tc>
        <w:tc>
          <w:tcPr>
            <w:tcW w:w="992" w:type="dxa"/>
            <w:vAlign w:val="center"/>
          </w:tcPr>
          <w:p w14:paraId="38BC41EB" w14:textId="77777777" w:rsidR="00C4624A" w:rsidRPr="002D52A1" w:rsidRDefault="00C4624A" w:rsidP="00461AA0">
            <w:pPr>
              <w:spacing w:before="20" w:after="20"/>
              <w:jc w:val="right"/>
              <w:rPr>
                <w:rFonts w:eastAsia="Times New Roman"/>
                <w:b/>
                <w:noProof/>
                <w:sz w:val="20"/>
                <w:szCs w:val="20"/>
              </w:rPr>
            </w:pPr>
            <w:r w:rsidRPr="002D52A1">
              <w:rPr>
                <w:b/>
                <w:noProof/>
                <w:sz w:val="20"/>
              </w:rPr>
              <w:t>58,8</w:t>
            </w:r>
          </w:p>
        </w:tc>
        <w:tc>
          <w:tcPr>
            <w:tcW w:w="2410" w:type="dxa"/>
            <w:vAlign w:val="center"/>
          </w:tcPr>
          <w:p w14:paraId="2939A093" w14:textId="77777777" w:rsidR="00C4624A" w:rsidRPr="002D52A1" w:rsidRDefault="00C4624A" w:rsidP="00461AA0">
            <w:pPr>
              <w:spacing w:before="20" w:after="20"/>
              <w:jc w:val="right"/>
              <w:rPr>
                <w:rFonts w:eastAsia="Times New Roman"/>
                <w:b/>
                <w:bCs/>
                <w:noProof/>
                <w:sz w:val="20"/>
                <w:szCs w:val="20"/>
              </w:rPr>
            </w:pPr>
            <w:r w:rsidRPr="002D52A1">
              <w:rPr>
                <w:b/>
                <w:noProof/>
                <w:sz w:val="20"/>
              </w:rPr>
              <w:t>540,3</w:t>
            </w:r>
          </w:p>
        </w:tc>
      </w:tr>
    </w:tbl>
    <w:p w14:paraId="6BF6EB2B" w14:textId="77777777" w:rsidR="00C4624A" w:rsidRPr="002D52A1" w:rsidRDefault="00C4624A" w:rsidP="00AD77F1">
      <w:pPr>
        <w:spacing w:before="0" w:after="0"/>
        <w:rPr>
          <w:noProof/>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55"/>
        <w:gridCol w:w="822"/>
        <w:gridCol w:w="851"/>
        <w:gridCol w:w="992"/>
        <w:gridCol w:w="992"/>
        <w:gridCol w:w="993"/>
        <w:gridCol w:w="992"/>
        <w:gridCol w:w="2410"/>
      </w:tblGrid>
      <w:tr w:rsidR="00C4624A" w:rsidRPr="002D52A1" w14:paraId="437212A2" w14:textId="77777777" w:rsidTr="00461AA0">
        <w:tc>
          <w:tcPr>
            <w:tcW w:w="3960" w:type="dxa"/>
            <w:vMerge w:val="restart"/>
            <w:shd w:val="clear" w:color="auto" w:fill="auto"/>
            <w:vAlign w:val="center"/>
          </w:tcPr>
          <w:p w14:paraId="7AA8CDC0" w14:textId="77777777" w:rsidR="00C4624A" w:rsidRPr="002D52A1" w:rsidRDefault="00C4624A" w:rsidP="00461AA0">
            <w:pPr>
              <w:jc w:val="center"/>
              <w:rPr>
                <w:b/>
                <w:bCs/>
                <w:noProof/>
              </w:rPr>
            </w:pPr>
            <w:r w:rsidRPr="002D52A1">
              <w:rPr>
                <w:b/>
                <w:noProof/>
                <w:sz w:val="22"/>
              </w:rPr>
              <w:t>Rozpočtové prostriedky OKRUHU 6</w:t>
            </w:r>
            <w:r w:rsidRPr="002D52A1">
              <w:rPr>
                <w:noProof/>
                <w:sz w:val="22"/>
              </w:rPr>
              <w:t xml:space="preserve"> viacročného finančného rámca </w:t>
            </w:r>
            <w:r w:rsidRPr="002D52A1">
              <w:rPr>
                <w:b/>
                <w:noProof/>
                <w:sz w:val="22"/>
              </w:rPr>
              <w:t>SPOLU</w:t>
            </w:r>
          </w:p>
        </w:tc>
        <w:tc>
          <w:tcPr>
            <w:tcW w:w="1440" w:type="dxa"/>
            <w:vAlign w:val="center"/>
          </w:tcPr>
          <w:p w14:paraId="38EA25C7" w14:textId="77777777" w:rsidR="00C4624A" w:rsidRPr="002D52A1" w:rsidRDefault="00C4624A" w:rsidP="00461AA0">
            <w:pPr>
              <w:rPr>
                <w:noProof/>
                <w:sz w:val="18"/>
                <w:szCs w:val="18"/>
              </w:rPr>
            </w:pPr>
            <w:r w:rsidRPr="002D52A1">
              <w:rPr>
                <w:noProof/>
                <w:sz w:val="18"/>
              </w:rPr>
              <w:t>Záväzky</w:t>
            </w:r>
          </w:p>
        </w:tc>
        <w:tc>
          <w:tcPr>
            <w:tcW w:w="654" w:type="dxa"/>
            <w:vAlign w:val="center"/>
          </w:tcPr>
          <w:p w14:paraId="09B813D8" w14:textId="3EC36C0F" w:rsidR="00C4624A" w:rsidRPr="002D52A1" w:rsidRDefault="00C4624A" w:rsidP="00461AA0">
            <w:pPr>
              <w:jc w:val="center"/>
              <w:rPr>
                <w:rFonts w:eastAsia="Calibri"/>
                <w:noProof/>
                <w:szCs w:val="24"/>
              </w:rPr>
            </w:pPr>
            <w:r w:rsidRPr="002D52A1">
              <w:rPr>
                <w:noProof/>
                <w:sz w:val="14"/>
              </w:rPr>
              <w:t>=</w:t>
            </w:r>
            <w:r w:rsidR="002D52A1">
              <w:rPr>
                <w:noProof/>
                <w:sz w:val="14"/>
              </w:rPr>
              <w:t xml:space="preserve"> a </w:t>
            </w:r>
            <w:r w:rsidRPr="002D52A1">
              <w:rPr>
                <w:noProof/>
                <w:sz w:val="14"/>
              </w:rPr>
              <w:t>+ c</w:t>
            </w:r>
          </w:p>
        </w:tc>
        <w:tc>
          <w:tcPr>
            <w:tcW w:w="855" w:type="dxa"/>
          </w:tcPr>
          <w:p w14:paraId="75DE030F" w14:textId="77777777" w:rsidR="00C4624A" w:rsidRPr="002D52A1" w:rsidRDefault="00C4624A" w:rsidP="00461AA0">
            <w:pPr>
              <w:spacing w:before="0" w:after="160" w:line="259" w:lineRule="auto"/>
              <w:jc w:val="right"/>
              <w:rPr>
                <w:b/>
                <w:noProof/>
                <w:sz w:val="20"/>
                <w:szCs w:val="20"/>
              </w:rPr>
            </w:pPr>
            <w:r w:rsidRPr="002D52A1">
              <w:rPr>
                <w:b/>
                <w:noProof/>
                <w:sz w:val="20"/>
              </w:rPr>
              <w:t>27,3</w:t>
            </w:r>
          </w:p>
        </w:tc>
        <w:tc>
          <w:tcPr>
            <w:tcW w:w="822" w:type="dxa"/>
            <w:vAlign w:val="center"/>
          </w:tcPr>
          <w:p w14:paraId="61283C20" w14:textId="77777777" w:rsidR="00C4624A" w:rsidRPr="002D52A1" w:rsidRDefault="00C4624A" w:rsidP="00461AA0">
            <w:pPr>
              <w:spacing w:before="0" w:after="160" w:line="259" w:lineRule="auto"/>
              <w:jc w:val="right"/>
              <w:rPr>
                <w:b/>
                <w:bCs/>
                <w:noProof/>
                <w:sz w:val="20"/>
                <w:szCs w:val="20"/>
              </w:rPr>
            </w:pPr>
            <w:r w:rsidRPr="002D52A1">
              <w:rPr>
                <w:b/>
                <w:noProof/>
                <w:sz w:val="20"/>
              </w:rPr>
              <w:t>125,2</w:t>
            </w:r>
          </w:p>
        </w:tc>
        <w:tc>
          <w:tcPr>
            <w:tcW w:w="851" w:type="dxa"/>
            <w:vAlign w:val="center"/>
          </w:tcPr>
          <w:p w14:paraId="5F978432" w14:textId="77777777" w:rsidR="00C4624A" w:rsidRPr="002D52A1" w:rsidRDefault="00C4624A" w:rsidP="00461AA0">
            <w:pPr>
              <w:spacing w:before="0" w:after="160" w:line="259" w:lineRule="auto"/>
              <w:jc w:val="right"/>
              <w:rPr>
                <w:b/>
                <w:bCs/>
                <w:noProof/>
                <w:sz w:val="20"/>
                <w:szCs w:val="20"/>
              </w:rPr>
            </w:pPr>
            <w:r w:rsidRPr="002D52A1">
              <w:rPr>
                <w:b/>
                <w:noProof/>
                <w:sz w:val="20"/>
              </w:rPr>
              <w:t>332,6</w:t>
            </w:r>
          </w:p>
          <w:p w14:paraId="52B75392" w14:textId="77777777" w:rsidR="00C4624A" w:rsidRPr="002D52A1" w:rsidRDefault="00C4624A" w:rsidP="00461AA0">
            <w:pPr>
              <w:spacing w:before="0" w:after="160" w:line="259" w:lineRule="auto"/>
              <w:jc w:val="right"/>
              <w:rPr>
                <w:b/>
                <w:noProof/>
                <w:sz w:val="20"/>
                <w:szCs w:val="20"/>
              </w:rPr>
            </w:pPr>
          </w:p>
        </w:tc>
        <w:tc>
          <w:tcPr>
            <w:tcW w:w="992" w:type="dxa"/>
            <w:vAlign w:val="center"/>
          </w:tcPr>
          <w:p w14:paraId="5E0DE6F9" w14:textId="77777777" w:rsidR="00C4624A" w:rsidRPr="002D52A1" w:rsidRDefault="00C4624A" w:rsidP="00461AA0">
            <w:pPr>
              <w:spacing w:before="0" w:after="160" w:line="259" w:lineRule="auto"/>
              <w:jc w:val="right"/>
              <w:rPr>
                <w:b/>
                <w:bCs/>
                <w:noProof/>
                <w:sz w:val="20"/>
                <w:szCs w:val="20"/>
              </w:rPr>
            </w:pPr>
            <w:r w:rsidRPr="002D52A1">
              <w:rPr>
                <w:b/>
                <w:noProof/>
                <w:sz w:val="20"/>
              </w:rPr>
              <w:t>202,5</w:t>
            </w:r>
          </w:p>
          <w:p w14:paraId="5662BD9D" w14:textId="77777777" w:rsidR="00C4624A" w:rsidRPr="002D52A1" w:rsidRDefault="00C4624A" w:rsidP="00461AA0">
            <w:pPr>
              <w:spacing w:before="0" w:after="160" w:line="259" w:lineRule="auto"/>
              <w:jc w:val="right"/>
              <w:rPr>
                <w:b/>
                <w:noProof/>
                <w:sz w:val="20"/>
                <w:szCs w:val="20"/>
              </w:rPr>
            </w:pPr>
          </w:p>
        </w:tc>
        <w:tc>
          <w:tcPr>
            <w:tcW w:w="992" w:type="dxa"/>
            <w:vAlign w:val="center"/>
          </w:tcPr>
          <w:p w14:paraId="2511241A" w14:textId="77777777" w:rsidR="00C4624A" w:rsidRPr="002D52A1" w:rsidRDefault="00C4624A" w:rsidP="00461AA0">
            <w:pPr>
              <w:spacing w:before="0" w:after="160" w:line="259" w:lineRule="auto"/>
              <w:jc w:val="right"/>
              <w:rPr>
                <w:b/>
                <w:bCs/>
                <w:noProof/>
                <w:sz w:val="20"/>
                <w:szCs w:val="20"/>
              </w:rPr>
            </w:pPr>
            <w:r w:rsidRPr="002D52A1">
              <w:rPr>
                <w:b/>
                <w:noProof/>
                <w:sz w:val="20"/>
              </w:rPr>
              <w:t>683,6</w:t>
            </w:r>
          </w:p>
          <w:p w14:paraId="1DA2BAC9" w14:textId="77777777" w:rsidR="00C4624A" w:rsidRPr="002D52A1" w:rsidRDefault="00C4624A" w:rsidP="00461AA0">
            <w:pPr>
              <w:spacing w:before="0" w:after="160" w:line="259" w:lineRule="auto"/>
              <w:jc w:val="right"/>
              <w:rPr>
                <w:b/>
                <w:noProof/>
                <w:sz w:val="20"/>
                <w:szCs w:val="20"/>
              </w:rPr>
            </w:pPr>
          </w:p>
        </w:tc>
        <w:tc>
          <w:tcPr>
            <w:tcW w:w="993" w:type="dxa"/>
          </w:tcPr>
          <w:p w14:paraId="06E4737C" w14:textId="77777777" w:rsidR="00C4624A" w:rsidRPr="002D52A1" w:rsidRDefault="00C4624A" w:rsidP="00461AA0">
            <w:pPr>
              <w:spacing w:before="0" w:after="160" w:line="259" w:lineRule="auto"/>
              <w:jc w:val="right"/>
              <w:rPr>
                <w:b/>
                <w:noProof/>
                <w:sz w:val="20"/>
                <w:szCs w:val="20"/>
              </w:rPr>
            </w:pPr>
            <w:r w:rsidRPr="002D52A1">
              <w:rPr>
                <w:b/>
                <w:noProof/>
                <w:sz w:val="20"/>
              </w:rPr>
              <w:t>589,19</w:t>
            </w:r>
          </w:p>
        </w:tc>
        <w:tc>
          <w:tcPr>
            <w:tcW w:w="992" w:type="dxa"/>
          </w:tcPr>
          <w:p w14:paraId="052F13F3" w14:textId="77777777" w:rsidR="00C4624A" w:rsidRPr="002D52A1" w:rsidRDefault="00C4624A" w:rsidP="00461AA0">
            <w:pPr>
              <w:spacing w:before="0" w:after="160" w:line="259" w:lineRule="auto"/>
              <w:jc w:val="right"/>
              <w:rPr>
                <w:b/>
                <w:bCs/>
                <w:noProof/>
                <w:sz w:val="20"/>
                <w:szCs w:val="20"/>
              </w:rPr>
            </w:pPr>
            <w:r w:rsidRPr="002D52A1">
              <w:rPr>
                <w:b/>
                <w:noProof/>
                <w:sz w:val="20"/>
              </w:rPr>
              <w:t>540,06</w:t>
            </w:r>
          </w:p>
        </w:tc>
        <w:tc>
          <w:tcPr>
            <w:tcW w:w="2410" w:type="dxa"/>
            <w:vAlign w:val="center"/>
          </w:tcPr>
          <w:p w14:paraId="7A1CF1B8" w14:textId="77777777" w:rsidR="00C4624A" w:rsidRPr="002D52A1" w:rsidRDefault="00C4624A" w:rsidP="00461AA0">
            <w:pPr>
              <w:spacing w:before="0" w:after="160" w:line="259" w:lineRule="auto"/>
              <w:jc w:val="right"/>
              <w:rPr>
                <w:b/>
                <w:bCs/>
                <w:noProof/>
                <w:sz w:val="20"/>
                <w:szCs w:val="20"/>
              </w:rPr>
            </w:pPr>
            <w:r w:rsidRPr="002D52A1">
              <w:rPr>
                <w:b/>
                <w:noProof/>
                <w:sz w:val="20"/>
              </w:rPr>
              <w:t>2 500,5</w:t>
            </w:r>
          </w:p>
        </w:tc>
      </w:tr>
      <w:tr w:rsidR="00C4624A" w:rsidRPr="002D52A1" w14:paraId="3E360A5A" w14:textId="77777777" w:rsidTr="00461AA0">
        <w:tc>
          <w:tcPr>
            <w:tcW w:w="3960" w:type="dxa"/>
            <w:vMerge/>
          </w:tcPr>
          <w:p w14:paraId="0A41B52F" w14:textId="77777777" w:rsidR="00C4624A" w:rsidRPr="002D52A1" w:rsidRDefault="00C4624A" w:rsidP="00461AA0">
            <w:pPr>
              <w:rPr>
                <w:noProof/>
                <w:sz w:val="20"/>
              </w:rPr>
            </w:pPr>
          </w:p>
        </w:tc>
        <w:tc>
          <w:tcPr>
            <w:tcW w:w="1440" w:type="dxa"/>
            <w:vAlign w:val="center"/>
          </w:tcPr>
          <w:p w14:paraId="15D087DF" w14:textId="77777777" w:rsidR="00C4624A" w:rsidRPr="002D52A1" w:rsidRDefault="00C4624A" w:rsidP="00461AA0">
            <w:pPr>
              <w:rPr>
                <w:noProof/>
                <w:sz w:val="18"/>
                <w:szCs w:val="18"/>
              </w:rPr>
            </w:pPr>
            <w:r w:rsidRPr="002D52A1">
              <w:rPr>
                <w:noProof/>
                <w:sz w:val="18"/>
              </w:rPr>
              <w:t>Platby</w:t>
            </w:r>
          </w:p>
        </w:tc>
        <w:tc>
          <w:tcPr>
            <w:tcW w:w="654" w:type="dxa"/>
            <w:vAlign w:val="center"/>
          </w:tcPr>
          <w:p w14:paraId="7BF92789" w14:textId="77777777" w:rsidR="00C4624A" w:rsidRPr="002D52A1" w:rsidRDefault="00C4624A" w:rsidP="00461AA0">
            <w:pPr>
              <w:jc w:val="center"/>
              <w:rPr>
                <w:noProof/>
                <w:sz w:val="14"/>
                <w:szCs w:val="14"/>
              </w:rPr>
            </w:pPr>
            <w:r w:rsidRPr="002D52A1">
              <w:rPr>
                <w:noProof/>
                <w:sz w:val="14"/>
              </w:rPr>
              <w:t>= b + d</w:t>
            </w:r>
          </w:p>
        </w:tc>
        <w:tc>
          <w:tcPr>
            <w:tcW w:w="855" w:type="dxa"/>
          </w:tcPr>
          <w:p w14:paraId="206EB572" w14:textId="77777777" w:rsidR="00C4624A" w:rsidRPr="002D52A1" w:rsidRDefault="00C4624A" w:rsidP="00461AA0">
            <w:pPr>
              <w:spacing w:before="0" w:after="160" w:line="259" w:lineRule="auto"/>
              <w:jc w:val="right"/>
              <w:rPr>
                <w:b/>
                <w:noProof/>
                <w:sz w:val="20"/>
                <w:szCs w:val="20"/>
              </w:rPr>
            </w:pPr>
          </w:p>
        </w:tc>
        <w:tc>
          <w:tcPr>
            <w:tcW w:w="822" w:type="dxa"/>
            <w:vAlign w:val="center"/>
          </w:tcPr>
          <w:p w14:paraId="5233A7DC" w14:textId="77777777" w:rsidR="00C4624A" w:rsidRPr="002D52A1" w:rsidRDefault="00C4624A" w:rsidP="00461AA0">
            <w:pPr>
              <w:spacing w:before="0" w:after="160" w:line="259" w:lineRule="auto"/>
              <w:jc w:val="right"/>
              <w:rPr>
                <w:b/>
                <w:bCs/>
                <w:noProof/>
                <w:sz w:val="20"/>
                <w:szCs w:val="20"/>
              </w:rPr>
            </w:pPr>
            <w:r w:rsidRPr="002D52A1">
              <w:rPr>
                <w:b/>
                <w:noProof/>
                <w:sz w:val="20"/>
              </w:rPr>
              <w:t>0,15</w:t>
            </w:r>
          </w:p>
        </w:tc>
        <w:tc>
          <w:tcPr>
            <w:tcW w:w="851" w:type="dxa"/>
            <w:vAlign w:val="center"/>
          </w:tcPr>
          <w:p w14:paraId="22BB8DC6" w14:textId="77777777" w:rsidR="00C4624A" w:rsidRPr="002D52A1" w:rsidRDefault="00C4624A" w:rsidP="00461AA0">
            <w:pPr>
              <w:spacing w:before="0" w:after="160" w:line="259" w:lineRule="auto"/>
              <w:jc w:val="right"/>
              <w:rPr>
                <w:b/>
                <w:noProof/>
                <w:sz w:val="20"/>
                <w:szCs w:val="20"/>
              </w:rPr>
            </w:pPr>
            <w:r w:rsidRPr="002D52A1">
              <w:rPr>
                <w:b/>
                <w:noProof/>
                <w:sz w:val="20"/>
              </w:rPr>
              <w:t>170,0</w:t>
            </w:r>
          </w:p>
        </w:tc>
        <w:tc>
          <w:tcPr>
            <w:tcW w:w="992" w:type="dxa"/>
            <w:vAlign w:val="center"/>
          </w:tcPr>
          <w:p w14:paraId="103A9928" w14:textId="77777777" w:rsidR="00C4624A" w:rsidRPr="002D52A1" w:rsidRDefault="00C4624A" w:rsidP="00461AA0">
            <w:pPr>
              <w:spacing w:before="0" w:after="160" w:line="259" w:lineRule="auto"/>
              <w:jc w:val="right"/>
              <w:rPr>
                <w:b/>
                <w:noProof/>
                <w:sz w:val="20"/>
                <w:szCs w:val="20"/>
              </w:rPr>
            </w:pPr>
            <w:r w:rsidRPr="002D52A1">
              <w:rPr>
                <w:b/>
                <w:noProof/>
                <w:sz w:val="20"/>
              </w:rPr>
              <w:t>251,2</w:t>
            </w:r>
          </w:p>
        </w:tc>
        <w:tc>
          <w:tcPr>
            <w:tcW w:w="992" w:type="dxa"/>
            <w:vAlign w:val="center"/>
          </w:tcPr>
          <w:p w14:paraId="33125E29" w14:textId="77777777" w:rsidR="00C4624A" w:rsidRPr="002D52A1" w:rsidRDefault="00C4624A" w:rsidP="00461AA0">
            <w:pPr>
              <w:spacing w:before="0" w:after="160" w:line="259" w:lineRule="auto"/>
              <w:jc w:val="right"/>
              <w:rPr>
                <w:b/>
                <w:noProof/>
                <w:sz w:val="20"/>
                <w:szCs w:val="20"/>
              </w:rPr>
            </w:pPr>
            <w:r w:rsidRPr="002D52A1">
              <w:rPr>
                <w:b/>
                <w:noProof/>
                <w:sz w:val="20"/>
              </w:rPr>
              <w:t>640,22</w:t>
            </w:r>
          </w:p>
        </w:tc>
        <w:tc>
          <w:tcPr>
            <w:tcW w:w="993" w:type="dxa"/>
            <w:vAlign w:val="center"/>
          </w:tcPr>
          <w:p w14:paraId="62B3216F" w14:textId="77777777" w:rsidR="00C4624A" w:rsidRPr="002D52A1" w:rsidRDefault="00C4624A" w:rsidP="00461AA0">
            <w:pPr>
              <w:spacing w:before="0" w:after="160" w:line="259" w:lineRule="auto"/>
              <w:jc w:val="right"/>
              <w:rPr>
                <w:b/>
                <w:noProof/>
                <w:sz w:val="20"/>
                <w:szCs w:val="20"/>
              </w:rPr>
            </w:pPr>
            <w:r w:rsidRPr="002D52A1">
              <w:rPr>
                <w:b/>
                <w:noProof/>
                <w:sz w:val="20"/>
              </w:rPr>
              <w:t>840,06</w:t>
            </w:r>
          </w:p>
        </w:tc>
        <w:tc>
          <w:tcPr>
            <w:tcW w:w="992" w:type="dxa"/>
            <w:vAlign w:val="center"/>
          </w:tcPr>
          <w:p w14:paraId="0D1697AA" w14:textId="77777777" w:rsidR="00C4624A" w:rsidRPr="002D52A1" w:rsidRDefault="00C4624A" w:rsidP="00461AA0">
            <w:pPr>
              <w:spacing w:before="0" w:after="160" w:line="259" w:lineRule="auto"/>
              <w:jc w:val="right"/>
              <w:rPr>
                <w:b/>
                <w:bCs/>
                <w:noProof/>
                <w:sz w:val="20"/>
                <w:szCs w:val="20"/>
              </w:rPr>
            </w:pPr>
            <w:r w:rsidRPr="002D52A1">
              <w:rPr>
                <w:b/>
                <w:noProof/>
                <w:sz w:val="20"/>
              </w:rPr>
              <w:t>598,87</w:t>
            </w:r>
          </w:p>
        </w:tc>
        <w:tc>
          <w:tcPr>
            <w:tcW w:w="2410" w:type="dxa"/>
            <w:vAlign w:val="center"/>
          </w:tcPr>
          <w:p w14:paraId="36C4FD4B" w14:textId="77777777" w:rsidR="00C4624A" w:rsidRPr="002D52A1" w:rsidRDefault="00C4624A" w:rsidP="00461AA0">
            <w:pPr>
              <w:spacing w:before="0" w:after="160" w:line="259" w:lineRule="auto"/>
              <w:jc w:val="right"/>
              <w:rPr>
                <w:b/>
                <w:bCs/>
                <w:noProof/>
                <w:sz w:val="20"/>
                <w:szCs w:val="20"/>
              </w:rPr>
            </w:pPr>
            <w:r w:rsidRPr="002D52A1">
              <w:rPr>
                <w:b/>
                <w:noProof/>
                <w:sz w:val="20"/>
              </w:rPr>
              <w:t>2 500,5</w:t>
            </w:r>
          </w:p>
        </w:tc>
      </w:tr>
    </w:tbl>
    <w:p w14:paraId="3A37EBF2" w14:textId="77777777" w:rsidR="00C4624A" w:rsidRPr="002D52A1" w:rsidRDefault="00C4624A" w:rsidP="00C4624A">
      <w:pPr>
        <w:rPr>
          <w:noProof/>
        </w:rPr>
      </w:pPr>
    </w:p>
    <w:p w14:paraId="0E63872C" w14:textId="77777777" w:rsidR="00C4624A" w:rsidRPr="002D52A1" w:rsidRDefault="00C4624A" w:rsidP="00C4624A">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4624A" w:rsidRPr="002D52A1" w14:paraId="10B3BF8F" w14:textId="77777777" w:rsidTr="00461AA0">
        <w:trPr>
          <w:jc w:val="center"/>
        </w:trPr>
        <w:tc>
          <w:tcPr>
            <w:tcW w:w="4744" w:type="dxa"/>
            <w:shd w:val="clear" w:color="auto" w:fill="auto"/>
            <w:vAlign w:val="center"/>
          </w:tcPr>
          <w:p w14:paraId="1B4557D0" w14:textId="77777777" w:rsidR="00C4624A" w:rsidRPr="002D52A1" w:rsidRDefault="00C4624A" w:rsidP="00461AA0">
            <w:pPr>
              <w:spacing w:before="60" w:after="60"/>
              <w:jc w:val="center"/>
              <w:rPr>
                <w:b/>
                <w:bCs/>
                <w:noProof/>
              </w:rPr>
            </w:pPr>
            <w:r w:rsidRPr="002D52A1">
              <w:rPr>
                <w:noProof/>
              </w:rPr>
              <w:br w:type="page"/>
            </w:r>
            <w:r w:rsidRPr="002D52A1">
              <w:rPr>
                <w:b/>
                <w:noProof/>
                <w:sz w:val="22"/>
              </w:rPr>
              <w:t xml:space="preserve">Okruh viacročného finančného rámca </w:t>
            </w:r>
          </w:p>
        </w:tc>
        <w:tc>
          <w:tcPr>
            <w:tcW w:w="1080" w:type="dxa"/>
            <w:shd w:val="clear" w:color="auto" w:fill="auto"/>
            <w:vAlign w:val="center"/>
          </w:tcPr>
          <w:p w14:paraId="4E467C36" w14:textId="77777777" w:rsidR="00C4624A" w:rsidRPr="002D52A1" w:rsidRDefault="00C4624A" w:rsidP="00461AA0">
            <w:pPr>
              <w:spacing w:before="60" w:after="60"/>
              <w:jc w:val="center"/>
              <w:rPr>
                <w:noProof/>
              </w:rPr>
            </w:pPr>
            <w:r w:rsidRPr="002D52A1">
              <w:rPr>
                <w:b/>
                <w:noProof/>
                <w:sz w:val="22"/>
              </w:rPr>
              <w:t>7</w:t>
            </w:r>
          </w:p>
        </w:tc>
        <w:tc>
          <w:tcPr>
            <w:tcW w:w="7817" w:type="dxa"/>
            <w:vAlign w:val="center"/>
          </w:tcPr>
          <w:p w14:paraId="0117FF8F" w14:textId="77777777" w:rsidR="00C4624A" w:rsidRPr="002D52A1" w:rsidRDefault="00C4624A" w:rsidP="00461AA0">
            <w:pPr>
              <w:spacing w:before="60" w:after="60"/>
              <w:rPr>
                <w:noProof/>
              </w:rPr>
            </w:pPr>
            <w:r w:rsidRPr="002D52A1">
              <w:rPr>
                <w:noProof/>
                <w:sz w:val="22"/>
              </w:rPr>
              <w:t>„Administratívne výdavky“</w:t>
            </w:r>
          </w:p>
        </w:tc>
      </w:tr>
    </w:tbl>
    <w:p w14:paraId="5AC883AD" w14:textId="7864FB06" w:rsidR="00C4624A" w:rsidRPr="002D52A1" w:rsidRDefault="00C4624A" w:rsidP="00C4624A">
      <w:pPr>
        <w:jc w:val="left"/>
        <w:rPr>
          <w:noProof/>
          <w:sz w:val="20"/>
          <w:szCs w:val="20"/>
        </w:rPr>
      </w:pPr>
      <w:r w:rsidRPr="002D52A1">
        <w:rPr>
          <w:noProof/>
        </w:rPr>
        <w:t>Tento oddiel treba vyplniť</w:t>
      </w:r>
      <w:r w:rsidR="002D52A1">
        <w:rPr>
          <w:noProof/>
        </w:rPr>
        <w:t xml:space="preserve"> s </w:t>
      </w:r>
      <w:r w:rsidRPr="002D52A1">
        <w:rPr>
          <w:noProof/>
        </w:rPr>
        <w:t>použitím rozpočtových údajov administratívnej povahy, ktoré sa najprv uvedú</w:t>
      </w:r>
      <w:r w:rsidR="002D52A1">
        <w:rPr>
          <w:noProof/>
        </w:rPr>
        <w:t xml:space="preserve"> v </w:t>
      </w:r>
      <w:r w:rsidRPr="002D52A1">
        <w:rPr>
          <w:noProof/>
        </w:rPr>
        <w:t>prílohe</w:t>
      </w:r>
      <w:r w:rsidR="002D52A1">
        <w:rPr>
          <w:noProof/>
        </w:rPr>
        <w:t xml:space="preserve"> k </w:t>
      </w:r>
      <w:r w:rsidRPr="002D52A1">
        <w:rPr>
          <w:noProof/>
        </w:rPr>
        <w:t>legislatívnemu finančnému výkazu (príloha</w:t>
      </w:r>
      <w:r w:rsidR="002D52A1">
        <w:rPr>
          <w:noProof/>
        </w:rPr>
        <w:t xml:space="preserve"> V k </w:t>
      </w:r>
      <w:r w:rsidRPr="002D52A1">
        <w:rPr>
          <w:noProof/>
        </w:rPr>
        <w:t>interným pravidlám), ktorá sa na účely medziútvarovej konzultácie nahrá do aplikácie DECIDE.</w:t>
      </w:r>
    </w:p>
    <w:p w14:paraId="59706810" w14:textId="77777777" w:rsidR="00C4624A" w:rsidRPr="002D52A1" w:rsidRDefault="00C4624A" w:rsidP="00C4624A">
      <w:pPr>
        <w:jc w:val="right"/>
        <w:rPr>
          <w:noProof/>
          <w:sz w:val="20"/>
          <w:szCs w:val="20"/>
        </w:rPr>
      </w:pPr>
      <w:r w:rsidRPr="002D52A1">
        <w:rPr>
          <w:noProof/>
          <w:sz w:val="20"/>
        </w:rPr>
        <w:t>v mil. EUR (zaokrúhlené na 3 desatinné miesta)</w:t>
      </w:r>
    </w:p>
    <w:tbl>
      <w:tblPr>
        <w:tblW w:w="142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1009"/>
        <w:gridCol w:w="805"/>
        <w:gridCol w:w="622"/>
        <w:gridCol w:w="1009"/>
        <w:gridCol w:w="1009"/>
        <w:gridCol w:w="1009"/>
        <w:gridCol w:w="1009"/>
        <w:gridCol w:w="1009"/>
        <w:gridCol w:w="1009"/>
        <w:gridCol w:w="15"/>
        <w:gridCol w:w="1153"/>
      </w:tblGrid>
      <w:tr w:rsidR="00C4624A" w:rsidRPr="002D52A1" w14:paraId="123586E9" w14:textId="77777777" w:rsidTr="00461AA0">
        <w:trPr>
          <w:trHeight w:val="673"/>
        </w:trPr>
        <w:tc>
          <w:tcPr>
            <w:tcW w:w="4605" w:type="dxa"/>
            <w:tcBorders>
              <w:top w:val="nil"/>
              <w:left w:val="nil"/>
              <w:right w:val="nil"/>
            </w:tcBorders>
            <w:vAlign w:val="center"/>
          </w:tcPr>
          <w:p w14:paraId="485518A9" w14:textId="77777777" w:rsidR="00C4624A" w:rsidRPr="002D52A1" w:rsidRDefault="00C4624A" w:rsidP="00461AA0">
            <w:pPr>
              <w:jc w:val="center"/>
              <w:rPr>
                <w:noProof/>
              </w:rPr>
            </w:pPr>
          </w:p>
        </w:tc>
        <w:tc>
          <w:tcPr>
            <w:tcW w:w="1814" w:type="dxa"/>
            <w:gridSpan w:val="2"/>
            <w:tcBorders>
              <w:top w:val="nil"/>
              <w:left w:val="nil"/>
              <w:right w:val="nil"/>
            </w:tcBorders>
          </w:tcPr>
          <w:p w14:paraId="039FE5FD" w14:textId="77777777" w:rsidR="00C4624A" w:rsidRPr="002D52A1" w:rsidRDefault="00C4624A" w:rsidP="00461AA0">
            <w:pPr>
              <w:rPr>
                <w:noProof/>
                <w:sz w:val="20"/>
                <w:szCs w:val="20"/>
              </w:rPr>
            </w:pPr>
          </w:p>
        </w:tc>
        <w:tc>
          <w:tcPr>
            <w:tcW w:w="621" w:type="dxa"/>
            <w:tcBorders>
              <w:top w:val="nil"/>
              <w:left w:val="nil"/>
            </w:tcBorders>
          </w:tcPr>
          <w:p w14:paraId="2846BF2D" w14:textId="77777777" w:rsidR="00C4624A" w:rsidRPr="002D52A1" w:rsidRDefault="00C4624A" w:rsidP="00461AA0">
            <w:pPr>
              <w:jc w:val="center"/>
              <w:rPr>
                <w:noProof/>
                <w:sz w:val="20"/>
                <w:szCs w:val="20"/>
              </w:rPr>
            </w:pPr>
          </w:p>
        </w:tc>
        <w:tc>
          <w:tcPr>
            <w:tcW w:w="1009" w:type="dxa"/>
            <w:vAlign w:val="center"/>
          </w:tcPr>
          <w:p w14:paraId="3D20F7E4" w14:textId="77777777" w:rsidR="00C4624A" w:rsidRPr="002D52A1" w:rsidRDefault="00C4624A" w:rsidP="00461AA0">
            <w:pPr>
              <w:jc w:val="center"/>
              <w:rPr>
                <w:noProof/>
                <w:sz w:val="20"/>
                <w:szCs w:val="20"/>
              </w:rPr>
            </w:pPr>
            <w:r w:rsidRPr="002D52A1">
              <w:rPr>
                <w:noProof/>
                <w:sz w:val="20"/>
              </w:rPr>
              <w:t>Rok</w:t>
            </w:r>
          </w:p>
          <w:p w14:paraId="34D2B7CD" w14:textId="77777777" w:rsidR="00C4624A" w:rsidRPr="002D52A1" w:rsidRDefault="00C4624A" w:rsidP="00461AA0">
            <w:pPr>
              <w:jc w:val="center"/>
              <w:rPr>
                <w:noProof/>
                <w:sz w:val="20"/>
                <w:szCs w:val="20"/>
              </w:rPr>
            </w:pPr>
            <w:r w:rsidRPr="002D52A1">
              <w:rPr>
                <w:b/>
                <w:noProof/>
                <w:sz w:val="20"/>
              </w:rPr>
              <w:t>2022</w:t>
            </w:r>
          </w:p>
        </w:tc>
        <w:tc>
          <w:tcPr>
            <w:tcW w:w="1009" w:type="dxa"/>
          </w:tcPr>
          <w:p w14:paraId="12E20260" w14:textId="77777777" w:rsidR="00C4624A" w:rsidRPr="002D52A1" w:rsidRDefault="00C4624A" w:rsidP="00461AA0">
            <w:pPr>
              <w:jc w:val="center"/>
              <w:rPr>
                <w:noProof/>
                <w:sz w:val="20"/>
                <w:szCs w:val="20"/>
              </w:rPr>
            </w:pPr>
            <w:r w:rsidRPr="002D52A1">
              <w:rPr>
                <w:noProof/>
                <w:sz w:val="20"/>
              </w:rPr>
              <w:t>Rok</w:t>
            </w:r>
          </w:p>
          <w:p w14:paraId="0381DA9F" w14:textId="77777777" w:rsidR="00C4624A" w:rsidRPr="002D52A1" w:rsidRDefault="00C4624A" w:rsidP="00461AA0">
            <w:pPr>
              <w:jc w:val="center"/>
              <w:rPr>
                <w:noProof/>
                <w:sz w:val="20"/>
                <w:szCs w:val="20"/>
              </w:rPr>
            </w:pPr>
            <w:r w:rsidRPr="002D52A1">
              <w:rPr>
                <w:b/>
                <w:noProof/>
                <w:sz w:val="20"/>
              </w:rPr>
              <w:t>2023</w:t>
            </w:r>
          </w:p>
        </w:tc>
        <w:tc>
          <w:tcPr>
            <w:tcW w:w="1009" w:type="dxa"/>
          </w:tcPr>
          <w:p w14:paraId="27ACACA7" w14:textId="77777777" w:rsidR="00C4624A" w:rsidRPr="002D52A1" w:rsidRDefault="00C4624A" w:rsidP="00461AA0">
            <w:pPr>
              <w:jc w:val="center"/>
              <w:rPr>
                <w:noProof/>
                <w:sz w:val="20"/>
                <w:szCs w:val="20"/>
              </w:rPr>
            </w:pPr>
            <w:r w:rsidRPr="002D52A1">
              <w:rPr>
                <w:noProof/>
                <w:sz w:val="20"/>
              </w:rPr>
              <w:t>Rok</w:t>
            </w:r>
          </w:p>
          <w:p w14:paraId="26684090" w14:textId="77777777" w:rsidR="00C4624A" w:rsidRPr="002D52A1" w:rsidRDefault="00C4624A" w:rsidP="00461AA0">
            <w:pPr>
              <w:jc w:val="center"/>
              <w:rPr>
                <w:noProof/>
                <w:sz w:val="20"/>
                <w:szCs w:val="20"/>
              </w:rPr>
            </w:pPr>
            <w:r w:rsidRPr="002D52A1">
              <w:rPr>
                <w:b/>
                <w:noProof/>
                <w:sz w:val="20"/>
              </w:rPr>
              <w:t>2024</w:t>
            </w:r>
          </w:p>
        </w:tc>
        <w:tc>
          <w:tcPr>
            <w:tcW w:w="1009" w:type="dxa"/>
          </w:tcPr>
          <w:p w14:paraId="08818924" w14:textId="77777777" w:rsidR="00C4624A" w:rsidRPr="002D52A1" w:rsidRDefault="00C4624A" w:rsidP="00461AA0">
            <w:pPr>
              <w:jc w:val="center"/>
              <w:rPr>
                <w:noProof/>
                <w:sz w:val="20"/>
                <w:szCs w:val="20"/>
              </w:rPr>
            </w:pPr>
            <w:r w:rsidRPr="002D52A1">
              <w:rPr>
                <w:noProof/>
                <w:sz w:val="20"/>
              </w:rPr>
              <w:t>Rok</w:t>
            </w:r>
          </w:p>
          <w:p w14:paraId="6C76DFB9" w14:textId="77777777" w:rsidR="00C4624A" w:rsidRPr="002D52A1" w:rsidRDefault="00C4624A" w:rsidP="00461AA0">
            <w:pPr>
              <w:jc w:val="center"/>
              <w:rPr>
                <w:noProof/>
                <w:sz w:val="20"/>
                <w:szCs w:val="20"/>
              </w:rPr>
            </w:pPr>
            <w:r w:rsidRPr="002D52A1">
              <w:rPr>
                <w:b/>
                <w:noProof/>
                <w:sz w:val="20"/>
              </w:rPr>
              <w:t>2025</w:t>
            </w:r>
          </w:p>
        </w:tc>
        <w:tc>
          <w:tcPr>
            <w:tcW w:w="1009" w:type="dxa"/>
          </w:tcPr>
          <w:p w14:paraId="2771BE82" w14:textId="77777777" w:rsidR="00C4624A" w:rsidRPr="002D52A1" w:rsidRDefault="00C4624A" w:rsidP="00461AA0">
            <w:pPr>
              <w:jc w:val="center"/>
              <w:rPr>
                <w:noProof/>
                <w:sz w:val="20"/>
                <w:szCs w:val="20"/>
              </w:rPr>
            </w:pPr>
            <w:r w:rsidRPr="002D52A1">
              <w:rPr>
                <w:noProof/>
                <w:sz w:val="20"/>
              </w:rPr>
              <w:t>Rok</w:t>
            </w:r>
          </w:p>
          <w:p w14:paraId="51A65645" w14:textId="77777777" w:rsidR="00C4624A" w:rsidRPr="002D52A1" w:rsidRDefault="00C4624A" w:rsidP="00461AA0">
            <w:pPr>
              <w:jc w:val="center"/>
              <w:rPr>
                <w:noProof/>
                <w:sz w:val="20"/>
                <w:szCs w:val="20"/>
              </w:rPr>
            </w:pPr>
            <w:r w:rsidRPr="002D52A1">
              <w:rPr>
                <w:b/>
                <w:noProof/>
                <w:sz w:val="20"/>
              </w:rPr>
              <w:t>2026</w:t>
            </w:r>
          </w:p>
        </w:tc>
        <w:tc>
          <w:tcPr>
            <w:tcW w:w="1024" w:type="dxa"/>
            <w:gridSpan w:val="2"/>
          </w:tcPr>
          <w:p w14:paraId="7548751F" w14:textId="77777777" w:rsidR="00C4624A" w:rsidRPr="002D52A1" w:rsidRDefault="00C4624A" w:rsidP="00461AA0">
            <w:pPr>
              <w:jc w:val="center"/>
              <w:rPr>
                <w:noProof/>
                <w:sz w:val="20"/>
                <w:szCs w:val="20"/>
              </w:rPr>
            </w:pPr>
            <w:r w:rsidRPr="002D52A1">
              <w:rPr>
                <w:noProof/>
                <w:sz w:val="20"/>
              </w:rPr>
              <w:t>Rok</w:t>
            </w:r>
          </w:p>
          <w:p w14:paraId="77C22137" w14:textId="77777777" w:rsidR="00C4624A" w:rsidRPr="002D52A1" w:rsidRDefault="00C4624A" w:rsidP="00461AA0">
            <w:pPr>
              <w:jc w:val="center"/>
              <w:rPr>
                <w:b/>
                <w:bCs/>
                <w:noProof/>
                <w:sz w:val="18"/>
                <w:szCs w:val="18"/>
              </w:rPr>
            </w:pPr>
            <w:r w:rsidRPr="002D52A1">
              <w:rPr>
                <w:b/>
                <w:noProof/>
                <w:sz w:val="20"/>
              </w:rPr>
              <w:t>2027</w:t>
            </w:r>
          </w:p>
        </w:tc>
        <w:tc>
          <w:tcPr>
            <w:tcW w:w="1153" w:type="dxa"/>
            <w:vAlign w:val="center"/>
          </w:tcPr>
          <w:p w14:paraId="6D813E07" w14:textId="77777777" w:rsidR="00C4624A" w:rsidRPr="002D52A1" w:rsidRDefault="00C4624A" w:rsidP="00461AA0">
            <w:pPr>
              <w:jc w:val="center"/>
              <w:rPr>
                <w:b/>
                <w:bCs/>
                <w:noProof/>
                <w:sz w:val="20"/>
                <w:szCs w:val="20"/>
              </w:rPr>
            </w:pPr>
            <w:r w:rsidRPr="002D52A1">
              <w:rPr>
                <w:b/>
                <w:noProof/>
                <w:sz w:val="20"/>
              </w:rPr>
              <w:t>SPOLU</w:t>
            </w:r>
          </w:p>
        </w:tc>
      </w:tr>
      <w:tr w:rsidR="00C4624A" w:rsidRPr="002D52A1" w14:paraId="58783B2F" w14:textId="77777777" w:rsidTr="00461AA0">
        <w:trPr>
          <w:gridAfter w:val="10"/>
          <w:wAfter w:w="8649" w:type="dxa"/>
          <w:trHeight w:val="376"/>
        </w:trPr>
        <w:tc>
          <w:tcPr>
            <w:tcW w:w="4605" w:type="dxa"/>
            <w:tcBorders>
              <w:right w:val="nil"/>
            </w:tcBorders>
            <w:vAlign w:val="center"/>
          </w:tcPr>
          <w:p w14:paraId="2A854F92" w14:textId="77777777" w:rsidR="00C4624A" w:rsidRPr="002D52A1" w:rsidRDefault="00C4624A" w:rsidP="00461AA0">
            <w:pPr>
              <w:spacing w:before="60" w:after="60"/>
              <w:jc w:val="center"/>
              <w:rPr>
                <w:noProof/>
              </w:rPr>
            </w:pPr>
            <w:r w:rsidRPr="002D52A1">
              <w:rPr>
                <w:noProof/>
                <w:sz w:val="22"/>
              </w:rPr>
              <w:t>GR: ECFIN</w:t>
            </w:r>
          </w:p>
        </w:tc>
        <w:tc>
          <w:tcPr>
            <w:tcW w:w="1009" w:type="dxa"/>
            <w:tcBorders>
              <w:top w:val="nil"/>
              <w:left w:val="nil"/>
              <w:bottom w:val="nil"/>
              <w:right w:val="nil"/>
            </w:tcBorders>
          </w:tcPr>
          <w:p w14:paraId="574A4CFC" w14:textId="77777777" w:rsidR="00C4624A" w:rsidRPr="002D52A1" w:rsidRDefault="00C4624A" w:rsidP="00461AA0">
            <w:pPr>
              <w:spacing w:before="60" w:after="60"/>
              <w:jc w:val="center"/>
              <w:rPr>
                <w:noProof/>
                <w:sz w:val="22"/>
              </w:rPr>
            </w:pPr>
          </w:p>
        </w:tc>
      </w:tr>
      <w:tr w:rsidR="00C4624A" w:rsidRPr="002D52A1" w14:paraId="20E057B9" w14:textId="77777777" w:rsidTr="00461AA0">
        <w:trPr>
          <w:trHeight w:val="310"/>
        </w:trPr>
        <w:tc>
          <w:tcPr>
            <w:tcW w:w="7041" w:type="dxa"/>
            <w:gridSpan w:val="4"/>
            <w:vAlign w:val="center"/>
          </w:tcPr>
          <w:p w14:paraId="17835989" w14:textId="77777777" w:rsidR="00C4624A" w:rsidRPr="002D52A1" w:rsidRDefault="00C4624A" w:rsidP="00461AA0">
            <w:pPr>
              <w:spacing w:before="20" w:after="20"/>
              <w:rPr>
                <w:noProof/>
              </w:rPr>
            </w:pPr>
            <w:r w:rsidRPr="002D52A1">
              <w:rPr>
                <w:noProof/>
                <w:sz w:val="22"/>
              </w:rPr>
              <w:t xml:space="preserve">□ Ľudské zdroje </w:t>
            </w:r>
          </w:p>
        </w:tc>
        <w:tc>
          <w:tcPr>
            <w:tcW w:w="1009" w:type="dxa"/>
            <w:vAlign w:val="center"/>
          </w:tcPr>
          <w:p w14:paraId="250E9FFB" w14:textId="77777777" w:rsidR="00C4624A" w:rsidRPr="002D52A1" w:rsidRDefault="00C4624A" w:rsidP="00461AA0">
            <w:pPr>
              <w:spacing w:before="20" w:after="20"/>
              <w:jc w:val="right"/>
              <w:rPr>
                <w:noProof/>
                <w:sz w:val="20"/>
                <w:szCs w:val="20"/>
              </w:rPr>
            </w:pPr>
            <w:r w:rsidRPr="002D52A1">
              <w:rPr>
                <w:noProof/>
                <w:sz w:val="16"/>
              </w:rPr>
              <w:t>0,848</w:t>
            </w:r>
          </w:p>
        </w:tc>
        <w:tc>
          <w:tcPr>
            <w:tcW w:w="1009" w:type="dxa"/>
            <w:vAlign w:val="center"/>
          </w:tcPr>
          <w:p w14:paraId="3D1C3767" w14:textId="77777777" w:rsidR="00C4624A" w:rsidRPr="002D52A1" w:rsidRDefault="00C4624A" w:rsidP="00461AA0">
            <w:pPr>
              <w:spacing w:before="20" w:after="20"/>
              <w:jc w:val="right"/>
              <w:rPr>
                <w:noProof/>
                <w:sz w:val="20"/>
                <w:szCs w:val="20"/>
              </w:rPr>
            </w:pPr>
            <w:r w:rsidRPr="002D52A1">
              <w:rPr>
                <w:noProof/>
                <w:sz w:val="16"/>
              </w:rPr>
              <w:t>0,424</w:t>
            </w:r>
          </w:p>
        </w:tc>
        <w:tc>
          <w:tcPr>
            <w:tcW w:w="1009" w:type="dxa"/>
            <w:vAlign w:val="center"/>
          </w:tcPr>
          <w:p w14:paraId="7E862E60" w14:textId="77777777" w:rsidR="00C4624A" w:rsidRPr="002D52A1" w:rsidRDefault="00C4624A" w:rsidP="00461AA0">
            <w:pPr>
              <w:spacing w:before="20" w:after="20"/>
              <w:jc w:val="right"/>
              <w:rPr>
                <w:noProof/>
                <w:sz w:val="20"/>
                <w:szCs w:val="20"/>
              </w:rPr>
            </w:pPr>
            <w:r w:rsidRPr="002D52A1">
              <w:rPr>
                <w:noProof/>
                <w:sz w:val="16"/>
              </w:rPr>
              <w:t>0,424</w:t>
            </w:r>
          </w:p>
        </w:tc>
        <w:tc>
          <w:tcPr>
            <w:tcW w:w="1009" w:type="dxa"/>
            <w:vAlign w:val="center"/>
          </w:tcPr>
          <w:p w14:paraId="7CAE0F68"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3C9216C5"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4B80657F" w14:textId="77777777" w:rsidR="00C4624A" w:rsidRPr="002D52A1" w:rsidRDefault="00C4624A" w:rsidP="00461AA0">
            <w:pPr>
              <w:spacing w:before="20" w:after="20"/>
              <w:jc w:val="right"/>
              <w:rPr>
                <w:noProof/>
                <w:sz w:val="20"/>
                <w:szCs w:val="20"/>
              </w:rPr>
            </w:pPr>
            <w:r w:rsidRPr="002D52A1">
              <w:rPr>
                <w:noProof/>
                <w:sz w:val="16"/>
              </w:rPr>
              <w:t>0,072</w:t>
            </w:r>
          </w:p>
        </w:tc>
        <w:tc>
          <w:tcPr>
            <w:tcW w:w="1168" w:type="dxa"/>
            <w:gridSpan w:val="2"/>
            <w:vAlign w:val="center"/>
          </w:tcPr>
          <w:p w14:paraId="17C2A27D" w14:textId="77777777" w:rsidR="00C4624A" w:rsidRPr="002D52A1" w:rsidRDefault="00C4624A" w:rsidP="00461AA0">
            <w:pPr>
              <w:spacing w:before="20" w:after="20"/>
              <w:jc w:val="right"/>
              <w:rPr>
                <w:noProof/>
                <w:sz w:val="20"/>
                <w:szCs w:val="20"/>
              </w:rPr>
            </w:pPr>
            <w:r w:rsidRPr="002D52A1">
              <w:rPr>
                <w:b/>
                <w:noProof/>
                <w:sz w:val="16"/>
              </w:rPr>
              <w:t>1,912</w:t>
            </w:r>
          </w:p>
        </w:tc>
      </w:tr>
      <w:tr w:rsidR="00C4624A" w:rsidRPr="002D52A1" w14:paraId="008AB105" w14:textId="77777777" w:rsidTr="00461AA0">
        <w:trPr>
          <w:trHeight w:val="347"/>
        </w:trPr>
        <w:tc>
          <w:tcPr>
            <w:tcW w:w="7041" w:type="dxa"/>
            <w:gridSpan w:val="4"/>
            <w:vAlign w:val="center"/>
          </w:tcPr>
          <w:p w14:paraId="59922487" w14:textId="77777777" w:rsidR="00C4624A" w:rsidRPr="002D52A1" w:rsidRDefault="00C4624A" w:rsidP="00461AA0">
            <w:pPr>
              <w:spacing w:before="20" w:after="20"/>
              <w:rPr>
                <w:noProof/>
              </w:rPr>
            </w:pPr>
            <w:r w:rsidRPr="002D52A1">
              <w:rPr>
                <w:noProof/>
                <w:sz w:val="22"/>
              </w:rPr>
              <w:t xml:space="preserve">□ Ostatné administratívne výdavky </w:t>
            </w:r>
          </w:p>
        </w:tc>
        <w:tc>
          <w:tcPr>
            <w:tcW w:w="1009" w:type="dxa"/>
            <w:vAlign w:val="center"/>
          </w:tcPr>
          <w:p w14:paraId="56904474" w14:textId="77777777" w:rsidR="00C4624A" w:rsidRPr="002D52A1" w:rsidRDefault="00C4624A" w:rsidP="00461AA0">
            <w:pPr>
              <w:spacing w:before="20" w:after="20"/>
              <w:jc w:val="right"/>
              <w:rPr>
                <w:b/>
                <w:bCs/>
                <w:noProof/>
                <w:sz w:val="20"/>
                <w:szCs w:val="20"/>
              </w:rPr>
            </w:pPr>
            <w:r w:rsidRPr="002D52A1">
              <w:rPr>
                <w:noProof/>
                <w:sz w:val="16"/>
              </w:rPr>
              <w:t>–</w:t>
            </w:r>
          </w:p>
        </w:tc>
        <w:tc>
          <w:tcPr>
            <w:tcW w:w="1009" w:type="dxa"/>
            <w:vAlign w:val="center"/>
          </w:tcPr>
          <w:p w14:paraId="779F082E" w14:textId="77777777" w:rsidR="00C4624A" w:rsidRPr="002D52A1" w:rsidRDefault="00C4624A" w:rsidP="00461AA0">
            <w:pPr>
              <w:spacing w:before="20" w:after="20"/>
              <w:jc w:val="right"/>
              <w:rPr>
                <w:b/>
                <w:bCs/>
                <w:noProof/>
                <w:sz w:val="20"/>
                <w:szCs w:val="20"/>
              </w:rPr>
            </w:pPr>
            <w:r w:rsidRPr="002D52A1">
              <w:rPr>
                <w:noProof/>
                <w:sz w:val="16"/>
              </w:rPr>
              <w:t>0,06</w:t>
            </w:r>
          </w:p>
        </w:tc>
        <w:tc>
          <w:tcPr>
            <w:tcW w:w="1009" w:type="dxa"/>
            <w:vAlign w:val="center"/>
          </w:tcPr>
          <w:p w14:paraId="2B09B816" w14:textId="77777777" w:rsidR="00C4624A" w:rsidRPr="002D52A1" w:rsidRDefault="00C4624A" w:rsidP="00461AA0">
            <w:pPr>
              <w:spacing w:before="20" w:after="20"/>
              <w:jc w:val="right"/>
              <w:rPr>
                <w:b/>
                <w:bCs/>
                <w:noProof/>
                <w:sz w:val="20"/>
                <w:szCs w:val="20"/>
              </w:rPr>
            </w:pPr>
            <w:r w:rsidRPr="002D52A1">
              <w:rPr>
                <w:noProof/>
                <w:sz w:val="16"/>
              </w:rPr>
              <w:t>–</w:t>
            </w:r>
          </w:p>
        </w:tc>
        <w:tc>
          <w:tcPr>
            <w:tcW w:w="1009" w:type="dxa"/>
            <w:vAlign w:val="center"/>
          </w:tcPr>
          <w:p w14:paraId="2EE7E2B5" w14:textId="77777777" w:rsidR="00C4624A" w:rsidRPr="002D52A1" w:rsidRDefault="00C4624A" w:rsidP="00461AA0">
            <w:pPr>
              <w:spacing w:before="20" w:after="20"/>
              <w:jc w:val="right"/>
              <w:rPr>
                <w:b/>
                <w:bCs/>
                <w:noProof/>
                <w:sz w:val="20"/>
                <w:szCs w:val="20"/>
              </w:rPr>
            </w:pPr>
            <w:r w:rsidRPr="002D52A1">
              <w:rPr>
                <w:noProof/>
                <w:sz w:val="16"/>
              </w:rPr>
              <w:t>–</w:t>
            </w:r>
          </w:p>
        </w:tc>
        <w:tc>
          <w:tcPr>
            <w:tcW w:w="1009" w:type="dxa"/>
            <w:vAlign w:val="center"/>
          </w:tcPr>
          <w:p w14:paraId="10F114DF" w14:textId="77777777" w:rsidR="00C4624A" w:rsidRPr="002D52A1" w:rsidRDefault="00C4624A" w:rsidP="00461AA0">
            <w:pPr>
              <w:spacing w:before="20" w:after="20"/>
              <w:jc w:val="right"/>
              <w:rPr>
                <w:b/>
                <w:bCs/>
                <w:noProof/>
                <w:sz w:val="20"/>
                <w:szCs w:val="20"/>
              </w:rPr>
            </w:pPr>
            <w:r w:rsidRPr="002D52A1">
              <w:rPr>
                <w:noProof/>
                <w:sz w:val="16"/>
              </w:rPr>
              <w:t>–</w:t>
            </w:r>
          </w:p>
        </w:tc>
        <w:tc>
          <w:tcPr>
            <w:tcW w:w="1009" w:type="dxa"/>
            <w:vAlign w:val="center"/>
          </w:tcPr>
          <w:p w14:paraId="0BBA5DB2" w14:textId="77777777" w:rsidR="00C4624A" w:rsidRPr="002D52A1" w:rsidRDefault="00C4624A" w:rsidP="00461AA0">
            <w:pPr>
              <w:spacing w:before="20" w:after="20"/>
              <w:jc w:val="right"/>
              <w:rPr>
                <w:b/>
                <w:bCs/>
                <w:noProof/>
                <w:sz w:val="20"/>
                <w:szCs w:val="20"/>
              </w:rPr>
            </w:pPr>
            <w:r w:rsidRPr="002D52A1">
              <w:rPr>
                <w:noProof/>
                <w:sz w:val="16"/>
              </w:rPr>
              <w:t>–</w:t>
            </w:r>
          </w:p>
        </w:tc>
        <w:tc>
          <w:tcPr>
            <w:tcW w:w="1168" w:type="dxa"/>
            <w:gridSpan w:val="2"/>
            <w:vAlign w:val="center"/>
          </w:tcPr>
          <w:p w14:paraId="07A92F5D" w14:textId="77777777" w:rsidR="00C4624A" w:rsidRPr="002D52A1" w:rsidRDefault="00C4624A" w:rsidP="00461AA0">
            <w:pPr>
              <w:spacing w:before="20" w:after="20"/>
              <w:jc w:val="right"/>
              <w:rPr>
                <w:b/>
                <w:bCs/>
                <w:noProof/>
                <w:sz w:val="20"/>
                <w:szCs w:val="20"/>
              </w:rPr>
            </w:pPr>
            <w:r w:rsidRPr="002D52A1">
              <w:rPr>
                <w:noProof/>
                <w:sz w:val="16"/>
              </w:rPr>
              <w:t>0,06</w:t>
            </w:r>
          </w:p>
        </w:tc>
      </w:tr>
      <w:tr w:rsidR="00C4624A" w:rsidRPr="002D52A1" w14:paraId="01AB67DE" w14:textId="77777777" w:rsidTr="00461AA0">
        <w:trPr>
          <w:trHeight w:val="455"/>
        </w:trPr>
        <w:tc>
          <w:tcPr>
            <w:tcW w:w="4605" w:type="dxa"/>
            <w:vAlign w:val="center"/>
          </w:tcPr>
          <w:p w14:paraId="63B5C310" w14:textId="77777777" w:rsidR="00C4624A" w:rsidRPr="002D52A1" w:rsidRDefault="00C4624A" w:rsidP="00461AA0">
            <w:pPr>
              <w:jc w:val="center"/>
              <w:rPr>
                <w:b/>
                <w:bCs/>
                <w:noProof/>
              </w:rPr>
            </w:pPr>
            <w:r w:rsidRPr="002D52A1">
              <w:rPr>
                <w:b/>
                <w:noProof/>
                <w:sz w:val="22"/>
              </w:rPr>
              <w:t>GR ECFIN SPOLU</w:t>
            </w:r>
          </w:p>
        </w:tc>
        <w:tc>
          <w:tcPr>
            <w:tcW w:w="2435" w:type="dxa"/>
            <w:gridSpan w:val="3"/>
            <w:vAlign w:val="center"/>
          </w:tcPr>
          <w:p w14:paraId="4F092A22" w14:textId="77777777" w:rsidR="00C4624A" w:rsidRPr="002D52A1" w:rsidRDefault="00C4624A" w:rsidP="00461AA0">
            <w:pPr>
              <w:rPr>
                <w:noProof/>
                <w:sz w:val="14"/>
                <w:szCs w:val="14"/>
              </w:rPr>
            </w:pPr>
            <w:r w:rsidRPr="002D52A1">
              <w:rPr>
                <w:noProof/>
                <w:sz w:val="18"/>
              </w:rPr>
              <w:t xml:space="preserve">Rozpočtové prostriedky </w:t>
            </w:r>
          </w:p>
        </w:tc>
        <w:tc>
          <w:tcPr>
            <w:tcW w:w="1009" w:type="dxa"/>
            <w:vAlign w:val="center"/>
          </w:tcPr>
          <w:p w14:paraId="2DA2402E" w14:textId="77777777" w:rsidR="00C4624A" w:rsidRPr="002D52A1" w:rsidRDefault="00C4624A" w:rsidP="00461AA0">
            <w:pPr>
              <w:spacing w:before="60" w:after="60"/>
              <w:jc w:val="right"/>
              <w:rPr>
                <w:noProof/>
                <w:sz w:val="20"/>
                <w:szCs w:val="20"/>
              </w:rPr>
            </w:pPr>
            <w:r w:rsidRPr="002D52A1">
              <w:rPr>
                <w:noProof/>
                <w:sz w:val="16"/>
              </w:rPr>
              <w:t>0,848</w:t>
            </w:r>
          </w:p>
        </w:tc>
        <w:tc>
          <w:tcPr>
            <w:tcW w:w="1009" w:type="dxa"/>
            <w:vAlign w:val="center"/>
          </w:tcPr>
          <w:p w14:paraId="4484F8C8" w14:textId="77777777" w:rsidR="00C4624A" w:rsidRPr="002D52A1" w:rsidRDefault="00C4624A" w:rsidP="00461AA0">
            <w:pPr>
              <w:spacing w:before="20" w:after="20"/>
              <w:jc w:val="right"/>
              <w:rPr>
                <w:noProof/>
                <w:sz w:val="20"/>
                <w:szCs w:val="20"/>
              </w:rPr>
            </w:pPr>
            <w:r w:rsidRPr="002D52A1">
              <w:rPr>
                <w:noProof/>
                <w:sz w:val="16"/>
              </w:rPr>
              <w:t>0,484</w:t>
            </w:r>
          </w:p>
        </w:tc>
        <w:tc>
          <w:tcPr>
            <w:tcW w:w="1009" w:type="dxa"/>
            <w:vAlign w:val="center"/>
          </w:tcPr>
          <w:p w14:paraId="3C48E2DA" w14:textId="77777777" w:rsidR="00C4624A" w:rsidRPr="002D52A1" w:rsidRDefault="00C4624A" w:rsidP="00461AA0">
            <w:pPr>
              <w:spacing w:before="20" w:after="20"/>
              <w:jc w:val="right"/>
              <w:rPr>
                <w:noProof/>
                <w:sz w:val="20"/>
                <w:szCs w:val="20"/>
              </w:rPr>
            </w:pPr>
            <w:r w:rsidRPr="002D52A1">
              <w:rPr>
                <w:noProof/>
                <w:sz w:val="16"/>
              </w:rPr>
              <w:t>0,424</w:t>
            </w:r>
          </w:p>
        </w:tc>
        <w:tc>
          <w:tcPr>
            <w:tcW w:w="1009" w:type="dxa"/>
            <w:vAlign w:val="center"/>
          </w:tcPr>
          <w:p w14:paraId="5333A900"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7FE73CBD"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65121366" w14:textId="77777777" w:rsidR="00C4624A" w:rsidRPr="002D52A1" w:rsidRDefault="00C4624A" w:rsidP="00461AA0">
            <w:pPr>
              <w:spacing w:before="20" w:after="20"/>
              <w:jc w:val="right"/>
              <w:rPr>
                <w:noProof/>
                <w:sz w:val="20"/>
                <w:szCs w:val="20"/>
              </w:rPr>
            </w:pPr>
            <w:r w:rsidRPr="002D52A1">
              <w:rPr>
                <w:noProof/>
                <w:sz w:val="16"/>
              </w:rPr>
              <w:t>0,072</w:t>
            </w:r>
          </w:p>
        </w:tc>
        <w:tc>
          <w:tcPr>
            <w:tcW w:w="1168" w:type="dxa"/>
            <w:gridSpan w:val="2"/>
            <w:vAlign w:val="center"/>
          </w:tcPr>
          <w:p w14:paraId="017F09E6" w14:textId="77777777" w:rsidR="00C4624A" w:rsidRPr="002D52A1" w:rsidRDefault="00C4624A" w:rsidP="00461AA0">
            <w:pPr>
              <w:spacing w:before="20" w:after="20"/>
              <w:jc w:val="right"/>
              <w:rPr>
                <w:noProof/>
                <w:sz w:val="20"/>
                <w:szCs w:val="20"/>
              </w:rPr>
            </w:pPr>
            <w:r w:rsidRPr="002D52A1">
              <w:rPr>
                <w:b/>
                <w:noProof/>
                <w:sz w:val="16"/>
              </w:rPr>
              <w:t>1,972</w:t>
            </w:r>
          </w:p>
        </w:tc>
      </w:tr>
    </w:tbl>
    <w:p w14:paraId="27BC62AD" w14:textId="77777777" w:rsidR="00C4624A" w:rsidRPr="002D52A1" w:rsidRDefault="00C4624A" w:rsidP="00C4624A">
      <w:pPr>
        <w:rPr>
          <w:noProof/>
        </w:rPr>
      </w:pPr>
    </w:p>
    <w:tbl>
      <w:tblPr>
        <w:tblW w:w="144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2435"/>
        <w:gridCol w:w="1009"/>
        <w:gridCol w:w="1009"/>
        <w:gridCol w:w="1009"/>
        <w:gridCol w:w="1009"/>
        <w:gridCol w:w="1009"/>
        <w:gridCol w:w="1009"/>
        <w:gridCol w:w="1342"/>
      </w:tblGrid>
      <w:tr w:rsidR="00C4624A" w:rsidRPr="002D52A1" w14:paraId="38C88FE5" w14:textId="77777777" w:rsidTr="00461AA0">
        <w:trPr>
          <w:trHeight w:val="1038"/>
        </w:trPr>
        <w:tc>
          <w:tcPr>
            <w:tcW w:w="4605" w:type="dxa"/>
            <w:shd w:val="clear" w:color="auto" w:fill="auto"/>
            <w:vAlign w:val="center"/>
          </w:tcPr>
          <w:p w14:paraId="01226093" w14:textId="77777777" w:rsidR="00C4624A" w:rsidRPr="002D52A1" w:rsidRDefault="00C4624A" w:rsidP="00461AA0">
            <w:pPr>
              <w:jc w:val="center"/>
              <w:rPr>
                <w:b/>
                <w:bCs/>
                <w:noProof/>
                <w:sz w:val="22"/>
              </w:rPr>
            </w:pPr>
            <w:r w:rsidRPr="002D52A1">
              <w:rPr>
                <w:b/>
                <w:noProof/>
                <w:sz w:val="22"/>
              </w:rPr>
              <w:t>Rozpočtové prostriedky</w:t>
            </w:r>
          </w:p>
          <w:p w14:paraId="1EDFAACD" w14:textId="77777777" w:rsidR="00C4624A" w:rsidRPr="002D52A1" w:rsidRDefault="00C4624A" w:rsidP="00461AA0">
            <w:pPr>
              <w:jc w:val="center"/>
              <w:rPr>
                <w:b/>
                <w:bCs/>
                <w:noProof/>
                <w:sz w:val="22"/>
              </w:rPr>
            </w:pPr>
            <w:r w:rsidRPr="002D52A1">
              <w:rPr>
                <w:b/>
                <w:noProof/>
                <w:sz w:val="22"/>
              </w:rPr>
              <w:t>OKRUHU 7</w:t>
            </w:r>
          </w:p>
          <w:p w14:paraId="05A84FEF" w14:textId="77777777" w:rsidR="00C4624A" w:rsidRPr="002D52A1" w:rsidRDefault="00C4624A" w:rsidP="00461AA0">
            <w:pPr>
              <w:jc w:val="center"/>
              <w:rPr>
                <w:b/>
                <w:bCs/>
                <w:noProof/>
              </w:rPr>
            </w:pPr>
            <w:r w:rsidRPr="002D52A1">
              <w:rPr>
                <w:noProof/>
                <w:sz w:val="22"/>
              </w:rPr>
              <w:t xml:space="preserve">viacročného finančného rámca </w:t>
            </w:r>
            <w:r w:rsidRPr="002D52A1">
              <w:rPr>
                <w:b/>
                <w:noProof/>
                <w:sz w:val="22"/>
              </w:rPr>
              <w:t xml:space="preserve">SPOLU </w:t>
            </w:r>
          </w:p>
        </w:tc>
        <w:tc>
          <w:tcPr>
            <w:tcW w:w="2435" w:type="dxa"/>
            <w:vAlign w:val="center"/>
          </w:tcPr>
          <w:p w14:paraId="250F35CE" w14:textId="77777777" w:rsidR="00C4624A" w:rsidRPr="002D52A1" w:rsidRDefault="00C4624A" w:rsidP="00461AA0">
            <w:pPr>
              <w:spacing w:before="40" w:after="40"/>
              <w:rPr>
                <w:noProof/>
              </w:rPr>
            </w:pPr>
            <w:r w:rsidRPr="002D52A1">
              <w:rPr>
                <w:noProof/>
                <w:sz w:val="18"/>
              </w:rPr>
              <w:t>(Záväzky spolu = Platby spolu)</w:t>
            </w:r>
          </w:p>
        </w:tc>
        <w:tc>
          <w:tcPr>
            <w:tcW w:w="1009" w:type="dxa"/>
            <w:vAlign w:val="center"/>
          </w:tcPr>
          <w:p w14:paraId="538FD93B" w14:textId="77777777" w:rsidR="00C4624A" w:rsidRPr="002D52A1" w:rsidRDefault="00C4624A" w:rsidP="00461AA0">
            <w:pPr>
              <w:spacing w:before="20" w:after="20"/>
              <w:jc w:val="right"/>
              <w:rPr>
                <w:noProof/>
                <w:sz w:val="20"/>
                <w:szCs w:val="20"/>
              </w:rPr>
            </w:pPr>
            <w:r w:rsidRPr="002D52A1">
              <w:rPr>
                <w:noProof/>
                <w:sz w:val="16"/>
              </w:rPr>
              <w:t>0,848</w:t>
            </w:r>
          </w:p>
        </w:tc>
        <w:tc>
          <w:tcPr>
            <w:tcW w:w="1009" w:type="dxa"/>
            <w:vAlign w:val="center"/>
          </w:tcPr>
          <w:p w14:paraId="508D8B84" w14:textId="77777777" w:rsidR="00C4624A" w:rsidRPr="002D52A1" w:rsidRDefault="00C4624A" w:rsidP="00461AA0">
            <w:pPr>
              <w:spacing w:before="20" w:after="20"/>
              <w:jc w:val="right"/>
              <w:rPr>
                <w:noProof/>
                <w:sz w:val="20"/>
                <w:szCs w:val="20"/>
              </w:rPr>
            </w:pPr>
            <w:r w:rsidRPr="002D52A1">
              <w:rPr>
                <w:noProof/>
                <w:sz w:val="16"/>
              </w:rPr>
              <w:t>0,484</w:t>
            </w:r>
          </w:p>
        </w:tc>
        <w:tc>
          <w:tcPr>
            <w:tcW w:w="1009" w:type="dxa"/>
            <w:vAlign w:val="center"/>
          </w:tcPr>
          <w:p w14:paraId="612E340C" w14:textId="77777777" w:rsidR="00C4624A" w:rsidRPr="002D52A1" w:rsidRDefault="00C4624A" w:rsidP="00461AA0">
            <w:pPr>
              <w:spacing w:before="20" w:after="20"/>
              <w:jc w:val="right"/>
              <w:rPr>
                <w:noProof/>
                <w:sz w:val="20"/>
                <w:szCs w:val="20"/>
              </w:rPr>
            </w:pPr>
            <w:r w:rsidRPr="002D52A1">
              <w:rPr>
                <w:noProof/>
                <w:sz w:val="16"/>
              </w:rPr>
              <w:t>0,424</w:t>
            </w:r>
          </w:p>
        </w:tc>
        <w:tc>
          <w:tcPr>
            <w:tcW w:w="1009" w:type="dxa"/>
            <w:vAlign w:val="center"/>
          </w:tcPr>
          <w:p w14:paraId="448F9C2E"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54677929" w14:textId="77777777" w:rsidR="00C4624A" w:rsidRPr="002D52A1" w:rsidRDefault="00C4624A" w:rsidP="00461AA0">
            <w:pPr>
              <w:spacing w:before="20" w:after="20"/>
              <w:jc w:val="right"/>
              <w:rPr>
                <w:noProof/>
                <w:sz w:val="20"/>
                <w:szCs w:val="20"/>
              </w:rPr>
            </w:pPr>
            <w:r w:rsidRPr="002D52A1">
              <w:rPr>
                <w:noProof/>
                <w:sz w:val="16"/>
              </w:rPr>
              <w:t>0,072</w:t>
            </w:r>
          </w:p>
        </w:tc>
        <w:tc>
          <w:tcPr>
            <w:tcW w:w="1009" w:type="dxa"/>
            <w:vAlign w:val="center"/>
          </w:tcPr>
          <w:p w14:paraId="209FFBAE" w14:textId="77777777" w:rsidR="00C4624A" w:rsidRPr="002D52A1" w:rsidRDefault="00C4624A" w:rsidP="00461AA0">
            <w:pPr>
              <w:spacing w:before="20" w:after="20"/>
              <w:jc w:val="right"/>
              <w:rPr>
                <w:noProof/>
                <w:sz w:val="20"/>
                <w:szCs w:val="20"/>
              </w:rPr>
            </w:pPr>
            <w:r w:rsidRPr="002D52A1">
              <w:rPr>
                <w:noProof/>
                <w:sz w:val="16"/>
              </w:rPr>
              <w:t>0,072</w:t>
            </w:r>
          </w:p>
        </w:tc>
        <w:tc>
          <w:tcPr>
            <w:tcW w:w="1342" w:type="dxa"/>
            <w:vAlign w:val="center"/>
          </w:tcPr>
          <w:p w14:paraId="3486F743" w14:textId="77777777" w:rsidR="00C4624A" w:rsidRPr="002D52A1" w:rsidRDefault="00C4624A" w:rsidP="00461AA0">
            <w:pPr>
              <w:spacing w:before="20" w:after="20"/>
              <w:jc w:val="right"/>
              <w:rPr>
                <w:b/>
                <w:bCs/>
                <w:noProof/>
                <w:sz w:val="20"/>
                <w:szCs w:val="20"/>
              </w:rPr>
            </w:pPr>
            <w:r w:rsidRPr="002D52A1">
              <w:rPr>
                <w:b/>
                <w:noProof/>
                <w:sz w:val="16"/>
              </w:rPr>
              <w:t>1,972</w:t>
            </w:r>
          </w:p>
        </w:tc>
      </w:tr>
    </w:tbl>
    <w:p w14:paraId="014513C5" w14:textId="77777777" w:rsidR="00C4624A" w:rsidRPr="002D52A1" w:rsidRDefault="00C4624A" w:rsidP="00C4624A">
      <w:pPr>
        <w:jc w:val="right"/>
        <w:rPr>
          <w:noProof/>
          <w:sz w:val="20"/>
          <w:szCs w:val="20"/>
        </w:rPr>
      </w:pPr>
      <w:r w:rsidRPr="002D52A1">
        <w:rPr>
          <w:noProof/>
          <w:sz w:val="20"/>
        </w:rPr>
        <w:t>v mil. EUR (zaokrúhlené na 3 desatinné miesta)</w:t>
      </w:r>
    </w:p>
    <w:tbl>
      <w:tblPr>
        <w:tblW w:w="143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678"/>
        <w:gridCol w:w="345"/>
        <w:gridCol w:w="805"/>
        <w:gridCol w:w="935"/>
        <w:gridCol w:w="935"/>
        <w:gridCol w:w="935"/>
        <w:gridCol w:w="935"/>
        <w:gridCol w:w="935"/>
        <w:gridCol w:w="935"/>
        <w:gridCol w:w="135"/>
        <w:gridCol w:w="1532"/>
      </w:tblGrid>
      <w:tr w:rsidR="00C4624A" w:rsidRPr="002D52A1" w14:paraId="394ABFEE" w14:textId="77777777" w:rsidTr="00461AA0">
        <w:trPr>
          <w:trHeight w:val="844"/>
        </w:trPr>
        <w:tc>
          <w:tcPr>
            <w:tcW w:w="4265" w:type="dxa"/>
            <w:tcBorders>
              <w:top w:val="nil"/>
              <w:left w:val="nil"/>
              <w:right w:val="nil"/>
            </w:tcBorders>
            <w:vAlign w:val="center"/>
          </w:tcPr>
          <w:p w14:paraId="52141C4C" w14:textId="77777777" w:rsidR="00C4624A" w:rsidRPr="002D52A1" w:rsidRDefault="00C4624A" w:rsidP="00461AA0">
            <w:pPr>
              <w:jc w:val="center"/>
              <w:rPr>
                <w:noProof/>
              </w:rPr>
            </w:pPr>
          </w:p>
        </w:tc>
        <w:tc>
          <w:tcPr>
            <w:tcW w:w="1678" w:type="dxa"/>
            <w:tcBorders>
              <w:top w:val="nil"/>
              <w:left w:val="nil"/>
              <w:right w:val="nil"/>
            </w:tcBorders>
          </w:tcPr>
          <w:p w14:paraId="688E5E22" w14:textId="77777777" w:rsidR="00C4624A" w:rsidRPr="002D52A1" w:rsidRDefault="00C4624A" w:rsidP="00461AA0">
            <w:pPr>
              <w:rPr>
                <w:noProof/>
                <w:sz w:val="20"/>
                <w:szCs w:val="20"/>
              </w:rPr>
            </w:pPr>
          </w:p>
        </w:tc>
        <w:tc>
          <w:tcPr>
            <w:tcW w:w="345" w:type="dxa"/>
            <w:tcBorders>
              <w:top w:val="nil"/>
              <w:left w:val="nil"/>
            </w:tcBorders>
          </w:tcPr>
          <w:p w14:paraId="38BE3171" w14:textId="77777777" w:rsidR="00C4624A" w:rsidRPr="002D52A1" w:rsidRDefault="00C4624A" w:rsidP="00461AA0">
            <w:pPr>
              <w:jc w:val="center"/>
              <w:rPr>
                <w:noProof/>
                <w:sz w:val="20"/>
                <w:szCs w:val="20"/>
              </w:rPr>
            </w:pPr>
          </w:p>
        </w:tc>
        <w:tc>
          <w:tcPr>
            <w:tcW w:w="805" w:type="dxa"/>
            <w:tcBorders>
              <w:top w:val="nil"/>
              <w:left w:val="nil"/>
            </w:tcBorders>
          </w:tcPr>
          <w:p w14:paraId="737B95E3" w14:textId="77777777" w:rsidR="00C4624A" w:rsidRPr="002D52A1" w:rsidRDefault="00C4624A" w:rsidP="00461AA0">
            <w:pPr>
              <w:jc w:val="center"/>
              <w:rPr>
                <w:noProof/>
                <w:sz w:val="20"/>
                <w:szCs w:val="20"/>
              </w:rPr>
            </w:pPr>
            <w:r w:rsidRPr="002D52A1">
              <w:rPr>
                <w:noProof/>
                <w:sz w:val="20"/>
              </w:rPr>
              <w:t>Rok</w:t>
            </w:r>
          </w:p>
          <w:p w14:paraId="67321D7F" w14:textId="77777777" w:rsidR="00C4624A" w:rsidRPr="002D52A1" w:rsidRDefault="00C4624A" w:rsidP="00461AA0">
            <w:pPr>
              <w:jc w:val="center"/>
              <w:rPr>
                <w:noProof/>
                <w:sz w:val="20"/>
                <w:szCs w:val="20"/>
              </w:rPr>
            </w:pPr>
            <w:r w:rsidRPr="002D52A1">
              <w:rPr>
                <w:noProof/>
                <w:sz w:val="20"/>
              </w:rPr>
              <w:t>2021</w:t>
            </w:r>
          </w:p>
        </w:tc>
        <w:tc>
          <w:tcPr>
            <w:tcW w:w="935" w:type="dxa"/>
            <w:vAlign w:val="center"/>
          </w:tcPr>
          <w:p w14:paraId="08A2910B" w14:textId="77777777" w:rsidR="00C4624A" w:rsidRPr="002D52A1" w:rsidRDefault="00C4624A" w:rsidP="00461AA0">
            <w:pPr>
              <w:jc w:val="center"/>
              <w:rPr>
                <w:noProof/>
                <w:sz w:val="20"/>
                <w:szCs w:val="20"/>
              </w:rPr>
            </w:pPr>
            <w:r w:rsidRPr="002D52A1">
              <w:rPr>
                <w:noProof/>
                <w:sz w:val="20"/>
              </w:rPr>
              <w:t>Rok</w:t>
            </w:r>
          </w:p>
          <w:p w14:paraId="5FA308CB" w14:textId="77777777" w:rsidR="00C4624A" w:rsidRPr="002D52A1" w:rsidRDefault="00C4624A" w:rsidP="00461AA0">
            <w:pPr>
              <w:jc w:val="center"/>
              <w:rPr>
                <w:noProof/>
                <w:sz w:val="20"/>
                <w:szCs w:val="20"/>
              </w:rPr>
            </w:pPr>
            <w:r w:rsidRPr="002D52A1">
              <w:rPr>
                <w:noProof/>
                <w:sz w:val="20"/>
              </w:rPr>
              <w:t>2022</w:t>
            </w:r>
          </w:p>
        </w:tc>
        <w:tc>
          <w:tcPr>
            <w:tcW w:w="935" w:type="dxa"/>
          </w:tcPr>
          <w:p w14:paraId="0C953DA0" w14:textId="77777777" w:rsidR="00C4624A" w:rsidRPr="002D52A1" w:rsidRDefault="00C4624A" w:rsidP="00461AA0">
            <w:pPr>
              <w:jc w:val="center"/>
              <w:rPr>
                <w:noProof/>
                <w:sz w:val="20"/>
                <w:szCs w:val="20"/>
              </w:rPr>
            </w:pPr>
            <w:r w:rsidRPr="002D52A1">
              <w:rPr>
                <w:noProof/>
                <w:sz w:val="20"/>
              </w:rPr>
              <w:t>Rok</w:t>
            </w:r>
          </w:p>
          <w:p w14:paraId="5469C97D" w14:textId="77777777" w:rsidR="00C4624A" w:rsidRPr="002D52A1" w:rsidRDefault="00C4624A" w:rsidP="00461AA0">
            <w:pPr>
              <w:jc w:val="center"/>
              <w:rPr>
                <w:noProof/>
                <w:sz w:val="20"/>
                <w:szCs w:val="20"/>
              </w:rPr>
            </w:pPr>
            <w:r w:rsidRPr="002D52A1">
              <w:rPr>
                <w:noProof/>
                <w:sz w:val="20"/>
              </w:rPr>
              <w:t>2023</w:t>
            </w:r>
          </w:p>
        </w:tc>
        <w:tc>
          <w:tcPr>
            <w:tcW w:w="935" w:type="dxa"/>
          </w:tcPr>
          <w:p w14:paraId="79639A3F" w14:textId="77777777" w:rsidR="00C4624A" w:rsidRPr="002D52A1" w:rsidRDefault="00C4624A" w:rsidP="00461AA0">
            <w:pPr>
              <w:jc w:val="center"/>
              <w:rPr>
                <w:noProof/>
                <w:sz w:val="20"/>
                <w:szCs w:val="20"/>
              </w:rPr>
            </w:pPr>
            <w:r w:rsidRPr="002D52A1">
              <w:rPr>
                <w:noProof/>
                <w:sz w:val="20"/>
              </w:rPr>
              <w:t>Rok</w:t>
            </w:r>
          </w:p>
          <w:p w14:paraId="7D215AEB" w14:textId="77777777" w:rsidR="00C4624A" w:rsidRPr="002D52A1" w:rsidRDefault="00C4624A" w:rsidP="00461AA0">
            <w:pPr>
              <w:jc w:val="center"/>
              <w:rPr>
                <w:noProof/>
                <w:sz w:val="20"/>
                <w:szCs w:val="20"/>
              </w:rPr>
            </w:pPr>
            <w:r w:rsidRPr="002D52A1">
              <w:rPr>
                <w:noProof/>
                <w:sz w:val="20"/>
              </w:rPr>
              <w:t>2024</w:t>
            </w:r>
          </w:p>
        </w:tc>
        <w:tc>
          <w:tcPr>
            <w:tcW w:w="935" w:type="dxa"/>
          </w:tcPr>
          <w:p w14:paraId="03A9E947" w14:textId="77777777" w:rsidR="00C4624A" w:rsidRPr="002D52A1" w:rsidRDefault="00C4624A" w:rsidP="00461AA0">
            <w:pPr>
              <w:jc w:val="center"/>
              <w:rPr>
                <w:noProof/>
                <w:sz w:val="20"/>
                <w:szCs w:val="20"/>
              </w:rPr>
            </w:pPr>
            <w:r w:rsidRPr="002D52A1">
              <w:rPr>
                <w:noProof/>
                <w:sz w:val="20"/>
              </w:rPr>
              <w:t>Rok</w:t>
            </w:r>
          </w:p>
          <w:p w14:paraId="2866FEAB" w14:textId="77777777" w:rsidR="00C4624A" w:rsidRPr="002D52A1" w:rsidRDefault="00C4624A" w:rsidP="00461AA0">
            <w:pPr>
              <w:jc w:val="center"/>
              <w:rPr>
                <w:noProof/>
                <w:sz w:val="20"/>
                <w:szCs w:val="20"/>
              </w:rPr>
            </w:pPr>
            <w:r w:rsidRPr="002D52A1">
              <w:rPr>
                <w:noProof/>
                <w:sz w:val="20"/>
              </w:rPr>
              <w:t>2025</w:t>
            </w:r>
          </w:p>
        </w:tc>
        <w:tc>
          <w:tcPr>
            <w:tcW w:w="935" w:type="dxa"/>
          </w:tcPr>
          <w:p w14:paraId="1244B09A" w14:textId="77777777" w:rsidR="00C4624A" w:rsidRPr="002D52A1" w:rsidRDefault="00C4624A" w:rsidP="00461AA0">
            <w:pPr>
              <w:jc w:val="center"/>
              <w:rPr>
                <w:noProof/>
                <w:sz w:val="20"/>
                <w:szCs w:val="20"/>
              </w:rPr>
            </w:pPr>
            <w:r w:rsidRPr="002D52A1">
              <w:rPr>
                <w:noProof/>
                <w:sz w:val="20"/>
              </w:rPr>
              <w:t>Rok</w:t>
            </w:r>
          </w:p>
          <w:p w14:paraId="7037CC8C" w14:textId="77777777" w:rsidR="00C4624A" w:rsidRPr="002D52A1" w:rsidRDefault="00C4624A" w:rsidP="00461AA0">
            <w:pPr>
              <w:jc w:val="center"/>
              <w:rPr>
                <w:noProof/>
                <w:sz w:val="20"/>
                <w:szCs w:val="20"/>
              </w:rPr>
            </w:pPr>
            <w:r w:rsidRPr="002D52A1">
              <w:rPr>
                <w:noProof/>
                <w:sz w:val="20"/>
              </w:rPr>
              <w:t>2026</w:t>
            </w:r>
          </w:p>
        </w:tc>
        <w:tc>
          <w:tcPr>
            <w:tcW w:w="1070" w:type="dxa"/>
            <w:gridSpan w:val="2"/>
          </w:tcPr>
          <w:p w14:paraId="27AF1770" w14:textId="77777777" w:rsidR="00C4624A" w:rsidRPr="002D52A1" w:rsidRDefault="00C4624A" w:rsidP="00461AA0">
            <w:pPr>
              <w:jc w:val="center"/>
              <w:rPr>
                <w:noProof/>
                <w:sz w:val="20"/>
                <w:szCs w:val="20"/>
              </w:rPr>
            </w:pPr>
            <w:r w:rsidRPr="002D52A1">
              <w:rPr>
                <w:noProof/>
                <w:sz w:val="20"/>
              </w:rPr>
              <w:t>Rok</w:t>
            </w:r>
          </w:p>
          <w:p w14:paraId="0322F1D7" w14:textId="77777777" w:rsidR="00C4624A" w:rsidRPr="002D52A1" w:rsidRDefault="00C4624A" w:rsidP="00461AA0">
            <w:pPr>
              <w:jc w:val="center"/>
              <w:rPr>
                <w:b/>
                <w:bCs/>
                <w:noProof/>
                <w:sz w:val="18"/>
                <w:szCs w:val="18"/>
              </w:rPr>
            </w:pPr>
            <w:r w:rsidRPr="002D52A1">
              <w:rPr>
                <w:noProof/>
                <w:sz w:val="20"/>
              </w:rPr>
              <w:t>2027</w:t>
            </w:r>
          </w:p>
        </w:tc>
        <w:tc>
          <w:tcPr>
            <w:tcW w:w="1532" w:type="dxa"/>
            <w:vAlign w:val="center"/>
          </w:tcPr>
          <w:p w14:paraId="6EA489E3" w14:textId="77777777" w:rsidR="00C4624A" w:rsidRPr="002D52A1" w:rsidRDefault="00C4624A" w:rsidP="00461AA0">
            <w:pPr>
              <w:jc w:val="center"/>
              <w:rPr>
                <w:b/>
                <w:bCs/>
                <w:noProof/>
                <w:sz w:val="20"/>
                <w:szCs w:val="20"/>
              </w:rPr>
            </w:pPr>
            <w:r w:rsidRPr="002D52A1">
              <w:rPr>
                <w:b/>
                <w:noProof/>
                <w:sz w:val="20"/>
              </w:rPr>
              <w:t>SPOLU</w:t>
            </w:r>
          </w:p>
        </w:tc>
      </w:tr>
      <w:tr w:rsidR="00C4624A" w:rsidRPr="002D52A1" w14:paraId="69DE9A71" w14:textId="77777777" w:rsidTr="00461AA0">
        <w:trPr>
          <w:trHeight w:val="546"/>
        </w:trPr>
        <w:tc>
          <w:tcPr>
            <w:tcW w:w="4265" w:type="dxa"/>
            <w:vMerge w:val="restart"/>
            <w:shd w:val="clear" w:color="auto" w:fill="C0C0C0"/>
            <w:vAlign w:val="center"/>
          </w:tcPr>
          <w:p w14:paraId="03B1DE9D" w14:textId="77777777" w:rsidR="00C4624A" w:rsidRPr="002D52A1" w:rsidRDefault="00C4624A" w:rsidP="00461AA0">
            <w:pPr>
              <w:jc w:val="center"/>
              <w:rPr>
                <w:b/>
                <w:bCs/>
                <w:noProof/>
              </w:rPr>
            </w:pPr>
            <w:r w:rsidRPr="002D52A1">
              <w:rPr>
                <w:b/>
                <w:noProof/>
                <w:sz w:val="22"/>
              </w:rPr>
              <w:t>Rozpočtové prostriedky OKRUHOV 1 až 7</w:t>
            </w:r>
            <w:r w:rsidRPr="002D52A1">
              <w:rPr>
                <w:noProof/>
                <w:sz w:val="22"/>
              </w:rPr>
              <w:t xml:space="preserve"> viacročného finančného rámca </w:t>
            </w:r>
            <w:r w:rsidRPr="002D52A1">
              <w:rPr>
                <w:b/>
                <w:noProof/>
                <w:sz w:val="22"/>
              </w:rPr>
              <w:t xml:space="preserve">SPOLU </w:t>
            </w:r>
          </w:p>
        </w:tc>
        <w:tc>
          <w:tcPr>
            <w:tcW w:w="2023" w:type="dxa"/>
            <w:gridSpan w:val="2"/>
            <w:vAlign w:val="center"/>
          </w:tcPr>
          <w:p w14:paraId="59B5D5A5" w14:textId="77777777" w:rsidR="00C4624A" w:rsidRPr="002D52A1" w:rsidRDefault="00C4624A" w:rsidP="00461AA0">
            <w:pPr>
              <w:rPr>
                <w:noProof/>
                <w:sz w:val="14"/>
                <w:szCs w:val="14"/>
              </w:rPr>
            </w:pPr>
            <w:r w:rsidRPr="002D52A1">
              <w:rPr>
                <w:noProof/>
                <w:sz w:val="18"/>
              </w:rPr>
              <w:t>Záväzky</w:t>
            </w:r>
          </w:p>
        </w:tc>
        <w:tc>
          <w:tcPr>
            <w:tcW w:w="805" w:type="dxa"/>
            <w:vAlign w:val="center"/>
          </w:tcPr>
          <w:p w14:paraId="2FD20604" w14:textId="77777777" w:rsidR="00C4624A" w:rsidRPr="002D52A1" w:rsidRDefault="00C4624A" w:rsidP="00461AA0">
            <w:pPr>
              <w:rPr>
                <w:noProof/>
                <w:sz w:val="18"/>
                <w:szCs w:val="18"/>
              </w:rPr>
            </w:pPr>
            <w:r w:rsidRPr="002D52A1">
              <w:rPr>
                <w:noProof/>
                <w:sz w:val="18"/>
              </w:rPr>
              <w:t>27,3</w:t>
            </w:r>
          </w:p>
        </w:tc>
        <w:tc>
          <w:tcPr>
            <w:tcW w:w="935" w:type="dxa"/>
            <w:vAlign w:val="center"/>
          </w:tcPr>
          <w:p w14:paraId="273D9096" w14:textId="77777777" w:rsidR="00C4624A" w:rsidRPr="002D52A1" w:rsidRDefault="00C4624A" w:rsidP="00461AA0">
            <w:pPr>
              <w:spacing w:before="60" w:after="60"/>
              <w:jc w:val="right"/>
              <w:rPr>
                <w:noProof/>
                <w:sz w:val="20"/>
                <w:szCs w:val="20"/>
              </w:rPr>
            </w:pPr>
            <w:r w:rsidRPr="002D52A1">
              <w:rPr>
                <w:noProof/>
                <w:sz w:val="20"/>
              </w:rPr>
              <w:t>126,098</w:t>
            </w:r>
          </w:p>
        </w:tc>
        <w:tc>
          <w:tcPr>
            <w:tcW w:w="935" w:type="dxa"/>
            <w:vAlign w:val="center"/>
          </w:tcPr>
          <w:p w14:paraId="7FE088C1" w14:textId="77777777" w:rsidR="00C4624A" w:rsidRPr="002D52A1" w:rsidRDefault="00C4624A" w:rsidP="00461AA0">
            <w:pPr>
              <w:spacing w:before="60" w:after="60"/>
              <w:jc w:val="right"/>
              <w:rPr>
                <w:noProof/>
                <w:sz w:val="20"/>
                <w:szCs w:val="20"/>
              </w:rPr>
            </w:pPr>
            <w:r w:rsidRPr="002D52A1">
              <w:rPr>
                <w:noProof/>
                <w:sz w:val="20"/>
              </w:rPr>
              <w:t>333,084</w:t>
            </w:r>
          </w:p>
        </w:tc>
        <w:tc>
          <w:tcPr>
            <w:tcW w:w="935" w:type="dxa"/>
            <w:vAlign w:val="center"/>
          </w:tcPr>
          <w:p w14:paraId="63EB5224" w14:textId="77777777" w:rsidR="00C4624A" w:rsidRPr="002D52A1" w:rsidRDefault="00C4624A" w:rsidP="00461AA0">
            <w:pPr>
              <w:spacing w:before="60" w:after="60"/>
              <w:jc w:val="right"/>
              <w:rPr>
                <w:noProof/>
                <w:sz w:val="20"/>
                <w:szCs w:val="20"/>
              </w:rPr>
            </w:pPr>
            <w:r w:rsidRPr="002D52A1">
              <w:rPr>
                <w:noProof/>
                <w:sz w:val="20"/>
              </w:rPr>
              <w:t>202,924</w:t>
            </w:r>
          </w:p>
        </w:tc>
        <w:tc>
          <w:tcPr>
            <w:tcW w:w="935" w:type="dxa"/>
          </w:tcPr>
          <w:p w14:paraId="55BB1CFF" w14:textId="77777777" w:rsidR="00C4624A" w:rsidRPr="002D52A1" w:rsidRDefault="00C4624A" w:rsidP="00461AA0">
            <w:pPr>
              <w:spacing w:before="60" w:after="60"/>
              <w:rPr>
                <w:noProof/>
                <w:sz w:val="20"/>
                <w:szCs w:val="20"/>
              </w:rPr>
            </w:pPr>
            <w:r w:rsidRPr="002D52A1">
              <w:rPr>
                <w:noProof/>
                <w:sz w:val="20"/>
              </w:rPr>
              <w:t>683,672</w:t>
            </w:r>
          </w:p>
        </w:tc>
        <w:tc>
          <w:tcPr>
            <w:tcW w:w="935" w:type="dxa"/>
            <w:vAlign w:val="center"/>
          </w:tcPr>
          <w:p w14:paraId="06544E63" w14:textId="77777777" w:rsidR="00C4624A" w:rsidRPr="002D52A1" w:rsidRDefault="00C4624A" w:rsidP="00461AA0">
            <w:pPr>
              <w:spacing w:before="60" w:after="60"/>
              <w:jc w:val="right"/>
              <w:rPr>
                <w:noProof/>
                <w:sz w:val="20"/>
                <w:szCs w:val="20"/>
              </w:rPr>
            </w:pPr>
            <w:r w:rsidRPr="002D52A1">
              <w:rPr>
                <w:noProof/>
                <w:sz w:val="20"/>
              </w:rPr>
              <w:t>589,262</w:t>
            </w:r>
          </w:p>
        </w:tc>
        <w:tc>
          <w:tcPr>
            <w:tcW w:w="935" w:type="dxa"/>
            <w:vAlign w:val="center"/>
          </w:tcPr>
          <w:p w14:paraId="6B4FE715" w14:textId="77777777" w:rsidR="00C4624A" w:rsidRPr="002D52A1" w:rsidRDefault="00C4624A" w:rsidP="00461AA0">
            <w:pPr>
              <w:spacing w:before="60" w:after="60"/>
              <w:jc w:val="right"/>
              <w:rPr>
                <w:noProof/>
                <w:sz w:val="20"/>
                <w:szCs w:val="20"/>
              </w:rPr>
            </w:pPr>
            <w:r w:rsidRPr="002D52A1">
              <w:rPr>
                <w:noProof/>
                <w:sz w:val="20"/>
              </w:rPr>
              <w:t>540,132</w:t>
            </w:r>
          </w:p>
        </w:tc>
        <w:tc>
          <w:tcPr>
            <w:tcW w:w="1667" w:type="dxa"/>
            <w:gridSpan w:val="2"/>
            <w:vAlign w:val="center"/>
          </w:tcPr>
          <w:p w14:paraId="7360F687" w14:textId="77777777" w:rsidR="00C4624A" w:rsidRPr="002D52A1" w:rsidRDefault="00C4624A" w:rsidP="00461AA0">
            <w:pPr>
              <w:spacing w:before="60" w:after="60"/>
              <w:jc w:val="right"/>
              <w:rPr>
                <w:noProof/>
                <w:sz w:val="20"/>
                <w:szCs w:val="20"/>
              </w:rPr>
            </w:pPr>
            <w:r w:rsidRPr="002D52A1">
              <w:rPr>
                <w:noProof/>
                <w:sz w:val="20"/>
              </w:rPr>
              <w:t>2 502,472</w:t>
            </w:r>
          </w:p>
        </w:tc>
      </w:tr>
      <w:tr w:rsidR="00C4624A" w:rsidRPr="002D52A1" w14:paraId="45672D0F" w14:textId="77777777" w:rsidTr="00461AA0">
        <w:trPr>
          <w:trHeight w:val="670"/>
        </w:trPr>
        <w:tc>
          <w:tcPr>
            <w:tcW w:w="4265" w:type="dxa"/>
            <w:vMerge/>
          </w:tcPr>
          <w:p w14:paraId="1BD7D591" w14:textId="77777777" w:rsidR="00C4624A" w:rsidRPr="002D52A1" w:rsidRDefault="00C4624A" w:rsidP="00461AA0">
            <w:pPr>
              <w:rPr>
                <w:noProof/>
                <w:sz w:val="20"/>
              </w:rPr>
            </w:pPr>
          </w:p>
        </w:tc>
        <w:tc>
          <w:tcPr>
            <w:tcW w:w="2023" w:type="dxa"/>
            <w:gridSpan w:val="2"/>
            <w:vAlign w:val="center"/>
          </w:tcPr>
          <w:p w14:paraId="4228E076" w14:textId="77777777" w:rsidR="00C4624A" w:rsidRPr="002D52A1" w:rsidRDefault="00C4624A" w:rsidP="00461AA0">
            <w:pPr>
              <w:rPr>
                <w:noProof/>
                <w:sz w:val="14"/>
                <w:szCs w:val="14"/>
              </w:rPr>
            </w:pPr>
            <w:r w:rsidRPr="002D52A1">
              <w:rPr>
                <w:noProof/>
                <w:sz w:val="18"/>
              </w:rPr>
              <w:t>Platby</w:t>
            </w:r>
          </w:p>
        </w:tc>
        <w:tc>
          <w:tcPr>
            <w:tcW w:w="805" w:type="dxa"/>
            <w:vAlign w:val="center"/>
          </w:tcPr>
          <w:p w14:paraId="3537DEF7" w14:textId="77777777" w:rsidR="00C4624A" w:rsidRPr="002D52A1" w:rsidRDefault="00C4624A" w:rsidP="00461AA0">
            <w:pPr>
              <w:rPr>
                <w:noProof/>
                <w:sz w:val="18"/>
                <w:szCs w:val="18"/>
              </w:rPr>
            </w:pPr>
          </w:p>
        </w:tc>
        <w:tc>
          <w:tcPr>
            <w:tcW w:w="935" w:type="dxa"/>
            <w:vAlign w:val="center"/>
          </w:tcPr>
          <w:p w14:paraId="3B718A3D" w14:textId="77777777" w:rsidR="00C4624A" w:rsidRPr="002D52A1" w:rsidRDefault="00C4624A" w:rsidP="00461AA0">
            <w:pPr>
              <w:spacing w:before="60" w:after="60"/>
              <w:jc w:val="right"/>
              <w:rPr>
                <w:noProof/>
                <w:sz w:val="20"/>
                <w:szCs w:val="20"/>
              </w:rPr>
            </w:pPr>
            <w:r w:rsidRPr="002D52A1">
              <w:rPr>
                <w:noProof/>
                <w:sz w:val="20"/>
              </w:rPr>
              <w:t>0,998</w:t>
            </w:r>
          </w:p>
        </w:tc>
        <w:tc>
          <w:tcPr>
            <w:tcW w:w="935" w:type="dxa"/>
            <w:vAlign w:val="center"/>
          </w:tcPr>
          <w:p w14:paraId="0DD11E34" w14:textId="77777777" w:rsidR="00C4624A" w:rsidRPr="002D52A1" w:rsidRDefault="00C4624A" w:rsidP="00461AA0">
            <w:pPr>
              <w:spacing w:before="60" w:after="60"/>
              <w:jc w:val="right"/>
              <w:rPr>
                <w:noProof/>
                <w:sz w:val="20"/>
                <w:szCs w:val="20"/>
              </w:rPr>
            </w:pPr>
            <w:r w:rsidRPr="002D52A1">
              <w:rPr>
                <w:noProof/>
                <w:sz w:val="20"/>
              </w:rPr>
              <w:t>170,484</w:t>
            </w:r>
          </w:p>
        </w:tc>
        <w:tc>
          <w:tcPr>
            <w:tcW w:w="935" w:type="dxa"/>
            <w:vAlign w:val="center"/>
          </w:tcPr>
          <w:p w14:paraId="2A8074C7" w14:textId="77777777" w:rsidR="00C4624A" w:rsidRPr="002D52A1" w:rsidRDefault="00C4624A" w:rsidP="00461AA0">
            <w:pPr>
              <w:spacing w:before="60" w:after="60"/>
              <w:jc w:val="right"/>
              <w:rPr>
                <w:noProof/>
                <w:sz w:val="20"/>
                <w:szCs w:val="20"/>
              </w:rPr>
            </w:pPr>
            <w:r w:rsidRPr="002D52A1">
              <w:rPr>
                <w:noProof/>
                <w:sz w:val="20"/>
              </w:rPr>
              <w:t>251,624</w:t>
            </w:r>
          </w:p>
        </w:tc>
        <w:tc>
          <w:tcPr>
            <w:tcW w:w="935" w:type="dxa"/>
            <w:vAlign w:val="center"/>
          </w:tcPr>
          <w:p w14:paraId="1D0CBF80" w14:textId="77777777" w:rsidR="00C4624A" w:rsidRPr="002D52A1" w:rsidRDefault="00C4624A" w:rsidP="00461AA0">
            <w:pPr>
              <w:spacing w:before="60" w:after="60"/>
              <w:jc w:val="right"/>
              <w:rPr>
                <w:noProof/>
                <w:sz w:val="20"/>
                <w:szCs w:val="20"/>
              </w:rPr>
            </w:pPr>
            <w:r w:rsidRPr="002D52A1">
              <w:rPr>
                <w:noProof/>
                <w:sz w:val="20"/>
              </w:rPr>
              <w:t>640,292</w:t>
            </w:r>
          </w:p>
        </w:tc>
        <w:tc>
          <w:tcPr>
            <w:tcW w:w="935" w:type="dxa"/>
            <w:vAlign w:val="center"/>
          </w:tcPr>
          <w:p w14:paraId="0D1B56BD" w14:textId="77777777" w:rsidR="00C4624A" w:rsidRPr="002D52A1" w:rsidRDefault="00C4624A" w:rsidP="00461AA0">
            <w:pPr>
              <w:spacing w:before="60" w:after="60"/>
              <w:jc w:val="right"/>
              <w:rPr>
                <w:noProof/>
                <w:sz w:val="20"/>
                <w:szCs w:val="20"/>
              </w:rPr>
            </w:pPr>
            <w:r w:rsidRPr="002D52A1">
              <w:rPr>
                <w:noProof/>
                <w:sz w:val="20"/>
              </w:rPr>
              <w:t>840,132</w:t>
            </w:r>
          </w:p>
        </w:tc>
        <w:tc>
          <w:tcPr>
            <w:tcW w:w="935" w:type="dxa"/>
            <w:vAlign w:val="center"/>
          </w:tcPr>
          <w:p w14:paraId="6CDB3DD7" w14:textId="77777777" w:rsidR="00C4624A" w:rsidRPr="002D52A1" w:rsidRDefault="00C4624A" w:rsidP="00461AA0">
            <w:pPr>
              <w:spacing w:before="60" w:after="60"/>
              <w:jc w:val="right"/>
              <w:rPr>
                <w:noProof/>
                <w:sz w:val="20"/>
                <w:szCs w:val="20"/>
              </w:rPr>
            </w:pPr>
            <w:r w:rsidRPr="002D52A1">
              <w:rPr>
                <w:noProof/>
                <w:sz w:val="20"/>
              </w:rPr>
              <w:t>598,942</w:t>
            </w:r>
          </w:p>
        </w:tc>
        <w:tc>
          <w:tcPr>
            <w:tcW w:w="1667" w:type="dxa"/>
            <w:gridSpan w:val="2"/>
            <w:vAlign w:val="center"/>
          </w:tcPr>
          <w:p w14:paraId="31E04F40" w14:textId="77777777" w:rsidR="00C4624A" w:rsidRPr="002D52A1" w:rsidRDefault="00C4624A" w:rsidP="00461AA0">
            <w:pPr>
              <w:spacing w:before="60" w:after="60"/>
              <w:jc w:val="right"/>
              <w:rPr>
                <w:noProof/>
                <w:sz w:val="20"/>
                <w:szCs w:val="20"/>
              </w:rPr>
            </w:pPr>
          </w:p>
          <w:p w14:paraId="054D24B1" w14:textId="77777777" w:rsidR="00C4624A" w:rsidRPr="002D52A1" w:rsidRDefault="00C4624A" w:rsidP="00461AA0">
            <w:pPr>
              <w:spacing w:before="60" w:after="60"/>
              <w:jc w:val="right"/>
              <w:rPr>
                <w:noProof/>
                <w:sz w:val="20"/>
                <w:szCs w:val="20"/>
              </w:rPr>
            </w:pPr>
            <w:r w:rsidRPr="002D52A1">
              <w:rPr>
                <w:noProof/>
                <w:sz w:val="20"/>
              </w:rPr>
              <w:t>2 502,472</w:t>
            </w:r>
          </w:p>
          <w:p w14:paraId="7B8556FD" w14:textId="77777777" w:rsidR="00C4624A" w:rsidRPr="002D52A1" w:rsidRDefault="00C4624A" w:rsidP="00461AA0">
            <w:pPr>
              <w:spacing w:before="60" w:after="60"/>
              <w:jc w:val="right"/>
              <w:rPr>
                <w:noProof/>
                <w:sz w:val="20"/>
                <w:szCs w:val="20"/>
              </w:rPr>
            </w:pPr>
          </w:p>
        </w:tc>
      </w:tr>
    </w:tbl>
    <w:p w14:paraId="223869C0" w14:textId="77777777" w:rsidR="00C4624A" w:rsidRPr="002D52A1" w:rsidRDefault="00C4624A" w:rsidP="00C4624A">
      <w:pPr>
        <w:rPr>
          <w:noProof/>
        </w:rPr>
      </w:pPr>
    </w:p>
    <w:p w14:paraId="693DA14C" w14:textId="77777777" w:rsidR="00C4624A" w:rsidRPr="002D52A1" w:rsidRDefault="00C4624A" w:rsidP="00C4624A">
      <w:pPr>
        <w:rPr>
          <w:noProof/>
        </w:rPr>
      </w:pPr>
    </w:p>
    <w:p w14:paraId="7C61C370" w14:textId="77777777" w:rsidR="00C4624A" w:rsidRPr="002D52A1" w:rsidRDefault="00C4624A" w:rsidP="00C4624A">
      <w:pPr>
        <w:rPr>
          <w:noProof/>
        </w:rPr>
      </w:pPr>
    </w:p>
    <w:p w14:paraId="7AE742DF" w14:textId="39C8DA65" w:rsidR="002D52A1" w:rsidRPr="002D52A1" w:rsidRDefault="00D05784" w:rsidP="00D05784">
      <w:pPr>
        <w:pStyle w:val="ManualHeading3"/>
        <w:rPr>
          <w:noProof/>
        </w:rPr>
      </w:pPr>
      <w:bookmarkStart w:id="61" w:name="_Toc514938054"/>
      <w:bookmarkStart w:id="62" w:name="_Toc520485053"/>
      <w:r w:rsidRPr="00D05784">
        <w:t>3.2.2.</w:t>
      </w:r>
      <w:r w:rsidRPr="00D05784">
        <w:tab/>
      </w:r>
      <w:r w:rsidR="00C4624A" w:rsidRPr="002D52A1">
        <w:rPr>
          <w:noProof/>
        </w:rPr>
        <w:t>Odhadované výsledky financované</w:t>
      </w:r>
      <w:r w:rsidR="002D52A1">
        <w:rPr>
          <w:noProof/>
        </w:rPr>
        <w:t xml:space="preserve"> z </w:t>
      </w:r>
      <w:r w:rsidR="00C4624A" w:rsidRPr="002D52A1">
        <w:rPr>
          <w:noProof/>
        </w:rPr>
        <w:t>operačných rozpočtových prostriedkov</w:t>
      </w:r>
      <w:bookmarkEnd w:id="61"/>
      <w:bookmarkEnd w:id="62"/>
    </w:p>
    <w:p w14:paraId="31057B33" w14:textId="3EC7A371" w:rsidR="00C4624A" w:rsidRPr="002D52A1" w:rsidRDefault="00C4624A" w:rsidP="00C4624A">
      <w:pPr>
        <w:jc w:val="right"/>
        <w:rPr>
          <w:noProof/>
          <w:sz w:val="20"/>
        </w:rPr>
      </w:pPr>
      <w:r w:rsidRPr="002D52A1">
        <w:rPr>
          <w:noProof/>
          <w:sz w:val="20"/>
        </w:rPr>
        <w:t>Viazané rozpočtové prostriedky</w:t>
      </w:r>
      <w:r w:rsidR="002D52A1">
        <w:rPr>
          <w:noProof/>
          <w:sz w:val="20"/>
        </w:rPr>
        <w:t xml:space="preserve"> v </w:t>
      </w:r>
      <w:r w:rsidRPr="002D52A1">
        <w:rPr>
          <w:noProof/>
          <w:sz w:val="20"/>
        </w:rPr>
        <w:t>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66"/>
        <w:gridCol w:w="659"/>
        <w:gridCol w:w="616"/>
        <w:gridCol w:w="644"/>
        <w:gridCol w:w="720"/>
        <w:gridCol w:w="54"/>
        <w:gridCol w:w="666"/>
        <w:gridCol w:w="720"/>
        <w:gridCol w:w="31"/>
        <w:gridCol w:w="869"/>
        <w:gridCol w:w="691"/>
        <w:gridCol w:w="569"/>
        <w:gridCol w:w="706"/>
        <w:gridCol w:w="567"/>
        <w:gridCol w:w="567"/>
        <w:gridCol w:w="142"/>
        <w:gridCol w:w="425"/>
        <w:gridCol w:w="709"/>
        <w:gridCol w:w="142"/>
        <w:gridCol w:w="522"/>
        <w:gridCol w:w="900"/>
      </w:tblGrid>
      <w:tr w:rsidR="00C4624A" w:rsidRPr="002D52A1" w14:paraId="26764440" w14:textId="77777777" w:rsidTr="00461AA0">
        <w:trPr>
          <w:jc w:val="center"/>
        </w:trPr>
        <w:tc>
          <w:tcPr>
            <w:tcW w:w="1423" w:type="dxa"/>
            <w:vMerge w:val="restart"/>
            <w:vAlign w:val="center"/>
          </w:tcPr>
          <w:p w14:paraId="56E76EE6" w14:textId="4F78A96D" w:rsidR="002D52A1" w:rsidRPr="002D52A1" w:rsidRDefault="00C4624A" w:rsidP="00461AA0">
            <w:pPr>
              <w:ind w:right="-29"/>
              <w:jc w:val="center"/>
              <w:rPr>
                <w:b/>
                <w:noProof/>
                <w:sz w:val="18"/>
              </w:rPr>
            </w:pPr>
            <w:r w:rsidRPr="002D52A1">
              <w:rPr>
                <w:b/>
                <w:noProof/>
                <w:sz w:val="18"/>
              </w:rPr>
              <w:t>Uveďte ciele</w:t>
            </w:r>
            <w:r w:rsidR="002D52A1">
              <w:rPr>
                <w:b/>
                <w:noProof/>
                <w:sz w:val="18"/>
              </w:rPr>
              <w:t xml:space="preserve"> a </w:t>
            </w:r>
            <w:r w:rsidRPr="002D52A1">
              <w:rPr>
                <w:b/>
                <w:noProof/>
                <w:sz w:val="18"/>
              </w:rPr>
              <w:t>výstupy</w:t>
            </w:r>
          </w:p>
          <w:p w14:paraId="45F393A5" w14:textId="14FD5D0D" w:rsidR="00C4624A" w:rsidRPr="002D52A1" w:rsidRDefault="00C4624A" w:rsidP="00461AA0">
            <w:pPr>
              <w:ind w:right="-29"/>
              <w:jc w:val="center"/>
              <w:rPr>
                <w:b/>
                <w:noProof/>
                <w:sz w:val="18"/>
                <w:szCs w:val="18"/>
              </w:rPr>
            </w:pPr>
          </w:p>
          <w:p w14:paraId="2C7402A6" w14:textId="77777777" w:rsidR="00C4624A" w:rsidRPr="002D52A1" w:rsidRDefault="00C4624A" w:rsidP="00461AA0">
            <w:pPr>
              <w:ind w:right="-29"/>
              <w:jc w:val="center"/>
              <w:rPr>
                <w:noProof/>
                <w:sz w:val="18"/>
                <w:szCs w:val="18"/>
              </w:rPr>
            </w:pPr>
            <w:r w:rsidRPr="002D52A1">
              <w:rPr>
                <w:rFonts w:ascii="Wingdings" w:hAnsi="Wingdings"/>
                <w:noProof/>
              </w:rPr>
              <w:t></w:t>
            </w:r>
          </w:p>
        </w:tc>
        <w:tc>
          <w:tcPr>
            <w:tcW w:w="1266" w:type="dxa"/>
            <w:vAlign w:val="center"/>
          </w:tcPr>
          <w:p w14:paraId="79966EBF" w14:textId="77777777" w:rsidR="00C4624A" w:rsidRPr="002D52A1" w:rsidRDefault="00C4624A" w:rsidP="00461AA0">
            <w:pPr>
              <w:ind w:right="-29"/>
              <w:jc w:val="center"/>
              <w:rPr>
                <w:noProof/>
                <w:sz w:val="18"/>
                <w:szCs w:val="18"/>
              </w:rPr>
            </w:pPr>
          </w:p>
        </w:tc>
        <w:tc>
          <w:tcPr>
            <w:tcW w:w="1275" w:type="dxa"/>
            <w:gridSpan w:val="2"/>
            <w:vAlign w:val="center"/>
          </w:tcPr>
          <w:p w14:paraId="1B238A6D" w14:textId="77777777" w:rsidR="00C4624A" w:rsidRPr="002D52A1" w:rsidRDefault="00C4624A" w:rsidP="00461AA0">
            <w:pPr>
              <w:ind w:right="-29"/>
              <w:jc w:val="center"/>
              <w:rPr>
                <w:noProof/>
                <w:sz w:val="18"/>
                <w:szCs w:val="18"/>
              </w:rPr>
            </w:pPr>
            <w:r w:rsidRPr="002D52A1">
              <w:rPr>
                <w:noProof/>
                <w:sz w:val="18"/>
              </w:rPr>
              <w:t>Rok 2021</w:t>
            </w:r>
          </w:p>
        </w:tc>
        <w:tc>
          <w:tcPr>
            <w:tcW w:w="1418" w:type="dxa"/>
            <w:gridSpan w:val="3"/>
            <w:tcBorders>
              <w:left w:val="nil"/>
            </w:tcBorders>
            <w:vAlign w:val="center"/>
          </w:tcPr>
          <w:p w14:paraId="3D8246F2" w14:textId="77777777" w:rsidR="00C4624A" w:rsidRPr="002D52A1" w:rsidRDefault="00C4624A" w:rsidP="00461AA0">
            <w:pPr>
              <w:ind w:right="-29"/>
              <w:jc w:val="center"/>
              <w:rPr>
                <w:noProof/>
                <w:sz w:val="18"/>
                <w:szCs w:val="18"/>
              </w:rPr>
            </w:pPr>
            <w:r w:rsidRPr="002D52A1">
              <w:rPr>
                <w:noProof/>
                <w:sz w:val="18"/>
              </w:rPr>
              <w:t>Rok 2022</w:t>
            </w:r>
          </w:p>
        </w:tc>
        <w:tc>
          <w:tcPr>
            <w:tcW w:w="1417" w:type="dxa"/>
            <w:gridSpan w:val="3"/>
            <w:vAlign w:val="center"/>
          </w:tcPr>
          <w:p w14:paraId="49E89977" w14:textId="77777777" w:rsidR="00C4624A" w:rsidRPr="002D52A1" w:rsidRDefault="00C4624A" w:rsidP="00461AA0">
            <w:pPr>
              <w:ind w:right="-29"/>
              <w:jc w:val="center"/>
              <w:rPr>
                <w:noProof/>
                <w:sz w:val="18"/>
                <w:szCs w:val="18"/>
              </w:rPr>
            </w:pPr>
            <w:r w:rsidRPr="002D52A1">
              <w:rPr>
                <w:noProof/>
                <w:sz w:val="18"/>
              </w:rPr>
              <w:t>Rok 2023</w:t>
            </w:r>
          </w:p>
        </w:tc>
        <w:tc>
          <w:tcPr>
            <w:tcW w:w="1560" w:type="dxa"/>
            <w:gridSpan w:val="2"/>
            <w:vAlign w:val="center"/>
          </w:tcPr>
          <w:p w14:paraId="7B54451D" w14:textId="77777777" w:rsidR="00C4624A" w:rsidRPr="002D52A1" w:rsidRDefault="00C4624A" w:rsidP="00461AA0">
            <w:pPr>
              <w:ind w:right="-29"/>
              <w:jc w:val="center"/>
              <w:rPr>
                <w:noProof/>
                <w:sz w:val="18"/>
                <w:szCs w:val="18"/>
              </w:rPr>
            </w:pPr>
            <w:r w:rsidRPr="002D52A1">
              <w:rPr>
                <w:noProof/>
                <w:sz w:val="18"/>
              </w:rPr>
              <w:t>Rok 2024</w:t>
            </w:r>
          </w:p>
        </w:tc>
        <w:tc>
          <w:tcPr>
            <w:tcW w:w="1275" w:type="dxa"/>
            <w:gridSpan w:val="2"/>
          </w:tcPr>
          <w:p w14:paraId="6AEC7666" w14:textId="77777777" w:rsidR="00C4624A" w:rsidRPr="002D52A1" w:rsidRDefault="00C4624A" w:rsidP="00461AA0">
            <w:pPr>
              <w:ind w:right="-29"/>
              <w:jc w:val="center"/>
              <w:rPr>
                <w:noProof/>
                <w:sz w:val="18"/>
              </w:rPr>
            </w:pPr>
            <w:r w:rsidRPr="002D52A1">
              <w:rPr>
                <w:noProof/>
                <w:sz w:val="18"/>
              </w:rPr>
              <w:t>Rok 2025</w:t>
            </w:r>
          </w:p>
        </w:tc>
        <w:tc>
          <w:tcPr>
            <w:tcW w:w="1134" w:type="dxa"/>
            <w:gridSpan w:val="2"/>
          </w:tcPr>
          <w:p w14:paraId="0C87137B" w14:textId="77777777" w:rsidR="00C4624A" w:rsidRPr="002D52A1" w:rsidRDefault="00C4624A" w:rsidP="00461AA0">
            <w:pPr>
              <w:ind w:right="-29"/>
              <w:jc w:val="center"/>
              <w:rPr>
                <w:noProof/>
                <w:sz w:val="18"/>
              </w:rPr>
            </w:pPr>
            <w:r w:rsidRPr="002D52A1">
              <w:rPr>
                <w:noProof/>
                <w:sz w:val="18"/>
              </w:rPr>
              <w:t>Rok 2026</w:t>
            </w:r>
          </w:p>
        </w:tc>
        <w:tc>
          <w:tcPr>
            <w:tcW w:w="1276" w:type="dxa"/>
            <w:gridSpan w:val="3"/>
            <w:vAlign w:val="center"/>
          </w:tcPr>
          <w:p w14:paraId="350302DE" w14:textId="77777777" w:rsidR="00C4624A" w:rsidRPr="002D52A1" w:rsidRDefault="00C4624A" w:rsidP="00461AA0">
            <w:pPr>
              <w:ind w:right="-29"/>
              <w:jc w:val="center"/>
              <w:rPr>
                <w:noProof/>
                <w:sz w:val="18"/>
                <w:szCs w:val="18"/>
              </w:rPr>
            </w:pPr>
            <w:r w:rsidRPr="002D52A1">
              <w:rPr>
                <w:noProof/>
                <w:sz w:val="18"/>
              </w:rPr>
              <w:t>Rok 2027</w:t>
            </w:r>
          </w:p>
        </w:tc>
        <w:tc>
          <w:tcPr>
            <w:tcW w:w="1564" w:type="dxa"/>
            <w:gridSpan w:val="3"/>
            <w:tcBorders>
              <w:left w:val="nil"/>
              <w:bottom w:val="nil"/>
            </w:tcBorders>
            <w:vAlign w:val="center"/>
          </w:tcPr>
          <w:p w14:paraId="4F91C66E" w14:textId="77777777" w:rsidR="00C4624A" w:rsidRPr="002D52A1" w:rsidRDefault="00C4624A" w:rsidP="00461AA0">
            <w:pPr>
              <w:ind w:right="-29"/>
              <w:jc w:val="center"/>
              <w:rPr>
                <w:noProof/>
                <w:sz w:val="18"/>
                <w:szCs w:val="18"/>
              </w:rPr>
            </w:pPr>
            <w:r w:rsidRPr="002D52A1">
              <w:rPr>
                <w:b/>
                <w:noProof/>
                <w:sz w:val="18"/>
              </w:rPr>
              <w:t>SPOLU</w:t>
            </w:r>
          </w:p>
        </w:tc>
      </w:tr>
      <w:tr w:rsidR="00C4624A" w:rsidRPr="002D52A1" w14:paraId="0D3597D3" w14:textId="77777777" w:rsidTr="00461AA0">
        <w:trPr>
          <w:jc w:val="center"/>
        </w:trPr>
        <w:tc>
          <w:tcPr>
            <w:tcW w:w="1423" w:type="dxa"/>
            <w:vMerge/>
            <w:vAlign w:val="center"/>
          </w:tcPr>
          <w:p w14:paraId="2225205F" w14:textId="77777777" w:rsidR="00C4624A" w:rsidRPr="002D52A1" w:rsidRDefault="00C4624A" w:rsidP="00461AA0">
            <w:pPr>
              <w:ind w:right="-29"/>
              <w:jc w:val="center"/>
              <w:rPr>
                <w:noProof/>
                <w:sz w:val="18"/>
                <w:szCs w:val="18"/>
              </w:rPr>
            </w:pPr>
          </w:p>
        </w:tc>
        <w:tc>
          <w:tcPr>
            <w:tcW w:w="12185" w:type="dxa"/>
            <w:gridSpan w:val="21"/>
            <w:vAlign w:val="center"/>
          </w:tcPr>
          <w:p w14:paraId="05579D2E" w14:textId="77777777" w:rsidR="00C4624A" w:rsidRPr="002D52A1" w:rsidRDefault="00C4624A" w:rsidP="00461AA0">
            <w:pPr>
              <w:spacing w:before="60" w:after="60"/>
              <w:ind w:right="-29"/>
              <w:jc w:val="center"/>
              <w:rPr>
                <w:noProof/>
                <w:sz w:val="18"/>
                <w:szCs w:val="18"/>
              </w:rPr>
            </w:pPr>
            <w:r w:rsidRPr="002D52A1">
              <w:rPr>
                <w:b/>
                <w:noProof/>
                <w:sz w:val="18"/>
              </w:rPr>
              <w:t>VÝSTUPY</w:t>
            </w:r>
          </w:p>
        </w:tc>
      </w:tr>
      <w:tr w:rsidR="00C4624A" w:rsidRPr="002D52A1" w14:paraId="19168D76" w14:textId="77777777" w:rsidTr="00461AA0">
        <w:trPr>
          <w:cantSplit/>
          <w:trHeight w:val="1134"/>
          <w:jc w:val="center"/>
        </w:trPr>
        <w:tc>
          <w:tcPr>
            <w:tcW w:w="1423" w:type="dxa"/>
            <w:vMerge/>
            <w:vAlign w:val="center"/>
          </w:tcPr>
          <w:p w14:paraId="5C0E3046" w14:textId="77777777" w:rsidR="00C4624A" w:rsidRPr="002D52A1" w:rsidRDefault="00C4624A" w:rsidP="00461AA0">
            <w:pPr>
              <w:rPr>
                <w:noProof/>
                <w:sz w:val="18"/>
                <w:szCs w:val="18"/>
              </w:rPr>
            </w:pPr>
          </w:p>
        </w:tc>
        <w:tc>
          <w:tcPr>
            <w:tcW w:w="1266" w:type="dxa"/>
            <w:vAlign w:val="center"/>
          </w:tcPr>
          <w:p w14:paraId="275ED73B" w14:textId="77777777" w:rsidR="00C4624A" w:rsidRPr="002D52A1" w:rsidRDefault="00C4624A" w:rsidP="00461AA0">
            <w:pPr>
              <w:jc w:val="center"/>
              <w:rPr>
                <w:noProof/>
                <w:sz w:val="18"/>
                <w:szCs w:val="18"/>
              </w:rPr>
            </w:pPr>
            <w:r w:rsidRPr="002D52A1">
              <w:rPr>
                <w:noProof/>
                <w:sz w:val="18"/>
              </w:rPr>
              <w:t>Druh</w:t>
            </w:r>
            <w:r w:rsidRPr="002D52A1">
              <w:rPr>
                <w:rStyle w:val="FootnoteReference"/>
                <w:noProof/>
                <w:sz w:val="18"/>
                <w:szCs w:val="18"/>
              </w:rPr>
              <w:footnoteReference w:id="41"/>
            </w:r>
          </w:p>
          <w:p w14:paraId="7C73B830" w14:textId="77777777" w:rsidR="00C4624A" w:rsidRPr="002D52A1" w:rsidRDefault="00C4624A" w:rsidP="00461AA0">
            <w:pPr>
              <w:jc w:val="center"/>
              <w:rPr>
                <w:noProof/>
                <w:sz w:val="18"/>
                <w:szCs w:val="18"/>
              </w:rPr>
            </w:pPr>
          </w:p>
        </w:tc>
        <w:tc>
          <w:tcPr>
            <w:tcW w:w="659" w:type="dxa"/>
            <w:tcBorders>
              <w:left w:val="nil"/>
              <w:right w:val="dashSmallGap" w:sz="4" w:space="0" w:color="auto"/>
            </w:tcBorders>
            <w:shd w:val="clear" w:color="auto" w:fill="auto"/>
            <w:textDirection w:val="btLr"/>
            <w:vAlign w:val="center"/>
          </w:tcPr>
          <w:p w14:paraId="7E6E0DC2" w14:textId="77777777" w:rsidR="00C4624A" w:rsidRPr="002D52A1" w:rsidRDefault="00C4624A" w:rsidP="00461AA0">
            <w:pPr>
              <w:ind w:left="113" w:right="113"/>
              <w:jc w:val="center"/>
              <w:rPr>
                <w:noProof/>
                <w:sz w:val="18"/>
                <w:szCs w:val="18"/>
              </w:rPr>
            </w:pPr>
            <w:r w:rsidRPr="002D52A1">
              <w:rPr>
                <w:noProof/>
                <w:sz w:val="18"/>
              </w:rPr>
              <w:t>Počet</w:t>
            </w:r>
          </w:p>
        </w:tc>
        <w:tc>
          <w:tcPr>
            <w:tcW w:w="616" w:type="dxa"/>
            <w:tcBorders>
              <w:left w:val="dashSmallGap" w:sz="4" w:space="0" w:color="auto"/>
            </w:tcBorders>
            <w:shd w:val="clear" w:color="auto" w:fill="auto"/>
            <w:vAlign w:val="center"/>
          </w:tcPr>
          <w:p w14:paraId="5F12C349" w14:textId="77777777" w:rsidR="00C4624A" w:rsidRPr="002D52A1" w:rsidRDefault="00C4624A" w:rsidP="00461AA0">
            <w:pPr>
              <w:jc w:val="center"/>
              <w:rPr>
                <w:noProof/>
                <w:sz w:val="18"/>
                <w:szCs w:val="18"/>
              </w:rPr>
            </w:pPr>
            <w:r w:rsidRPr="002D52A1">
              <w:rPr>
                <w:noProof/>
                <w:sz w:val="18"/>
              </w:rPr>
              <w:t>Náklady</w:t>
            </w:r>
          </w:p>
        </w:tc>
        <w:tc>
          <w:tcPr>
            <w:tcW w:w="644" w:type="dxa"/>
            <w:tcBorders>
              <w:right w:val="dashSmallGap" w:sz="4" w:space="0" w:color="auto"/>
            </w:tcBorders>
            <w:shd w:val="clear" w:color="auto" w:fill="auto"/>
            <w:textDirection w:val="btLr"/>
            <w:vAlign w:val="center"/>
          </w:tcPr>
          <w:p w14:paraId="6DDAB271" w14:textId="77777777" w:rsidR="00C4624A" w:rsidRPr="002D52A1" w:rsidRDefault="00C4624A" w:rsidP="00461AA0">
            <w:pPr>
              <w:ind w:left="113" w:right="113"/>
              <w:jc w:val="center"/>
              <w:rPr>
                <w:noProof/>
                <w:sz w:val="18"/>
                <w:szCs w:val="18"/>
              </w:rPr>
            </w:pPr>
            <w:r w:rsidRPr="002D52A1">
              <w:rPr>
                <w:noProof/>
                <w:sz w:val="18"/>
              </w:rPr>
              <w:t>Počet</w:t>
            </w:r>
          </w:p>
        </w:tc>
        <w:tc>
          <w:tcPr>
            <w:tcW w:w="720" w:type="dxa"/>
            <w:tcBorders>
              <w:left w:val="dashSmallGap" w:sz="4" w:space="0" w:color="auto"/>
            </w:tcBorders>
            <w:shd w:val="clear" w:color="auto" w:fill="auto"/>
            <w:vAlign w:val="center"/>
          </w:tcPr>
          <w:p w14:paraId="79FC7A9B" w14:textId="77777777" w:rsidR="00C4624A" w:rsidRPr="002D52A1" w:rsidRDefault="00C4624A" w:rsidP="00461AA0">
            <w:pPr>
              <w:jc w:val="center"/>
              <w:rPr>
                <w:noProof/>
                <w:sz w:val="18"/>
                <w:szCs w:val="18"/>
              </w:rPr>
            </w:pPr>
            <w:r w:rsidRPr="002D52A1">
              <w:rPr>
                <w:noProof/>
                <w:sz w:val="18"/>
              </w:rPr>
              <w:t>Náklady</w:t>
            </w:r>
          </w:p>
        </w:tc>
        <w:tc>
          <w:tcPr>
            <w:tcW w:w="720" w:type="dxa"/>
            <w:gridSpan w:val="2"/>
            <w:tcBorders>
              <w:right w:val="dashSmallGap" w:sz="4" w:space="0" w:color="auto"/>
            </w:tcBorders>
            <w:shd w:val="clear" w:color="auto" w:fill="auto"/>
            <w:textDirection w:val="btLr"/>
            <w:vAlign w:val="center"/>
          </w:tcPr>
          <w:p w14:paraId="65F87954" w14:textId="77777777" w:rsidR="00C4624A" w:rsidRPr="002D52A1" w:rsidRDefault="00C4624A" w:rsidP="00461AA0">
            <w:pPr>
              <w:ind w:left="113" w:right="113"/>
              <w:jc w:val="center"/>
              <w:rPr>
                <w:noProof/>
                <w:sz w:val="18"/>
                <w:szCs w:val="18"/>
              </w:rPr>
            </w:pPr>
            <w:r w:rsidRPr="002D52A1">
              <w:rPr>
                <w:noProof/>
                <w:sz w:val="18"/>
              </w:rPr>
              <w:t>Počet</w:t>
            </w:r>
          </w:p>
        </w:tc>
        <w:tc>
          <w:tcPr>
            <w:tcW w:w="720" w:type="dxa"/>
            <w:tcBorders>
              <w:left w:val="dashSmallGap" w:sz="4" w:space="0" w:color="auto"/>
            </w:tcBorders>
            <w:shd w:val="clear" w:color="auto" w:fill="auto"/>
            <w:vAlign w:val="center"/>
          </w:tcPr>
          <w:p w14:paraId="08537073" w14:textId="77777777" w:rsidR="00C4624A" w:rsidRPr="002D52A1" w:rsidRDefault="00C4624A" w:rsidP="00461AA0">
            <w:pPr>
              <w:jc w:val="center"/>
              <w:rPr>
                <w:noProof/>
                <w:sz w:val="18"/>
                <w:szCs w:val="18"/>
              </w:rPr>
            </w:pPr>
            <w:r w:rsidRPr="002D52A1">
              <w:rPr>
                <w:noProof/>
                <w:sz w:val="18"/>
              </w:rPr>
              <w:t>Náklady</w:t>
            </w:r>
          </w:p>
        </w:tc>
        <w:tc>
          <w:tcPr>
            <w:tcW w:w="900" w:type="dxa"/>
            <w:gridSpan w:val="2"/>
            <w:tcBorders>
              <w:right w:val="dashSmallGap" w:sz="4" w:space="0" w:color="auto"/>
            </w:tcBorders>
            <w:shd w:val="clear" w:color="auto" w:fill="auto"/>
            <w:textDirection w:val="btLr"/>
            <w:vAlign w:val="center"/>
          </w:tcPr>
          <w:p w14:paraId="040D9298" w14:textId="77777777" w:rsidR="00C4624A" w:rsidRPr="002D52A1" w:rsidRDefault="00C4624A" w:rsidP="00461AA0">
            <w:pPr>
              <w:ind w:left="113" w:right="113"/>
              <w:jc w:val="center"/>
              <w:rPr>
                <w:noProof/>
                <w:sz w:val="18"/>
                <w:szCs w:val="18"/>
              </w:rPr>
            </w:pPr>
            <w:r w:rsidRPr="002D52A1">
              <w:rPr>
                <w:noProof/>
                <w:sz w:val="18"/>
              </w:rPr>
              <w:t>Počet</w:t>
            </w:r>
          </w:p>
        </w:tc>
        <w:tc>
          <w:tcPr>
            <w:tcW w:w="691" w:type="dxa"/>
            <w:tcBorders>
              <w:left w:val="dashSmallGap" w:sz="4" w:space="0" w:color="auto"/>
            </w:tcBorders>
            <w:shd w:val="clear" w:color="auto" w:fill="auto"/>
            <w:vAlign w:val="center"/>
          </w:tcPr>
          <w:p w14:paraId="17BD8825" w14:textId="77777777" w:rsidR="00C4624A" w:rsidRPr="002D52A1" w:rsidRDefault="00C4624A" w:rsidP="00461AA0">
            <w:pPr>
              <w:jc w:val="center"/>
              <w:rPr>
                <w:noProof/>
                <w:sz w:val="18"/>
                <w:szCs w:val="18"/>
              </w:rPr>
            </w:pPr>
            <w:r w:rsidRPr="002D52A1">
              <w:rPr>
                <w:noProof/>
                <w:sz w:val="18"/>
              </w:rPr>
              <w:t>Náklady</w:t>
            </w:r>
          </w:p>
        </w:tc>
        <w:tc>
          <w:tcPr>
            <w:tcW w:w="569" w:type="dxa"/>
            <w:tcBorders>
              <w:right w:val="dashSmallGap" w:sz="4" w:space="0" w:color="auto"/>
            </w:tcBorders>
            <w:shd w:val="clear" w:color="auto" w:fill="auto"/>
            <w:textDirection w:val="btLr"/>
            <w:vAlign w:val="center"/>
          </w:tcPr>
          <w:p w14:paraId="5D1CAC63" w14:textId="77777777" w:rsidR="00C4624A" w:rsidRPr="002D52A1" w:rsidRDefault="00C4624A" w:rsidP="00461AA0">
            <w:pPr>
              <w:ind w:left="113" w:right="113"/>
              <w:jc w:val="center"/>
              <w:rPr>
                <w:noProof/>
                <w:sz w:val="18"/>
                <w:szCs w:val="18"/>
              </w:rPr>
            </w:pPr>
            <w:r w:rsidRPr="002D52A1">
              <w:rPr>
                <w:noProof/>
                <w:sz w:val="18"/>
              </w:rPr>
              <w:t>Počet</w:t>
            </w:r>
          </w:p>
        </w:tc>
        <w:tc>
          <w:tcPr>
            <w:tcW w:w="706" w:type="dxa"/>
            <w:tcBorders>
              <w:left w:val="dashSmallGap" w:sz="4" w:space="0" w:color="auto"/>
            </w:tcBorders>
            <w:shd w:val="clear" w:color="auto" w:fill="auto"/>
            <w:vAlign w:val="center"/>
          </w:tcPr>
          <w:p w14:paraId="300E2D9A" w14:textId="77777777" w:rsidR="00C4624A" w:rsidRPr="002D52A1" w:rsidRDefault="00C4624A" w:rsidP="00461AA0">
            <w:pPr>
              <w:jc w:val="center"/>
              <w:rPr>
                <w:noProof/>
                <w:sz w:val="18"/>
                <w:szCs w:val="18"/>
              </w:rPr>
            </w:pPr>
            <w:r w:rsidRPr="002D52A1">
              <w:rPr>
                <w:noProof/>
                <w:sz w:val="18"/>
              </w:rPr>
              <w:t>Náklady</w:t>
            </w:r>
          </w:p>
        </w:tc>
        <w:tc>
          <w:tcPr>
            <w:tcW w:w="567" w:type="dxa"/>
            <w:tcBorders>
              <w:right w:val="dashSmallGap" w:sz="4" w:space="0" w:color="auto"/>
            </w:tcBorders>
            <w:shd w:val="clear" w:color="auto" w:fill="auto"/>
            <w:textDirection w:val="btLr"/>
            <w:vAlign w:val="center"/>
          </w:tcPr>
          <w:p w14:paraId="2AF84C68" w14:textId="77777777" w:rsidR="00C4624A" w:rsidRPr="002D52A1" w:rsidRDefault="00C4624A" w:rsidP="00461AA0">
            <w:pPr>
              <w:ind w:left="113" w:right="113"/>
              <w:jc w:val="center"/>
              <w:rPr>
                <w:noProof/>
                <w:sz w:val="18"/>
                <w:szCs w:val="18"/>
              </w:rPr>
            </w:pPr>
            <w:r w:rsidRPr="002D52A1">
              <w:rPr>
                <w:noProof/>
                <w:sz w:val="18"/>
              </w:rPr>
              <w:t>Počet</w:t>
            </w:r>
          </w:p>
        </w:tc>
        <w:tc>
          <w:tcPr>
            <w:tcW w:w="709" w:type="dxa"/>
            <w:gridSpan w:val="2"/>
            <w:tcBorders>
              <w:left w:val="dashSmallGap" w:sz="4" w:space="0" w:color="auto"/>
            </w:tcBorders>
            <w:shd w:val="clear" w:color="auto" w:fill="auto"/>
            <w:vAlign w:val="center"/>
          </w:tcPr>
          <w:p w14:paraId="1297F4FF" w14:textId="77777777" w:rsidR="00C4624A" w:rsidRPr="002D52A1" w:rsidRDefault="00C4624A" w:rsidP="00461AA0">
            <w:pPr>
              <w:jc w:val="center"/>
              <w:rPr>
                <w:noProof/>
                <w:sz w:val="18"/>
                <w:szCs w:val="18"/>
              </w:rPr>
            </w:pPr>
            <w:r w:rsidRPr="002D52A1">
              <w:rPr>
                <w:noProof/>
                <w:sz w:val="18"/>
              </w:rPr>
              <w:t>Náklady</w:t>
            </w:r>
          </w:p>
        </w:tc>
        <w:tc>
          <w:tcPr>
            <w:tcW w:w="425" w:type="dxa"/>
            <w:tcBorders>
              <w:right w:val="dashSmallGap" w:sz="4" w:space="0" w:color="auto"/>
            </w:tcBorders>
            <w:shd w:val="clear" w:color="auto" w:fill="auto"/>
            <w:textDirection w:val="btLr"/>
            <w:vAlign w:val="center"/>
          </w:tcPr>
          <w:p w14:paraId="6A9E8B7D" w14:textId="77777777" w:rsidR="00C4624A" w:rsidRPr="002D52A1" w:rsidRDefault="00C4624A" w:rsidP="00461AA0">
            <w:pPr>
              <w:ind w:left="113" w:right="113"/>
              <w:jc w:val="center"/>
              <w:rPr>
                <w:noProof/>
                <w:sz w:val="18"/>
                <w:szCs w:val="18"/>
              </w:rPr>
            </w:pPr>
            <w:r w:rsidRPr="002D52A1">
              <w:rPr>
                <w:noProof/>
                <w:sz w:val="18"/>
              </w:rPr>
              <w:t>Počet</w:t>
            </w:r>
          </w:p>
        </w:tc>
        <w:tc>
          <w:tcPr>
            <w:tcW w:w="851" w:type="dxa"/>
            <w:gridSpan w:val="2"/>
            <w:tcBorders>
              <w:left w:val="dashSmallGap" w:sz="4" w:space="0" w:color="auto"/>
            </w:tcBorders>
            <w:shd w:val="clear" w:color="auto" w:fill="auto"/>
            <w:vAlign w:val="center"/>
          </w:tcPr>
          <w:p w14:paraId="5F5A24BB" w14:textId="77777777" w:rsidR="00C4624A" w:rsidRPr="002D52A1" w:rsidRDefault="00C4624A" w:rsidP="00461AA0">
            <w:pPr>
              <w:jc w:val="center"/>
              <w:rPr>
                <w:noProof/>
                <w:sz w:val="18"/>
                <w:szCs w:val="18"/>
              </w:rPr>
            </w:pPr>
            <w:r w:rsidRPr="002D52A1">
              <w:rPr>
                <w:noProof/>
                <w:sz w:val="18"/>
              </w:rPr>
              <w:t>Náklady</w:t>
            </w:r>
          </w:p>
        </w:tc>
        <w:tc>
          <w:tcPr>
            <w:tcW w:w="522" w:type="dxa"/>
            <w:tcBorders>
              <w:right w:val="dashSmallGap" w:sz="4" w:space="0" w:color="auto"/>
            </w:tcBorders>
            <w:shd w:val="clear" w:color="auto" w:fill="auto"/>
            <w:vAlign w:val="center"/>
          </w:tcPr>
          <w:p w14:paraId="20401079" w14:textId="77777777" w:rsidR="00C4624A" w:rsidRPr="002D52A1" w:rsidRDefault="00C4624A" w:rsidP="00461AA0">
            <w:pPr>
              <w:jc w:val="center"/>
              <w:rPr>
                <w:noProof/>
                <w:sz w:val="18"/>
                <w:szCs w:val="18"/>
              </w:rPr>
            </w:pPr>
            <w:r w:rsidRPr="002D52A1">
              <w:rPr>
                <w:noProof/>
                <w:sz w:val="18"/>
              </w:rPr>
              <w:t>Počet spolu</w:t>
            </w:r>
          </w:p>
        </w:tc>
        <w:tc>
          <w:tcPr>
            <w:tcW w:w="900" w:type="dxa"/>
            <w:tcBorders>
              <w:left w:val="dashSmallGap" w:sz="4" w:space="0" w:color="auto"/>
            </w:tcBorders>
            <w:shd w:val="clear" w:color="auto" w:fill="auto"/>
            <w:vAlign w:val="center"/>
          </w:tcPr>
          <w:p w14:paraId="54C4B312" w14:textId="77777777" w:rsidR="00C4624A" w:rsidRPr="002D52A1" w:rsidRDefault="00C4624A" w:rsidP="00461AA0">
            <w:pPr>
              <w:jc w:val="center"/>
              <w:rPr>
                <w:noProof/>
                <w:sz w:val="18"/>
                <w:szCs w:val="18"/>
              </w:rPr>
            </w:pPr>
            <w:r w:rsidRPr="002D52A1">
              <w:rPr>
                <w:noProof/>
                <w:sz w:val="18"/>
              </w:rPr>
              <w:t>Náklady spolu</w:t>
            </w:r>
          </w:p>
        </w:tc>
      </w:tr>
      <w:tr w:rsidR="00C4624A" w:rsidRPr="002D52A1" w14:paraId="3843B85D" w14:textId="77777777" w:rsidTr="00461AA0">
        <w:trPr>
          <w:jc w:val="center"/>
        </w:trPr>
        <w:tc>
          <w:tcPr>
            <w:tcW w:w="2689" w:type="dxa"/>
            <w:gridSpan w:val="2"/>
            <w:vAlign w:val="center"/>
          </w:tcPr>
          <w:p w14:paraId="113DAC21" w14:textId="0A9D8512" w:rsidR="00C4624A" w:rsidRPr="002D52A1" w:rsidRDefault="00C4624A" w:rsidP="00461AA0">
            <w:pPr>
              <w:spacing w:before="60" w:after="60"/>
              <w:ind w:right="-29"/>
              <w:jc w:val="center"/>
              <w:rPr>
                <w:noProof/>
                <w:sz w:val="18"/>
                <w:szCs w:val="18"/>
              </w:rPr>
            </w:pPr>
            <w:r w:rsidRPr="002D52A1">
              <w:rPr>
                <w:noProof/>
                <w:sz w:val="18"/>
              </w:rPr>
              <w:t xml:space="preserve">ŠPECIFICKÝ CIEĽ </w:t>
            </w:r>
            <w:r w:rsidR="002D52A1">
              <w:rPr>
                <w:noProof/>
                <w:sz w:val="18"/>
              </w:rPr>
              <w:t>č. </w:t>
            </w:r>
            <w:r w:rsidRPr="002D52A1">
              <w:rPr>
                <w:noProof/>
                <w:sz w:val="18"/>
              </w:rPr>
              <w:t>1</w:t>
            </w:r>
            <w:r w:rsidRPr="002D52A1">
              <w:rPr>
                <w:rStyle w:val="FootnoteReference"/>
                <w:noProof/>
                <w:sz w:val="18"/>
                <w:szCs w:val="18"/>
              </w:rPr>
              <w:footnoteReference w:id="42"/>
            </w:r>
            <w:r w:rsidRPr="002D52A1">
              <w:rPr>
                <w:noProof/>
                <w:sz w:val="18"/>
              </w:rPr>
              <w:t>…</w:t>
            </w:r>
          </w:p>
        </w:tc>
        <w:tc>
          <w:tcPr>
            <w:tcW w:w="659" w:type="dxa"/>
            <w:tcBorders>
              <w:top w:val="nil"/>
              <w:left w:val="nil"/>
              <w:bottom w:val="nil"/>
              <w:right w:val="nil"/>
            </w:tcBorders>
          </w:tcPr>
          <w:p w14:paraId="060133AD" w14:textId="77777777" w:rsidR="00C4624A" w:rsidRPr="002D52A1" w:rsidRDefault="00C4624A" w:rsidP="00461AA0">
            <w:pPr>
              <w:spacing w:before="60" w:after="60"/>
              <w:ind w:right="-29"/>
              <w:jc w:val="center"/>
              <w:rPr>
                <w:noProof/>
                <w:sz w:val="18"/>
                <w:szCs w:val="18"/>
              </w:rPr>
            </w:pPr>
          </w:p>
        </w:tc>
        <w:tc>
          <w:tcPr>
            <w:tcW w:w="616" w:type="dxa"/>
            <w:tcBorders>
              <w:top w:val="nil"/>
              <w:left w:val="nil"/>
              <w:bottom w:val="nil"/>
              <w:right w:val="nil"/>
            </w:tcBorders>
          </w:tcPr>
          <w:p w14:paraId="77282479" w14:textId="77777777" w:rsidR="00C4624A" w:rsidRPr="002D52A1" w:rsidRDefault="00C4624A" w:rsidP="00461AA0">
            <w:pPr>
              <w:spacing w:before="60" w:after="60"/>
              <w:ind w:right="-29"/>
              <w:jc w:val="center"/>
              <w:rPr>
                <w:noProof/>
                <w:sz w:val="18"/>
                <w:szCs w:val="18"/>
              </w:rPr>
            </w:pPr>
          </w:p>
        </w:tc>
        <w:tc>
          <w:tcPr>
            <w:tcW w:w="644" w:type="dxa"/>
            <w:tcBorders>
              <w:top w:val="nil"/>
              <w:left w:val="nil"/>
              <w:bottom w:val="nil"/>
              <w:right w:val="nil"/>
            </w:tcBorders>
          </w:tcPr>
          <w:p w14:paraId="5A0C31BD" w14:textId="77777777" w:rsidR="00C4624A" w:rsidRPr="002D52A1" w:rsidRDefault="00C4624A" w:rsidP="00461AA0">
            <w:pPr>
              <w:spacing w:before="60" w:after="60"/>
              <w:ind w:right="-29"/>
              <w:jc w:val="center"/>
              <w:rPr>
                <w:noProof/>
                <w:sz w:val="18"/>
                <w:szCs w:val="18"/>
              </w:rPr>
            </w:pPr>
          </w:p>
        </w:tc>
        <w:tc>
          <w:tcPr>
            <w:tcW w:w="720" w:type="dxa"/>
            <w:tcBorders>
              <w:top w:val="nil"/>
              <w:left w:val="nil"/>
              <w:bottom w:val="nil"/>
              <w:right w:val="nil"/>
            </w:tcBorders>
          </w:tcPr>
          <w:p w14:paraId="20DCFC33" w14:textId="77777777" w:rsidR="00C4624A" w:rsidRPr="002D52A1" w:rsidRDefault="00C4624A" w:rsidP="00461AA0">
            <w:pPr>
              <w:spacing w:before="60" w:after="60"/>
              <w:ind w:right="-29"/>
              <w:jc w:val="center"/>
              <w:rPr>
                <w:noProof/>
                <w:sz w:val="18"/>
                <w:szCs w:val="18"/>
              </w:rPr>
            </w:pPr>
          </w:p>
        </w:tc>
        <w:tc>
          <w:tcPr>
            <w:tcW w:w="720" w:type="dxa"/>
            <w:gridSpan w:val="2"/>
            <w:tcBorders>
              <w:top w:val="nil"/>
              <w:left w:val="nil"/>
              <w:bottom w:val="nil"/>
              <w:right w:val="nil"/>
            </w:tcBorders>
          </w:tcPr>
          <w:p w14:paraId="58C3F084" w14:textId="77777777" w:rsidR="00C4624A" w:rsidRPr="002D52A1" w:rsidRDefault="00C4624A" w:rsidP="00461AA0">
            <w:pPr>
              <w:spacing w:before="60" w:after="60"/>
              <w:ind w:right="-29"/>
              <w:jc w:val="center"/>
              <w:rPr>
                <w:noProof/>
                <w:sz w:val="18"/>
                <w:szCs w:val="18"/>
              </w:rPr>
            </w:pPr>
          </w:p>
        </w:tc>
        <w:tc>
          <w:tcPr>
            <w:tcW w:w="720" w:type="dxa"/>
            <w:tcBorders>
              <w:top w:val="nil"/>
              <w:left w:val="nil"/>
              <w:bottom w:val="nil"/>
              <w:right w:val="nil"/>
            </w:tcBorders>
          </w:tcPr>
          <w:p w14:paraId="6FEED66F" w14:textId="77777777" w:rsidR="00C4624A" w:rsidRPr="002D52A1" w:rsidRDefault="00C4624A" w:rsidP="00461AA0">
            <w:pPr>
              <w:spacing w:before="60" w:after="60"/>
              <w:ind w:right="-29"/>
              <w:jc w:val="center"/>
              <w:rPr>
                <w:noProof/>
                <w:sz w:val="18"/>
                <w:szCs w:val="18"/>
              </w:rPr>
            </w:pPr>
          </w:p>
        </w:tc>
        <w:tc>
          <w:tcPr>
            <w:tcW w:w="900" w:type="dxa"/>
            <w:gridSpan w:val="2"/>
            <w:tcBorders>
              <w:top w:val="nil"/>
              <w:left w:val="nil"/>
              <w:bottom w:val="nil"/>
              <w:right w:val="nil"/>
            </w:tcBorders>
          </w:tcPr>
          <w:p w14:paraId="38A56267" w14:textId="77777777" w:rsidR="00C4624A" w:rsidRPr="002D52A1" w:rsidRDefault="00C4624A" w:rsidP="00461AA0">
            <w:pPr>
              <w:spacing w:before="60" w:after="60"/>
              <w:ind w:right="-29"/>
              <w:jc w:val="center"/>
              <w:rPr>
                <w:noProof/>
                <w:sz w:val="18"/>
                <w:szCs w:val="18"/>
              </w:rPr>
            </w:pPr>
          </w:p>
        </w:tc>
        <w:tc>
          <w:tcPr>
            <w:tcW w:w="691" w:type="dxa"/>
            <w:tcBorders>
              <w:top w:val="nil"/>
              <w:left w:val="nil"/>
              <w:bottom w:val="nil"/>
              <w:right w:val="nil"/>
            </w:tcBorders>
          </w:tcPr>
          <w:p w14:paraId="3BBCC97B" w14:textId="77777777" w:rsidR="00C4624A" w:rsidRPr="002D52A1" w:rsidRDefault="00C4624A" w:rsidP="00461AA0">
            <w:pPr>
              <w:spacing w:before="60" w:after="60"/>
              <w:ind w:right="-29"/>
              <w:jc w:val="center"/>
              <w:rPr>
                <w:noProof/>
                <w:sz w:val="18"/>
                <w:szCs w:val="18"/>
              </w:rPr>
            </w:pPr>
          </w:p>
        </w:tc>
        <w:tc>
          <w:tcPr>
            <w:tcW w:w="569" w:type="dxa"/>
            <w:tcBorders>
              <w:top w:val="nil"/>
              <w:left w:val="nil"/>
              <w:bottom w:val="nil"/>
              <w:right w:val="nil"/>
            </w:tcBorders>
          </w:tcPr>
          <w:p w14:paraId="548A5923" w14:textId="77777777" w:rsidR="00C4624A" w:rsidRPr="002D52A1" w:rsidRDefault="00C4624A" w:rsidP="00461AA0">
            <w:pPr>
              <w:spacing w:before="60" w:after="60"/>
              <w:ind w:right="-29"/>
              <w:jc w:val="center"/>
              <w:rPr>
                <w:noProof/>
                <w:sz w:val="18"/>
                <w:szCs w:val="18"/>
              </w:rPr>
            </w:pPr>
          </w:p>
        </w:tc>
        <w:tc>
          <w:tcPr>
            <w:tcW w:w="706" w:type="dxa"/>
            <w:tcBorders>
              <w:top w:val="nil"/>
              <w:left w:val="nil"/>
              <w:bottom w:val="nil"/>
              <w:right w:val="nil"/>
            </w:tcBorders>
          </w:tcPr>
          <w:p w14:paraId="5A8A6B4E" w14:textId="77777777" w:rsidR="00C4624A" w:rsidRPr="002D52A1" w:rsidRDefault="00C4624A" w:rsidP="00461AA0">
            <w:pPr>
              <w:spacing w:before="60" w:after="60"/>
              <w:ind w:right="-29"/>
              <w:jc w:val="center"/>
              <w:rPr>
                <w:noProof/>
                <w:sz w:val="18"/>
                <w:szCs w:val="18"/>
              </w:rPr>
            </w:pPr>
          </w:p>
        </w:tc>
        <w:tc>
          <w:tcPr>
            <w:tcW w:w="567" w:type="dxa"/>
            <w:tcBorders>
              <w:top w:val="nil"/>
              <w:left w:val="nil"/>
              <w:bottom w:val="nil"/>
              <w:right w:val="nil"/>
            </w:tcBorders>
          </w:tcPr>
          <w:p w14:paraId="0B437624" w14:textId="77777777" w:rsidR="00C4624A" w:rsidRPr="002D52A1" w:rsidRDefault="00C4624A" w:rsidP="00461AA0">
            <w:pPr>
              <w:spacing w:before="60" w:after="60"/>
              <w:ind w:right="-29"/>
              <w:jc w:val="center"/>
              <w:rPr>
                <w:noProof/>
                <w:sz w:val="18"/>
                <w:szCs w:val="18"/>
              </w:rPr>
            </w:pPr>
          </w:p>
        </w:tc>
        <w:tc>
          <w:tcPr>
            <w:tcW w:w="709" w:type="dxa"/>
            <w:gridSpan w:val="2"/>
            <w:tcBorders>
              <w:top w:val="nil"/>
              <w:left w:val="nil"/>
              <w:bottom w:val="nil"/>
              <w:right w:val="nil"/>
            </w:tcBorders>
          </w:tcPr>
          <w:p w14:paraId="3617FEA6" w14:textId="77777777" w:rsidR="00C4624A" w:rsidRPr="002D52A1" w:rsidRDefault="00C4624A" w:rsidP="00461AA0">
            <w:pPr>
              <w:spacing w:before="60" w:after="60"/>
              <w:ind w:right="-29"/>
              <w:jc w:val="center"/>
              <w:rPr>
                <w:noProof/>
                <w:sz w:val="18"/>
                <w:szCs w:val="18"/>
              </w:rPr>
            </w:pPr>
          </w:p>
        </w:tc>
        <w:tc>
          <w:tcPr>
            <w:tcW w:w="425" w:type="dxa"/>
            <w:tcBorders>
              <w:top w:val="nil"/>
              <w:left w:val="nil"/>
              <w:bottom w:val="nil"/>
              <w:right w:val="nil"/>
            </w:tcBorders>
          </w:tcPr>
          <w:p w14:paraId="5190E94A" w14:textId="77777777" w:rsidR="00C4624A" w:rsidRPr="002D52A1" w:rsidRDefault="00C4624A" w:rsidP="00461AA0">
            <w:pPr>
              <w:spacing w:before="60" w:after="60"/>
              <w:ind w:right="-29"/>
              <w:jc w:val="center"/>
              <w:rPr>
                <w:noProof/>
                <w:sz w:val="18"/>
                <w:szCs w:val="18"/>
              </w:rPr>
            </w:pPr>
          </w:p>
        </w:tc>
        <w:tc>
          <w:tcPr>
            <w:tcW w:w="851" w:type="dxa"/>
            <w:gridSpan w:val="2"/>
            <w:tcBorders>
              <w:top w:val="nil"/>
              <w:left w:val="nil"/>
              <w:bottom w:val="nil"/>
              <w:right w:val="nil"/>
            </w:tcBorders>
          </w:tcPr>
          <w:p w14:paraId="3F52A48F" w14:textId="77777777" w:rsidR="00C4624A" w:rsidRPr="002D52A1" w:rsidRDefault="00C4624A" w:rsidP="00461AA0">
            <w:pPr>
              <w:spacing w:before="60" w:after="60"/>
              <w:ind w:right="-29"/>
              <w:jc w:val="center"/>
              <w:rPr>
                <w:noProof/>
                <w:sz w:val="18"/>
                <w:szCs w:val="18"/>
              </w:rPr>
            </w:pPr>
          </w:p>
        </w:tc>
        <w:tc>
          <w:tcPr>
            <w:tcW w:w="522" w:type="dxa"/>
            <w:tcBorders>
              <w:top w:val="nil"/>
              <w:left w:val="nil"/>
              <w:bottom w:val="nil"/>
              <w:right w:val="nil"/>
            </w:tcBorders>
          </w:tcPr>
          <w:p w14:paraId="607FD245" w14:textId="77777777" w:rsidR="00C4624A" w:rsidRPr="002D52A1" w:rsidRDefault="00C4624A" w:rsidP="00461AA0">
            <w:pPr>
              <w:spacing w:before="60" w:after="60"/>
              <w:ind w:right="-29"/>
              <w:jc w:val="center"/>
              <w:rPr>
                <w:noProof/>
                <w:sz w:val="18"/>
                <w:szCs w:val="18"/>
              </w:rPr>
            </w:pPr>
          </w:p>
        </w:tc>
        <w:tc>
          <w:tcPr>
            <w:tcW w:w="900" w:type="dxa"/>
            <w:tcBorders>
              <w:top w:val="nil"/>
              <w:left w:val="nil"/>
              <w:bottom w:val="nil"/>
              <w:right w:val="nil"/>
            </w:tcBorders>
          </w:tcPr>
          <w:p w14:paraId="22B2967B" w14:textId="77777777" w:rsidR="00C4624A" w:rsidRPr="002D52A1" w:rsidRDefault="00C4624A" w:rsidP="00461AA0">
            <w:pPr>
              <w:spacing w:before="60" w:after="60"/>
              <w:ind w:right="-29"/>
              <w:jc w:val="center"/>
              <w:rPr>
                <w:noProof/>
                <w:sz w:val="18"/>
                <w:szCs w:val="18"/>
              </w:rPr>
            </w:pPr>
          </w:p>
        </w:tc>
      </w:tr>
      <w:tr w:rsidR="00C4624A" w:rsidRPr="002D52A1" w14:paraId="6C7FC6D9" w14:textId="77777777" w:rsidTr="00461AA0">
        <w:trPr>
          <w:trHeight w:val="990"/>
          <w:jc w:val="center"/>
        </w:trPr>
        <w:tc>
          <w:tcPr>
            <w:tcW w:w="1423" w:type="dxa"/>
          </w:tcPr>
          <w:p w14:paraId="19048CCC" w14:textId="77777777" w:rsidR="00C4624A" w:rsidRPr="002D52A1" w:rsidRDefault="00C4624A" w:rsidP="00461AA0">
            <w:pPr>
              <w:ind w:right="-29"/>
              <w:jc w:val="center"/>
              <w:rPr>
                <w:noProof/>
                <w:sz w:val="18"/>
                <w:szCs w:val="18"/>
              </w:rPr>
            </w:pPr>
            <w:r w:rsidRPr="002D52A1">
              <w:rPr>
                <w:noProof/>
                <w:sz w:val="18"/>
              </w:rPr>
              <w:t>‒ Výstup</w:t>
            </w:r>
          </w:p>
        </w:tc>
        <w:tc>
          <w:tcPr>
            <w:tcW w:w="1266" w:type="dxa"/>
            <w:vAlign w:val="center"/>
          </w:tcPr>
          <w:p w14:paraId="5E9A2CBF" w14:textId="77777777" w:rsidR="00C4624A" w:rsidRPr="002D52A1" w:rsidRDefault="00C4624A" w:rsidP="00461AA0">
            <w:pPr>
              <w:ind w:right="-29"/>
              <w:jc w:val="center"/>
              <w:rPr>
                <w:noProof/>
                <w:sz w:val="18"/>
                <w:szCs w:val="18"/>
              </w:rPr>
            </w:pPr>
            <w:r w:rsidRPr="002D52A1">
              <w:rPr>
                <w:noProof/>
                <w:sz w:val="20"/>
              </w:rPr>
              <w:t>Vyplatenie grantov</w:t>
            </w:r>
          </w:p>
        </w:tc>
        <w:tc>
          <w:tcPr>
            <w:tcW w:w="659" w:type="dxa"/>
            <w:tcBorders>
              <w:right w:val="dashSmallGap" w:sz="4" w:space="0" w:color="auto"/>
            </w:tcBorders>
          </w:tcPr>
          <w:p w14:paraId="5BB395E5" w14:textId="77777777" w:rsidR="00C4624A" w:rsidRPr="002D52A1" w:rsidRDefault="00C4624A" w:rsidP="00461AA0">
            <w:pPr>
              <w:ind w:right="-29"/>
              <w:jc w:val="center"/>
              <w:rPr>
                <w:noProof/>
                <w:sz w:val="18"/>
                <w:szCs w:val="18"/>
              </w:rPr>
            </w:pPr>
          </w:p>
        </w:tc>
        <w:tc>
          <w:tcPr>
            <w:tcW w:w="616" w:type="dxa"/>
            <w:tcBorders>
              <w:left w:val="dashSmallGap" w:sz="4" w:space="0" w:color="auto"/>
            </w:tcBorders>
          </w:tcPr>
          <w:p w14:paraId="138A4B5C" w14:textId="77777777" w:rsidR="00C4624A" w:rsidRPr="002D52A1" w:rsidRDefault="00C4624A" w:rsidP="00461AA0">
            <w:pPr>
              <w:ind w:right="-29"/>
              <w:jc w:val="center"/>
              <w:rPr>
                <w:noProof/>
                <w:sz w:val="18"/>
                <w:szCs w:val="18"/>
              </w:rPr>
            </w:pPr>
          </w:p>
        </w:tc>
        <w:tc>
          <w:tcPr>
            <w:tcW w:w="644" w:type="dxa"/>
            <w:tcBorders>
              <w:right w:val="dashSmallGap" w:sz="4" w:space="0" w:color="auto"/>
            </w:tcBorders>
          </w:tcPr>
          <w:p w14:paraId="3B79C1BE" w14:textId="77777777" w:rsidR="00C4624A" w:rsidRPr="002D52A1" w:rsidRDefault="00C4624A" w:rsidP="00461AA0">
            <w:pPr>
              <w:ind w:right="-29"/>
              <w:jc w:val="center"/>
              <w:rPr>
                <w:noProof/>
                <w:sz w:val="18"/>
                <w:szCs w:val="18"/>
              </w:rPr>
            </w:pPr>
          </w:p>
        </w:tc>
        <w:tc>
          <w:tcPr>
            <w:tcW w:w="720" w:type="dxa"/>
            <w:tcBorders>
              <w:left w:val="dashSmallGap" w:sz="4" w:space="0" w:color="auto"/>
            </w:tcBorders>
          </w:tcPr>
          <w:p w14:paraId="490A6E24" w14:textId="77777777" w:rsidR="00C4624A" w:rsidRPr="002D52A1" w:rsidRDefault="00C4624A" w:rsidP="00461AA0">
            <w:pPr>
              <w:ind w:right="-29"/>
              <w:jc w:val="center"/>
              <w:rPr>
                <w:noProof/>
                <w:sz w:val="18"/>
                <w:szCs w:val="18"/>
              </w:rPr>
            </w:pPr>
          </w:p>
        </w:tc>
        <w:tc>
          <w:tcPr>
            <w:tcW w:w="720" w:type="dxa"/>
            <w:gridSpan w:val="2"/>
            <w:tcBorders>
              <w:right w:val="dashSmallGap" w:sz="4" w:space="0" w:color="auto"/>
            </w:tcBorders>
          </w:tcPr>
          <w:p w14:paraId="303025EF" w14:textId="77777777" w:rsidR="00C4624A" w:rsidRPr="002D52A1" w:rsidRDefault="00C4624A" w:rsidP="00461AA0">
            <w:pPr>
              <w:ind w:right="-29"/>
              <w:jc w:val="center"/>
              <w:rPr>
                <w:noProof/>
                <w:sz w:val="18"/>
                <w:szCs w:val="18"/>
              </w:rPr>
            </w:pPr>
          </w:p>
        </w:tc>
        <w:tc>
          <w:tcPr>
            <w:tcW w:w="720" w:type="dxa"/>
            <w:tcBorders>
              <w:left w:val="dashSmallGap" w:sz="4" w:space="0" w:color="auto"/>
            </w:tcBorders>
          </w:tcPr>
          <w:p w14:paraId="422C06E9" w14:textId="77777777" w:rsidR="00C4624A" w:rsidRPr="002D52A1" w:rsidRDefault="00C4624A" w:rsidP="00461AA0">
            <w:pPr>
              <w:ind w:right="-29"/>
              <w:jc w:val="center"/>
              <w:rPr>
                <w:noProof/>
                <w:sz w:val="18"/>
                <w:szCs w:val="18"/>
              </w:rPr>
            </w:pPr>
            <w:r w:rsidRPr="002D52A1">
              <w:rPr>
                <w:noProof/>
                <w:sz w:val="18"/>
              </w:rPr>
              <w:t>170,0</w:t>
            </w:r>
          </w:p>
        </w:tc>
        <w:tc>
          <w:tcPr>
            <w:tcW w:w="900" w:type="dxa"/>
            <w:gridSpan w:val="2"/>
            <w:tcBorders>
              <w:right w:val="dashSmallGap" w:sz="4" w:space="0" w:color="auto"/>
            </w:tcBorders>
          </w:tcPr>
          <w:p w14:paraId="2E11DE41" w14:textId="77777777" w:rsidR="00C4624A" w:rsidRPr="002D52A1" w:rsidRDefault="00C4624A" w:rsidP="00461AA0">
            <w:pPr>
              <w:ind w:right="-29"/>
              <w:jc w:val="center"/>
              <w:rPr>
                <w:noProof/>
                <w:sz w:val="18"/>
                <w:szCs w:val="18"/>
              </w:rPr>
            </w:pPr>
          </w:p>
        </w:tc>
        <w:tc>
          <w:tcPr>
            <w:tcW w:w="691" w:type="dxa"/>
            <w:tcBorders>
              <w:left w:val="dashSmallGap" w:sz="4" w:space="0" w:color="auto"/>
            </w:tcBorders>
          </w:tcPr>
          <w:p w14:paraId="7E8833A2" w14:textId="77777777" w:rsidR="00C4624A" w:rsidRPr="002D52A1" w:rsidRDefault="00C4624A" w:rsidP="00461AA0">
            <w:pPr>
              <w:ind w:right="-29"/>
              <w:jc w:val="center"/>
              <w:rPr>
                <w:noProof/>
                <w:sz w:val="18"/>
                <w:szCs w:val="18"/>
              </w:rPr>
            </w:pPr>
            <w:r w:rsidRPr="002D52A1">
              <w:rPr>
                <w:noProof/>
                <w:sz w:val="18"/>
              </w:rPr>
              <w:t>170,0</w:t>
            </w:r>
          </w:p>
        </w:tc>
        <w:tc>
          <w:tcPr>
            <w:tcW w:w="569" w:type="dxa"/>
            <w:tcBorders>
              <w:right w:val="dashSmallGap" w:sz="4" w:space="0" w:color="auto"/>
            </w:tcBorders>
          </w:tcPr>
          <w:p w14:paraId="4A31CDC1" w14:textId="77777777" w:rsidR="00C4624A" w:rsidRPr="002D52A1" w:rsidRDefault="00C4624A" w:rsidP="00461AA0">
            <w:pPr>
              <w:ind w:right="-29"/>
              <w:jc w:val="center"/>
              <w:rPr>
                <w:noProof/>
                <w:sz w:val="18"/>
                <w:szCs w:val="18"/>
              </w:rPr>
            </w:pPr>
          </w:p>
        </w:tc>
        <w:tc>
          <w:tcPr>
            <w:tcW w:w="706" w:type="dxa"/>
            <w:tcBorders>
              <w:left w:val="dashSmallGap" w:sz="4" w:space="0" w:color="auto"/>
            </w:tcBorders>
          </w:tcPr>
          <w:p w14:paraId="73AF4159" w14:textId="77777777" w:rsidR="00C4624A" w:rsidRPr="002D52A1" w:rsidRDefault="00C4624A" w:rsidP="00461AA0">
            <w:pPr>
              <w:ind w:right="-29"/>
              <w:jc w:val="center"/>
              <w:rPr>
                <w:noProof/>
                <w:sz w:val="18"/>
                <w:szCs w:val="18"/>
              </w:rPr>
            </w:pPr>
            <w:r w:rsidRPr="002D52A1">
              <w:rPr>
                <w:noProof/>
                <w:sz w:val="18"/>
              </w:rPr>
              <w:t>170,0</w:t>
            </w:r>
          </w:p>
        </w:tc>
        <w:tc>
          <w:tcPr>
            <w:tcW w:w="567" w:type="dxa"/>
            <w:tcBorders>
              <w:right w:val="dashSmallGap" w:sz="4" w:space="0" w:color="auto"/>
            </w:tcBorders>
          </w:tcPr>
          <w:p w14:paraId="256AE42D" w14:textId="77777777" w:rsidR="00C4624A" w:rsidRPr="002D52A1" w:rsidRDefault="00C4624A" w:rsidP="00461AA0">
            <w:pPr>
              <w:ind w:right="-29"/>
              <w:jc w:val="center"/>
              <w:rPr>
                <w:noProof/>
                <w:sz w:val="18"/>
                <w:szCs w:val="18"/>
              </w:rPr>
            </w:pPr>
          </w:p>
        </w:tc>
        <w:tc>
          <w:tcPr>
            <w:tcW w:w="709" w:type="dxa"/>
            <w:gridSpan w:val="2"/>
            <w:tcBorders>
              <w:left w:val="dashSmallGap" w:sz="4" w:space="0" w:color="auto"/>
            </w:tcBorders>
          </w:tcPr>
          <w:p w14:paraId="10C05B1B" w14:textId="77777777" w:rsidR="00C4624A" w:rsidRPr="002D52A1" w:rsidRDefault="00C4624A" w:rsidP="00461AA0">
            <w:pPr>
              <w:ind w:right="-29"/>
              <w:jc w:val="center"/>
              <w:rPr>
                <w:noProof/>
                <w:sz w:val="18"/>
                <w:szCs w:val="18"/>
              </w:rPr>
            </w:pPr>
            <w:r w:rsidRPr="002D52A1">
              <w:rPr>
                <w:noProof/>
                <w:sz w:val="18"/>
              </w:rPr>
              <w:t>170,0</w:t>
            </w:r>
          </w:p>
        </w:tc>
        <w:tc>
          <w:tcPr>
            <w:tcW w:w="425" w:type="dxa"/>
            <w:tcBorders>
              <w:right w:val="dashSmallGap" w:sz="4" w:space="0" w:color="auto"/>
            </w:tcBorders>
          </w:tcPr>
          <w:p w14:paraId="3E73DC99" w14:textId="77777777" w:rsidR="00C4624A" w:rsidRPr="002D52A1" w:rsidRDefault="00C4624A" w:rsidP="00461AA0">
            <w:pPr>
              <w:ind w:right="-29"/>
              <w:jc w:val="center"/>
              <w:rPr>
                <w:noProof/>
                <w:sz w:val="18"/>
                <w:szCs w:val="18"/>
              </w:rPr>
            </w:pPr>
          </w:p>
        </w:tc>
        <w:tc>
          <w:tcPr>
            <w:tcW w:w="851" w:type="dxa"/>
            <w:gridSpan w:val="2"/>
            <w:tcBorders>
              <w:left w:val="dashSmallGap" w:sz="4" w:space="0" w:color="auto"/>
            </w:tcBorders>
          </w:tcPr>
          <w:p w14:paraId="7DE29F7D" w14:textId="77777777" w:rsidR="00C4624A" w:rsidRPr="002D52A1" w:rsidRDefault="00C4624A" w:rsidP="00461AA0">
            <w:pPr>
              <w:ind w:right="-29"/>
              <w:jc w:val="center"/>
              <w:rPr>
                <w:noProof/>
                <w:sz w:val="18"/>
                <w:szCs w:val="18"/>
              </w:rPr>
            </w:pPr>
            <w:r w:rsidRPr="002D52A1">
              <w:rPr>
                <w:noProof/>
                <w:sz w:val="18"/>
              </w:rPr>
              <w:t>170,0</w:t>
            </w:r>
          </w:p>
        </w:tc>
        <w:tc>
          <w:tcPr>
            <w:tcW w:w="522" w:type="dxa"/>
          </w:tcPr>
          <w:p w14:paraId="7A0D6A4E" w14:textId="77777777" w:rsidR="00C4624A" w:rsidRPr="002D52A1" w:rsidRDefault="00C4624A" w:rsidP="00461AA0">
            <w:pPr>
              <w:ind w:right="-29"/>
              <w:jc w:val="center"/>
              <w:rPr>
                <w:noProof/>
                <w:sz w:val="18"/>
                <w:szCs w:val="18"/>
              </w:rPr>
            </w:pPr>
          </w:p>
        </w:tc>
        <w:tc>
          <w:tcPr>
            <w:tcW w:w="900" w:type="dxa"/>
          </w:tcPr>
          <w:p w14:paraId="6FB421C0" w14:textId="77777777" w:rsidR="00C4624A" w:rsidRPr="002D52A1" w:rsidRDefault="00C4624A" w:rsidP="00461AA0">
            <w:pPr>
              <w:ind w:right="-29"/>
              <w:jc w:val="center"/>
              <w:rPr>
                <w:noProof/>
                <w:sz w:val="18"/>
                <w:szCs w:val="18"/>
              </w:rPr>
            </w:pPr>
            <w:r w:rsidRPr="002D52A1">
              <w:rPr>
                <w:noProof/>
                <w:sz w:val="18"/>
              </w:rPr>
              <w:t>850</w:t>
            </w:r>
          </w:p>
        </w:tc>
      </w:tr>
      <w:tr w:rsidR="00C4624A" w:rsidRPr="002D52A1" w14:paraId="20CA79FA" w14:textId="77777777" w:rsidTr="00461AA0">
        <w:trPr>
          <w:trHeight w:hRule="exact" w:val="848"/>
          <w:jc w:val="center"/>
        </w:trPr>
        <w:tc>
          <w:tcPr>
            <w:tcW w:w="1423" w:type="dxa"/>
          </w:tcPr>
          <w:p w14:paraId="7CFC55A9" w14:textId="77777777" w:rsidR="00C4624A" w:rsidRPr="002D52A1" w:rsidRDefault="00C4624A" w:rsidP="00461AA0">
            <w:pPr>
              <w:ind w:right="-29"/>
              <w:jc w:val="center"/>
              <w:rPr>
                <w:noProof/>
                <w:sz w:val="18"/>
                <w:szCs w:val="18"/>
              </w:rPr>
            </w:pPr>
            <w:r w:rsidRPr="002D52A1">
              <w:rPr>
                <w:noProof/>
                <w:sz w:val="18"/>
              </w:rPr>
              <w:t>‒ Výstup</w:t>
            </w:r>
          </w:p>
        </w:tc>
        <w:tc>
          <w:tcPr>
            <w:tcW w:w="1266" w:type="dxa"/>
            <w:vAlign w:val="center"/>
          </w:tcPr>
          <w:p w14:paraId="776F24B6" w14:textId="77777777" w:rsidR="00C4624A" w:rsidRPr="002D52A1" w:rsidRDefault="00C4624A" w:rsidP="00461AA0">
            <w:pPr>
              <w:ind w:right="-29"/>
              <w:jc w:val="center"/>
              <w:rPr>
                <w:noProof/>
                <w:sz w:val="18"/>
                <w:szCs w:val="18"/>
              </w:rPr>
            </w:pPr>
            <w:r w:rsidRPr="002D52A1">
              <w:rPr>
                <w:noProof/>
                <w:sz w:val="20"/>
              </w:rPr>
              <w:t>Tvorba rezerv na záruku pre vonkajšiu činnosť</w:t>
            </w:r>
          </w:p>
        </w:tc>
        <w:tc>
          <w:tcPr>
            <w:tcW w:w="659" w:type="dxa"/>
            <w:tcBorders>
              <w:right w:val="dashSmallGap" w:sz="4" w:space="0" w:color="auto"/>
            </w:tcBorders>
          </w:tcPr>
          <w:p w14:paraId="7DE03EBE" w14:textId="77777777" w:rsidR="00C4624A" w:rsidRPr="002D52A1" w:rsidRDefault="00C4624A" w:rsidP="00461AA0">
            <w:pPr>
              <w:ind w:right="-29"/>
              <w:jc w:val="center"/>
              <w:rPr>
                <w:noProof/>
                <w:sz w:val="18"/>
                <w:szCs w:val="18"/>
              </w:rPr>
            </w:pPr>
          </w:p>
        </w:tc>
        <w:tc>
          <w:tcPr>
            <w:tcW w:w="616" w:type="dxa"/>
            <w:tcBorders>
              <w:left w:val="dashSmallGap" w:sz="4" w:space="0" w:color="auto"/>
            </w:tcBorders>
          </w:tcPr>
          <w:p w14:paraId="1ED3FD21" w14:textId="77777777" w:rsidR="00C4624A" w:rsidRPr="002D52A1" w:rsidRDefault="00C4624A" w:rsidP="00461AA0">
            <w:pPr>
              <w:ind w:right="-29"/>
              <w:jc w:val="center"/>
              <w:rPr>
                <w:noProof/>
                <w:sz w:val="18"/>
                <w:szCs w:val="18"/>
              </w:rPr>
            </w:pPr>
            <w:r w:rsidRPr="002D52A1">
              <w:rPr>
                <w:noProof/>
                <w:sz w:val="18"/>
              </w:rPr>
              <w:t>27,3</w:t>
            </w:r>
          </w:p>
        </w:tc>
        <w:tc>
          <w:tcPr>
            <w:tcW w:w="644" w:type="dxa"/>
            <w:tcBorders>
              <w:right w:val="dashSmallGap" w:sz="4" w:space="0" w:color="auto"/>
            </w:tcBorders>
          </w:tcPr>
          <w:p w14:paraId="45A2A970" w14:textId="77777777" w:rsidR="00C4624A" w:rsidRPr="002D52A1" w:rsidRDefault="00C4624A" w:rsidP="00461AA0">
            <w:pPr>
              <w:ind w:right="-29"/>
              <w:jc w:val="center"/>
              <w:rPr>
                <w:noProof/>
                <w:sz w:val="18"/>
                <w:szCs w:val="18"/>
              </w:rPr>
            </w:pPr>
          </w:p>
        </w:tc>
        <w:tc>
          <w:tcPr>
            <w:tcW w:w="720" w:type="dxa"/>
            <w:tcBorders>
              <w:left w:val="dashSmallGap" w:sz="4" w:space="0" w:color="auto"/>
            </w:tcBorders>
          </w:tcPr>
          <w:p w14:paraId="0C4B0E59" w14:textId="0FD46A7A" w:rsidR="00C4624A" w:rsidRPr="002D52A1" w:rsidRDefault="00C4624A" w:rsidP="00461AA0">
            <w:pPr>
              <w:ind w:right="-29"/>
              <w:jc w:val="center"/>
              <w:rPr>
                <w:noProof/>
                <w:sz w:val="18"/>
                <w:szCs w:val="18"/>
              </w:rPr>
            </w:pPr>
            <w:r w:rsidRPr="002D52A1">
              <w:rPr>
                <w:noProof/>
                <w:sz w:val="18"/>
              </w:rPr>
              <w:t>125,2</w:t>
            </w:r>
          </w:p>
        </w:tc>
        <w:tc>
          <w:tcPr>
            <w:tcW w:w="720" w:type="dxa"/>
            <w:gridSpan w:val="2"/>
            <w:tcBorders>
              <w:right w:val="dashSmallGap" w:sz="4" w:space="0" w:color="auto"/>
            </w:tcBorders>
          </w:tcPr>
          <w:p w14:paraId="36722BF2" w14:textId="77777777" w:rsidR="00C4624A" w:rsidRPr="002D52A1" w:rsidRDefault="00C4624A" w:rsidP="00461AA0">
            <w:pPr>
              <w:ind w:right="-29"/>
              <w:jc w:val="center"/>
              <w:rPr>
                <w:noProof/>
                <w:sz w:val="18"/>
                <w:szCs w:val="18"/>
              </w:rPr>
            </w:pPr>
          </w:p>
        </w:tc>
        <w:tc>
          <w:tcPr>
            <w:tcW w:w="720" w:type="dxa"/>
            <w:tcBorders>
              <w:left w:val="dashSmallGap" w:sz="4" w:space="0" w:color="auto"/>
            </w:tcBorders>
          </w:tcPr>
          <w:p w14:paraId="550CC4EB" w14:textId="77777777" w:rsidR="00C4624A" w:rsidRPr="002D52A1" w:rsidRDefault="00C4624A" w:rsidP="00461AA0">
            <w:pPr>
              <w:ind w:right="-29"/>
              <w:jc w:val="center"/>
              <w:rPr>
                <w:noProof/>
                <w:sz w:val="18"/>
                <w:szCs w:val="18"/>
              </w:rPr>
            </w:pPr>
            <w:r w:rsidRPr="002D52A1">
              <w:rPr>
                <w:noProof/>
                <w:sz w:val="18"/>
              </w:rPr>
              <w:t>162,6</w:t>
            </w:r>
          </w:p>
        </w:tc>
        <w:tc>
          <w:tcPr>
            <w:tcW w:w="900" w:type="dxa"/>
            <w:gridSpan w:val="2"/>
            <w:tcBorders>
              <w:right w:val="dashSmallGap" w:sz="4" w:space="0" w:color="auto"/>
            </w:tcBorders>
          </w:tcPr>
          <w:p w14:paraId="65EB5BB0" w14:textId="77777777" w:rsidR="00C4624A" w:rsidRPr="002D52A1" w:rsidRDefault="00C4624A" w:rsidP="00461AA0">
            <w:pPr>
              <w:ind w:right="-29"/>
              <w:jc w:val="center"/>
              <w:rPr>
                <w:noProof/>
                <w:sz w:val="18"/>
                <w:szCs w:val="18"/>
              </w:rPr>
            </w:pPr>
          </w:p>
        </w:tc>
        <w:tc>
          <w:tcPr>
            <w:tcW w:w="691" w:type="dxa"/>
            <w:tcBorders>
              <w:left w:val="dashSmallGap" w:sz="4" w:space="0" w:color="auto"/>
            </w:tcBorders>
          </w:tcPr>
          <w:p w14:paraId="1129537F" w14:textId="77777777" w:rsidR="00C4624A" w:rsidRPr="002D52A1" w:rsidRDefault="00C4624A" w:rsidP="00461AA0">
            <w:pPr>
              <w:ind w:right="-29"/>
              <w:jc w:val="center"/>
              <w:rPr>
                <w:noProof/>
                <w:sz w:val="18"/>
                <w:szCs w:val="18"/>
              </w:rPr>
            </w:pPr>
            <w:r w:rsidRPr="002D52A1">
              <w:rPr>
                <w:noProof/>
                <w:sz w:val="18"/>
              </w:rPr>
              <w:t>32,5</w:t>
            </w:r>
          </w:p>
        </w:tc>
        <w:tc>
          <w:tcPr>
            <w:tcW w:w="569" w:type="dxa"/>
            <w:tcBorders>
              <w:right w:val="dashSmallGap" w:sz="4" w:space="0" w:color="auto"/>
            </w:tcBorders>
          </w:tcPr>
          <w:p w14:paraId="7974D978" w14:textId="77777777" w:rsidR="00C4624A" w:rsidRPr="002D52A1" w:rsidRDefault="00C4624A" w:rsidP="00461AA0">
            <w:pPr>
              <w:ind w:right="-29"/>
              <w:jc w:val="center"/>
              <w:rPr>
                <w:noProof/>
                <w:sz w:val="18"/>
                <w:szCs w:val="18"/>
              </w:rPr>
            </w:pPr>
          </w:p>
        </w:tc>
        <w:tc>
          <w:tcPr>
            <w:tcW w:w="706" w:type="dxa"/>
            <w:tcBorders>
              <w:left w:val="dashSmallGap" w:sz="4" w:space="0" w:color="auto"/>
            </w:tcBorders>
          </w:tcPr>
          <w:p w14:paraId="12C7C27D" w14:textId="77777777" w:rsidR="00C4624A" w:rsidRPr="002D52A1" w:rsidRDefault="00C4624A" w:rsidP="00461AA0">
            <w:pPr>
              <w:ind w:right="-29"/>
              <w:jc w:val="center"/>
              <w:rPr>
                <w:noProof/>
                <w:sz w:val="18"/>
                <w:szCs w:val="18"/>
              </w:rPr>
            </w:pPr>
            <w:r w:rsidRPr="002D52A1">
              <w:rPr>
                <w:noProof/>
                <w:sz w:val="18"/>
              </w:rPr>
              <w:t>513,46</w:t>
            </w:r>
          </w:p>
        </w:tc>
        <w:tc>
          <w:tcPr>
            <w:tcW w:w="567" w:type="dxa"/>
            <w:tcBorders>
              <w:right w:val="dashSmallGap" w:sz="4" w:space="0" w:color="auto"/>
            </w:tcBorders>
          </w:tcPr>
          <w:p w14:paraId="147CEC7C" w14:textId="77777777" w:rsidR="00C4624A" w:rsidRPr="002D52A1" w:rsidRDefault="00C4624A" w:rsidP="00461AA0">
            <w:pPr>
              <w:ind w:right="-29"/>
              <w:jc w:val="center"/>
              <w:rPr>
                <w:noProof/>
                <w:sz w:val="18"/>
                <w:szCs w:val="18"/>
              </w:rPr>
            </w:pPr>
          </w:p>
        </w:tc>
        <w:tc>
          <w:tcPr>
            <w:tcW w:w="709" w:type="dxa"/>
            <w:gridSpan w:val="2"/>
            <w:tcBorders>
              <w:left w:val="dashSmallGap" w:sz="4" w:space="0" w:color="auto"/>
            </w:tcBorders>
          </w:tcPr>
          <w:p w14:paraId="178917EF" w14:textId="77777777" w:rsidR="00C4624A" w:rsidRPr="002D52A1" w:rsidRDefault="00C4624A" w:rsidP="00461AA0">
            <w:pPr>
              <w:ind w:right="-29"/>
              <w:jc w:val="center"/>
              <w:rPr>
                <w:noProof/>
                <w:sz w:val="18"/>
                <w:szCs w:val="18"/>
              </w:rPr>
            </w:pPr>
            <w:r w:rsidRPr="002D52A1">
              <w:rPr>
                <w:noProof/>
                <w:sz w:val="18"/>
              </w:rPr>
              <w:t>419,16</w:t>
            </w:r>
          </w:p>
        </w:tc>
        <w:tc>
          <w:tcPr>
            <w:tcW w:w="425" w:type="dxa"/>
            <w:tcBorders>
              <w:right w:val="dashSmallGap" w:sz="4" w:space="0" w:color="auto"/>
            </w:tcBorders>
          </w:tcPr>
          <w:p w14:paraId="0167D8DC" w14:textId="77777777" w:rsidR="00C4624A" w:rsidRPr="002D52A1" w:rsidRDefault="00C4624A" w:rsidP="00461AA0">
            <w:pPr>
              <w:ind w:right="-29"/>
              <w:jc w:val="center"/>
              <w:rPr>
                <w:noProof/>
                <w:sz w:val="18"/>
                <w:szCs w:val="18"/>
              </w:rPr>
            </w:pPr>
          </w:p>
        </w:tc>
        <w:tc>
          <w:tcPr>
            <w:tcW w:w="851" w:type="dxa"/>
            <w:gridSpan w:val="2"/>
            <w:tcBorders>
              <w:left w:val="dashSmallGap" w:sz="4" w:space="0" w:color="auto"/>
            </w:tcBorders>
          </w:tcPr>
          <w:p w14:paraId="07F729C5" w14:textId="77777777" w:rsidR="00C4624A" w:rsidRPr="002D52A1" w:rsidRDefault="00C4624A" w:rsidP="00461AA0">
            <w:pPr>
              <w:ind w:right="-29"/>
              <w:jc w:val="center"/>
              <w:rPr>
                <w:noProof/>
                <w:sz w:val="18"/>
                <w:szCs w:val="18"/>
              </w:rPr>
            </w:pPr>
            <w:r w:rsidRPr="002D52A1">
              <w:rPr>
                <w:noProof/>
                <w:sz w:val="18"/>
              </w:rPr>
              <w:t>370,06</w:t>
            </w:r>
          </w:p>
        </w:tc>
        <w:tc>
          <w:tcPr>
            <w:tcW w:w="522" w:type="dxa"/>
          </w:tcPr>
          <w:p w14:paraId="300A26BC" w14:textId="77777777" w:rsidR="00C4624A" w:rsidRPr="002D52A1" w:rsidRDefault="00C4624A" w:rsidP="00461AA0">
            <w:pPr>
              <w:ind w:right="-29"/>
              <w:jc w:val="center"/>
              <w:rPr>
                <w:noProof/>
                <w:sz w:val="18"/>
                <w:szCs w:val="18"/>
              </w:rPr>
            </w:pPr>
          </w:p>
        </w:tc>
        <w:tc>
          <w:tcPr>
            <w:tcW w:w="900" w:type="dxa"/>
          </w:tcPr>
          <w:p w14:paraId="107CDA2C" w14:textId="77777777" w:rsidR="00C4624A" w:rsidRPr="002D52A1" w:rsidRDefault="00C4624A" w:rsidP="00461AA0">
            <w:pPr>
              <w:ind w:right="-29"/>
              <w:jc w:val="center"/>
              <w:rPr>
                <w:noProof/>
                <w:sz w:val="18"/>
                <w:szCs w:val="18"/>
              </w:rPr>
            </w:pPr>
            <w:r w:rsidRPr="002D52A1">
              <w:rPr>
                <w:noProof/>
                <w:sz w:val="18"/>
              </w:rPr>
              <w:t>1 650,2</w:t>
            </w:r>
          </w:p>
        </w:tc>
      </w:tr>
      <w:tr w:rsidR="00C4624A" w:rsidRPr="002D52A1" w14:paraId="5313ED2F" w14:textId="77777777" w:rsidTr="00461AA0">
        <w:trPr>
          <w:trHeight w:hRule="exact" w:val="848"/>
          <w:jc w:val="center"/>
        </w:trPr>
        <w:tc>
          <w:tcPr>
            <w:tcW w:w="1423" w:type="dxa"/>
          </w:tcPr>
          <w:p w14:paraId="12B63F8E" w14:textId="77777777" w:rsidR="00C4624A" w:rsidRPr="002D52A1" w:rsidRDefault="00C4624A" w:rsidP="00461AA0">
            <w:pPr>
              <w:ind w:right="-29"/>
              <w:jc w:val="center"/>
              <w:rPr>
                <w:noProof/>
                <w:sz w:val="18"/>
                <w:szCs w:val="18"/>
              </w:rPr>
            </w:pPr>
            <w:r w:rsidRPr="002D52A1">
              <w:rPr>
                <w:noProof/>
                <w:sz w:val="18"/>
              </w:rPr>
              <w:t>‒ Výstup</w:t>
            </w:r>
          </w:p>
        </w:tc>
        <w:tc>
          <w:tcPr>
            <w:tcW w:w="1266" w:type="dxa"/>
            <w:vAlign w:val="center"/>
          </w:tcPr>
          <w:p w14:paraId="74B0F09B" w14:textId="77777777" w:rsidR="00C4624A" w:rsidRPr="002D52A1" w:rsidRDefault="00C4624A" w:rsidP="00461AA0">
            <w:pPr>
              <w:ind w:right="-29"/>
              <w:jc w:val="center"/>
              <w:rPr>
                <w:noProof/>
                <w:sz w:val="20"/>
                <w:szCs w:val="20"/>
              </w:rPr>
            </w:pPr>
            <w:r w:rsidRPr="002D52A1">
              <w:rPr>
                <w:noProof/>
                <w:sz w:val="20"/>
              </w:rPr>
              <w:t>Operatívne posúdenie</w:t>
            </w:r>
          </w:p>
        </w:tc>
        <w:tc>
          <w:tcPr>
            <w:tcW w:w="659" w:type="dxa"/>
            <w:tcBorders>
              <w:right w:val="dashSmallGap" w:sz="4" w:space="0" w:color="auto"/>
            </w:tcBorders>
          </w:tcPr>
          <w:p w14:paraId="430B4D7A" w14:textId="77777777" w:rsidR="00C4624A" w:rsidRPr="002D52A1" w:rsidRDefault="00C4624A" w:rsidP="00461AA0">
            <w:pPr>
              <w:ind w:right="-29"/>
              <w:jc w:val="center"/>
              <w:rPr>
                <w:noProof/>
                <w:sz w:val="18"/>
                <w:szCs w:val="18"/>
              </w:rPr>
            </w:pPr>
          </w:p>
        </w:tc>
        <w:tc>
          <w:tcPr>
            <w:tcW w:w="616" w:type="dxa"/>
            <w:tcBorders>
              <w:left w:val="dashSmallGap" w:sz="4" w:space="0" w:color="auto"/>
            </w:tcBorders>
          </w:tcPr>
          <w:p w14:paraId="23A8176A" w14:textId="77777777" w:rsidR="00C4624A" w:rsidRPr="002D52A1" w:rsidRDefault="00C4624A" w:rsidP="00461AA0">
            <w:pPr>
              <w:ind w:right="-29"/>
              <w:jc w:val="center"/>
              <w:rPr>
                <w:noProof/>
                <w:sz w:val="18"/>
                <w:szCs w:val="18"/>
              </w:rPr>
            </w:pPr>
          </w:p>
        </w:tc>
        <w:tc>
          <w:tcPr>
            <w:tcW w:w="644" w:type="dxa"/>
            <w:tcBorders>
              <w:right w:val="dashSmallGap" w:sz="4" w:space="0" w:color="auto"/>
            </w:tcBorders>
          </w:tcPr>
          <w:p w14:paraId="02970C09" w14:textId="77777777" w:rsidR="00C4624A" w:rsidRPr="002D52A1" w:rsidRDefault="00C4624A" w:rsidP="00461AA0">
            <w:pPr>
              <w:ind w:right="-29"/>
              <w:jc w:val="center"/>
              <w:rPr>
                <w:noProof/>
                <w:sz w:val="18"/>
                <w:szCs w:val="18"/>
              </w:rPr>
            </w:pPr>
            <w:r w:rsidRPr="002D52A1">
              <w:rPr>
                <w:noProof/>
                <w:sz w:val="18"/>
              </w:rPr>
              <w:t>1</w:t>
            </w:r>
          </w:p>
        </w:tc>
        <w:tc>
          <w:tcPr>
            <w:tcW w:w="720" w:type="dxa"/>
            <w:tcBorders>
              <w:left w:val="dashSmallGap" w:sz="4" w:space="0" w:color="auto"/>
            </w:tcBorders>
          </w:tcPr>
          <w:p w14:paraId="77B57687" w14:textId="77777777" w:rsidR="00C4624A" w:rsidRPr="002D52A1" w:rsidRDefault="00C4624A" w:rsidP="00461AA0">
            <w:pPr>
              <w:ind w:right="-29"/>
              <w:jc w:val="center"/>
              <w:rPr>
                <w:noProof/>
                <w:sz w:val="18"/>
                <w:szCs w:val="18"/>
              </w:rPr>
            </w:pPr>
            <w:r w:rsidRPr="002D52A1">
              <w:rPr>
                <w:noProof/>
                <w:sz w:val="18"/>
              </w:rPr>
              <w:t>0,15</w:t>
            </w:r>
          </w:p>
        </w:tc>
        <w:tc>
          <w:tcPr>
            <w:tcW w:w="720" w:type="dxa"/>
            <w:gridSpan w:val="2"/>
            <w:tcBorders>
              <w:right w:val="dashSmallGap" w:sz="4" w:space="0" w:color="auto"/>
            </w:tcBorders>
          </w:tcPr>
          <w:p w14:paraId="07912145" w14:textId="77777777" w:rsidR="00C4624A" w:rsidRPr="002D52A1" w:rsidRDefault="00C4624A" w:rsidP="00461AA0">
            <w:pPr>
              <w:ind w:right="-29"/>
              <w:jc w:val="center"/>
              <w:rPr>
                <w:noProof/>
                <w:sz w:val="18"/>
                <w:szCs w:val="18"/>
              </w:rPr>
            </w:pPr>
          </w:p>
        </w:tc>
        <w:tc>
          <w:tcPr>
            <w:tcW w:w="720" w:type="dxa"/>
            <w:tcBorders>
              <w:left w:val="dashSmallGap" w:sz="4" w:space="0" w:color="auto"/>
            </w:tcBorders>
          </w:tcPr>
          <w:p w14:paraId="65B600CC" w14:textId="77777777" w:rsidR="00C4624A" w:rsidRPr="002D52A1" w:rsidRDefault="00C4624A" w:rsidP="00461AA0">
            <w:pPr>
              <w:ind w:right="-29"/>
              <w:jc w:val="center"/>
              <w:rPr>
                <w:noProof/>
                <w:sz w:val="18"/>
                <w:szCs w:val="18"/>
              </w:rPr>
            </w:pPr>
          </w:p>
        </w:tc>
        <w:tc>
          <w:tcPr>
            <w:tcW w:w="900" w:type="dxa"/>
            <w:gridSpan w:val="2"/>
            <w:tcBorders>
              <w:right w:val="dashSmallGap" w:sz="4" w:space="0" w:color="auto"/>
            </w:tcBorders>
          </w:tcPr>
          <w:p w14:paraId="12497CCF" w14:textId="77777777" w:rsidR="00C4624A" w:rsidRPr="002D52A1" w:rsidRDefault="00C4624A" w:rsidP="00461AA0">
            <w:pPr>
              <w:ind w:right="-29"/>
              <w:jc w:val="center"/>
              <w:rPr>
                <w:noProof/>
                <w:sz w:val="18"/>
                <w:szCs w:val="18"/>
              </w:rPr>
            </w:pPr>
          </w:p>
        </w:tc>
        <w:tc>
          <w:tcPr>
            <w:tcW w:w="691" w:type="dxa"/>
            <w:tcBorders>
              <w:left w:val="dashSmallGap" w:sz="4" w:space="0" w:color="auto"/>
            </w:tcBorders>
          </w:tcPr>
          <w:p w14:paraId="2845DDDA" w14:textId="77777777" w:rsidR="00C4624A" w:rsidRPr="002D52A1" w:rsidRDefault="00C4624A" w:rsidP="00461AA0">
            <w:pPr>
              <w:ind w:right="-29"/>
              <w:jc w:val="center"/>
              <w:rPr>
                <w:noProof/>
                <w:sz w:val="18"/>
                <w:szCs w:val="18"/>
              </w:rPr>
            </w:pPr>
          </w:p>
        </w:tc>
        <w:tc>
          <w:tcPr>
            <w:tcW w:w="569" w:type="dxa"/>
            <w:tcBorders>
              <w:right w:val="dashSmallGap" w:sz="4" w:space="0" w:color="auto"/>
            </w:tcBorders>
          </w:tcPr>
          <w:p w14:paraId="1B5CC712" w14:textId="77777777" w:rsidR="00C4624A" w:rsidRPr="002D52A1" w:rsidRDefault="00C4624A" w:rsidP="00461AA0">
            <w:pPr>
              <w:ind w:right="-29"/>
              <w:jc w:val="center"/>
              <w:rPr>
                <w:noProof/>
                <w:sz w:val="18"/>
                <w:szCs w:val="18"/>
              </w:rPr>
            </w:pPr>
          </w:p>
        </w:tc>
        <w:tc>
          <w:tcPr>
            <w:tcW w:w="706" w:type="dxa"/>
            <w:tcBorders>
              <w:left w:val="dashSmallGap" w:sz="4" w:space="0" w:color="auto"/>
            </w:tcBorders>
          </w:tcPr>
          <w:p w14:paraId="514DACF8" w14:textId="77777777" w:rsidR="00C4624A" w:rsidRPr="002D52A1" w:rsidRDefault="00C4624A" w:rsidP="00461AA0">
            <w:pPr>
              <w:ind w:right="-29"/>
              <w:jc w:val="center"/>
              <w:rPr>
                <w:noProof/>
                <w:sz w:val="18"/>
                <w:szCs w:val="18"/>
              </w:rPr>
            </w:pPr>
          </w:p>
        </w:tc>
        <w:tc>
          <w:tcPr>
            <w:tcW w:w="567" w:type="dxa"/>
            <w:tcBorders>
              <w:right w:val="dashSmallGap" w:sz="4" w:space="0" w:color="auto"/>
            </w:tcBorders>
          </w:tcPr>
          <w:p w14:paraId="2BF17F1C" w14:textId="77777777" w:rsidR="00C4624A" w:rsidRPr="002D52A1" w:rsidRDefault="00C4624A" w:rsidP="00461AA0">
            <w:pPr>
              <w:ind w:right="-29"/>
              <w:jc w:val="center"/>
              <w:rPr>
                <w:noProof/>
                <w:sz w:val="18"/>
                <w:szCs w:val="18"/>
              </w:rPr>
            </w:pPr>
          </w:p>
        </w:tc>
        <w:tc>
          <w:tcPr>
            <w:tcW w:w="709" w:type="dxa"/>
            <w:gridSpan w:val="2"/>
            <w:tcBorders>
              <w:left w:val="dashSmallGap" w:sz="4" w:space="0" w:color="auto"/>
            </w:tcBorders>
          </w:tcPr>
          <w:p w14:paraId="6AA626EB" w14:textId="77777777" w:rsidR="00C4624A" w:rsidRPr="002D52A1" w:rsidRDefault="00C4624A" w:rsidP="00461AA0">
            <w:pPr>
              <w:ind w:right="-29"/>
              <w:jc w:val="center"/>
              <w:rPr>
                <w:noProof/>
                <w:sz w:val="18"/>
                <w:szCs w:val="18"/>
              </w:rPr>
            </w:pPr>
          </w:p>
        </w:tc>
        <w:tc>
          <w:tcPr>
            <w:tcW w:w="425" w:type="dxa"/>
            <w:tcBorders>
              <w:right w:val="dashSmallGap" w:sz="4" w:space="0" w:color="auto"/>
            </w:tcBorders>
          </w:tcPr>
          <w:p w14:paraId="032FE5BC" w14:textId="77777777" w:rsidR="00C4624A" w:rsidRPr="002D52A1" w:rsidRDefault="00C4624A" w:rsidP="00461AA0">
            <w:pPr>
              <w:ind w:right="-29"/>
              <w:jc w:val="center"/>
              <w:rPr>
                <w:noProof/>
                <w:sz w:val="18"/>
                <w:szCs w:val="18"/>
              </w:rPr>
            </w:pPr>
          </w:p>
        </w:tc>
        <w:tc>
          <w:tcPr>
            <w:tcW w:w="851" w:type="dxa"/>
            <w:gridSpan w:val="2"/>
            <w:tcBorders>
              <w:left w:val="dashSmallGap" w:sz="4" w:space="0" w:color="auto"/>
            </w:tcBorders>
          </w:tcPr>
          <w:p w14:paraId="5F8D0109" w14:textId="77777777" w:rsidR="00C4624A" w:rsidRPr="002D52A1" w:rsidRDefault="00C4624A" w:rsidP="00461AA0">
            <w:pPr>
              <w:ind w:right="-29"/>
              <w:jc w:val="center"/>
              <w:rPr>
                <w:noProof/>
                <w:sz w:val="18"/>
                <w:szCs w:val="18"/>
              </w:rPr>
            </w:pPr>
          </w:p>
        </w:tc>
        <w:tc>
          <w:tcPr>
            <w:tcW w:w="522" w:type="dxa"/>
          </w:tcPr>
          <w:p w14:paraId="3F6DA8C3" w14:textId="77777777" w:rsidR="00C4624A" w:rsidRPr="002D52A1" w:rsidRDefault="00C4624A" w:rsidP="00461AA0">
            <w:pPr>
              <w:ind w:right="-29"/>
              <w:jc w:val="center"/>
              <w:rPr>
                <w:noProof/>
                <w:sz w:val="18"/>
                <w:szCs w:val="18"/>
              </w:rPr>
            </w:pPr>
            <w:r w:rsidRPr="002D52A1">
              <w:rPr>
                <w:noProof/>
                <w:sz w:val="18"/>
              </w:rPr>
              <w:t>1</w:t>
            </w:r>
          </w:p>
        </w:tc>
        <w:tc>
          <w:tcPr>
            <w:tcW w:w="900" w:type="dxa"/>
          </w:tcPr>
          <w:p w14:paraId="6CF0204C" w14:textId="77777777" w:rsidR="00C4624A" w:rsidRPr="002D52A1" w:rsidRDefault="00C4624A" w:rsidP="00461AA0">
            <w:pPr>
              <w:ind w:right="-29"/>
              <w:jc w:val="center"/>
              <w:rPr>
                <w:noProof/>
                <w:sz w:val="18"/>
                <w:szCs w:val="18"/>
              </w:rPr>
            </w:pPr>
            <w:r w:rsidRPr="002D52A1">
              <w:rPr>
                <w:noProof/>
                <w:sz w:val="18"/>
              </w:rPr>
              <w:t>0,15</w:t>
            </w:r>
          </w:p>
        </w:tc>
      </w:tr>
      <w:tr w:rsidR="00C4624A" w:rsidRPr="002D52A1" w14:paraId="35E71CFB" w14:textId="77777777" w:rsidTr="00461AA0">
        <w:trPr>
          <w:trHeight w:hRule="exact" w:val="861"/>
          <w:jc w:val="center"/>
        </w:trPr>
        <w:tc>
          <w:tcPr>
            <w:tcW w:w="1423" w:type="dxa"/>
          </w:tcPr>
          <w:p w14:paraId="3E7EFB5E" w14:textId="77777777" w:rsidR="00C4624A" w:rsidRPr="002D52A1" w:rsidRDefault="00C4624A" w:rsidP="00461AA0">
            <w:pPr>
              <w:ind w:right="-29"/>
              <w:jc w:val="center"/>
              <w:rPr>
                <w:noProof/>
                <w:sz w:val="18"/>
                <w:szCs w:val="18"/>
              </w:rPr>
            </w:pPr>
            <w:r w:rsidRPr="002D52A1">
              <w:rPr>
                <w:noProof/>
                <w:sz w:val="18"/>
              </w:rPr>
              <w:t>‒ Výstup</w:t>
            </w:r>
          </w:p>
        </w:tc>
        <w:tc>
          <w:tcPr>
            <w:tcW w:w="1266" w:type="dxa"/>
            <w:vAlign w:val="center"/>
          </w:tcPr>
          <w:p w14:paraId="287E1014" w14:textId="77777777" w:rsidR="00C4624A" w:rsidRPr="002D52A1" w:rsidRDefault="00C4624A" w:rsidP="00461AA0">
            <w:pPr>
              <w:ind w:right="-29"/>
              <w:jc w:val="center"/>
              <w:rPr>
                <w:noProof/>
                <w:sz w:val="18"/>
                <w:szCs w:val="18"/>
              </w:rPr>
            </w:pPr>
            <w:r w:rsidRPr="002D52A1">
              <w:rPr>
                <w:noProof/>
                <w:sz w:val="20"/>
              </w:rPr>
              <w:t xml:space="preserve">Hodnotenie </w:t>
            </w:r>
            <w:r w:rsidRPr="002D52A1">
              <w:rPr>
                <w:i/>
                <w:noProof/>
                <w:sz w:val="20"/>
              </w:rPr>
              <w:t>ex post</w:t>
            </w:r>
          </w:p>
        </w:tc>
        <w:tc>
          <w:tcPr>
            <w:tcW w:w="659" w:type="dxa"/>
          </w:tcPr>
          <w:p w14:paraId="073B9B52" w14:textId="77777777" w:rsidR="00C4624A" w:rsidRPr="002D52A1" w:rsidRDefault="00C4624A" w:rsidP="00461AA0">
            <w:pPr>
              <w:ind w:right="-29"/>
              <w:jc w:val="center"/>
              <w:rPr>
                <w:noProof/>
                <w:sz w:val="18"/>
                <w:szCs w:val="18"/>
              </w:rPr>
            </w:pPr>
          </w:p>
        </w:tc>
        <w:tc>
          <w:tcPr>
            <w:tcW w:w="616" w:type="dxa"/>
          </w:tcPr>
          <w:p w14:paraId="14C25A48" w14:textId="77777777" w:rsidR="00C4624A" w:rsidRPr="002D52A1" w:rsidRDefault="00C4624A" w:rsidP="00461AA0">
            <w:pPr>
              <w:ind w:right="-29"/>
              <w:jc w:val="center"/>
              <w:rPr>
                <w:noProof/>
                <w:sz w:val="18"/>
                <w:szCs w:val="18"/>
              </w:rPr>
            </w:pPr>
          </w:p>
        </w:tc>
        <w:tc>
          <w:tcPr>
            <w:tcW w:w="644" w:type="dxa"/>
          </w:tcPr>
          <w:p w14:paraId="7F0E2630" w14:textId="77777777" w:rsidR="00C4624A" w:rsidRPr="002D52A1" w:rsidRDefault="00C4624A" w:rsidP="00461AA0">
            <w:pPr>
              <w:ind w:right="-29"/>
              <w:jc w:val="center"/>
              <w:rPr>
                <w:noProof/>
                <w:sz w:val="18"/>
                <w:szCs w:val="18"/>
              </w:rPr>
            </w:pPr>
          </w:p>
        </w:tc>
        <w:tc>
          <w:tcPr>
            <w:tcW w:w="720" w:type="dxa"/>
          </w:tcPr>
          <w:p w14:paraId="5CDBFBD1" w14:textId="77777777" w:rsidR="00C4624A" w:rsidRPr="002D52A1" w:rsidRDefault="00C4624A" w:rsidP="00461AA0">
            <w:pPr>
              <w:ind w:right="-29"/>
              <w:jc w:val="center"/>
              <w:rPr>
                <w:noProof/>
                <w:sz w:val="18"/>
                <w:szCs w:val="18"/>
              </w:rPr>
            </w:pPr>
          </w:p>
        </w:tc>
        <w:tc>
          <w:tcPr>
            <w:tcW w:w="720" w:type="dxa"/>
            <w:gridSpan w:val="2"/>
          </w:tcPr>
          <w:p w14:paraId="7E586ED8" w14:textId="77777777" w:rsidR="00C4624A" w:rsidRPr="002D52A1" w:rsidRDefault="00C4624A" w:rsidP="00461AA0">
            <w:pPr>
              <w:ind w:right="-29"/>
              <w:jc w:val="center"/>
              <w:rPr>
                <w:noProof/>
                <w:sz w:val="18"/>
                <w:szCs w:val="18"/>
              </w:rPr>
            </w:pPr>
          </w:p>
        </w:tc>
        <w:tc>
          <w:tcPr>
            <w:tcW w:w="720" w:type="dxa"/>
          </w:tcPr>
          <w:p w14:paraId="21A14038" w14:textId="77777777" w:rsidR="00C4624A" w:rsidRPr="002D52A1" w:rsidRDefault="00C4624A" w:rsidP="00461AA0">
            <w:pPr>
              <w:ind w:right="-29"/>
              <w:jc w:val="center"/>
              <w:rPr>
                <w:noProof/>
                <w:sz w:val="18"/>
                <w:szCs w:val="18"/>
              </w:rPr>
            </w:pPr>
          </w:p>
        </w:tc>
        <w:tc>
          <w:tcPr>
            <w:tcW w:w="900" w:type="dxa"/>
            <w:gridSpan w:val="2"/>
          </w:tcPr>
          <w:p w14:paraId="42295F9D" w14:textId="77777777" w:rsidR="00C4624A" w:rsidRPr="002D52A1" w:rsidRDefault="00C4624A" w:rsidP="00461AA0">
            <w:pPr>
              <w:ind w:right="-29"/>
              <w:jc w:val="center"/>
              <w:rPr>
                <w:noProof/>
                <w:sz w:val="18"/>
                <w:szCs w:val="18"/>
              </w:rPr>
            </w:pPr>
            <w:r w:rsidRPr="002D52A1">
              <w:rPr>
                <w:noProof/>
                <w:sz w:val="18"/>
              </w:rPr>
              <w:t>1</w:t>
            </w:r>
          </w:p>
        </w:tc>
        <w:tc>
          <w:tcPr>
            <w:tcW w:w="691" w:type="dxa"/>
          </w:tcPr>
          <w:p w14:paraId="4845D783" w14:textId="77777777" w:rsidR="00C4624A" w:rsidRPr="002D52A1" w:rsidRDefault="00C4624A" w:rsidP="00461AA0">
            <w:pPr>
              <w:ind w:right="-29"/>
              <w:jc w:val="center"/>
              <w:rPr>
                <w:noProof/>
                <w:sz w:val="18"/>
                <w:szCs w:val="18"/>
              </w:rPr>
            </w:pPr>
            <w:r w:rsidRPr="002D52A1">
              <w:rPr>
                <w:noProof/>
                <w:sz w:val="18"/>
              </w:rPr>
              <w:t>0,15</w:t>
            </w:r>
          </w:p>
        </w:tc>
        <w:tc>
          <w:tcPr>
            <w:tcW w:w="569" w:type="dxa"/>
          </w:tcPr>
          <w:p w14:paraId="3A698F63" w14:textId="77777777" w:rsidR="00C4624A" w:rsidRPr="002D52A1" w:rsidRDefault="00C4624A" w:rsidP="00461AA0">
            <w:pPr>
              <w:ind w:right="-29"/>
              <w:jc w:val="center"/>
              <w:rPr>
                <w:noProof/>
                <w:sz w:val="18"/>
                <w:szCs w:val="18"/>
              </w:rPr>
            </w:pPr>
          </w:p>
        </w:tc>
        <w:tc>
          <w:tcPr>
            <w:tcW w:w="706" w:type="dxa"/>
          </w:tcPr>
          <w:p w14:paraId="7EAE97C9" w14:textId="77777777" w:rsidR="00C4624A" w:rsidRPr="002D52A1" w:rsidRDefault="00C4624A" w:rsidP="00461AA0">
            <w:pPr>
              <w:ind w:right="-29"/>
              <w:jc w:val="center"/>
              <w:rPr>
                <w:noProof/>
                <w:sz w:val="18"/>
                <w:szCs w:val="18"/>
              </w:rPr>
            </w:pPr>
          </w:p>
        </w:tc>
        <w:tc>
          <w:tcPr>
            <w:tcW w:w="567" w:type="dxa"/>
          </w:tcPr>
          <w:p w14:paraId="0B01FD86" w14:textId="77777777" w:rsidR="00C4624A" w:rsidRPr="002D52A1" w:rsidRDefault="00C4624A" w:rsidP="00461AA0">
            <w:pPr>
              <w:ind w:right="-29"/>
              <w:jc w:val="center"/>
              <w:rPr>
                <w:noProof/>
                <w:sz w:val="18"/>
                <w:szCs w:val="18"/>
              </w:rPr>
            </w:pPr>
          </w:p>
        </w:tc>
        <w:tc>
          <w:tcPr>
            <w:tcW w:w="709" w:type="dxa"/>
            <w:gridSpan w:val="2"/>
          </w:tcPr>
          <w:p w14:paraId="6667A8C3" w14:textId="77777777" w:rsidR="00C4624A" w:rsidRPr="002D52A1" w:rsidRDefault="00C4624A" w:rsidP="00461AA0">
            <w:pPr>
              <w:ind w:right="-29"/>
              <w:jc w:val="center"/>
              <w:rPr>
                <w:noProof/>
                <w:sz w:val="18"/>
                <w:szCs w:val="18"/>
              </w:rPr>
            </w:pPr>
          </w:p>
        </w:tc>
        <w:tc>
          <w:tcPr>
            <w:tcW w:w="425" w:type="dxa"/>
          </w:tcPr>
          <w:p w14:paraId="31C22BB0" w14:textId="77777777" w:rsidR="00C4624A" w:rsidRPr="002D52A1" w:rsidRDefault="00C4624A" w:rsidP="00461AA0">
            <w:pPr>
              <w:ind w:right="-29"/>
              <w:jc w:val="center"/>
              <w:rPr>
                <w:noProof/>
                <w:sz w:val="18"/>
                <w:szCs w:val="18"/>
              </w:rPr>
            </w:pPr>
          </w:p>
        </w:tc>
        <w:tc>
          <w:tcPr>
            <w:tcW w:w="851" w:type="dxa"/>
            <w:gridSpan w:val="2"/>
          </w:tcPr>
          <w:p w14:paraId="0112D988" w14:textId="77777777" w:rsidR="00C4624A" w:rsidRPr="002D52A1" w:rsidRDefault="00C4624A" w:rsidP="00461AA0">
            <w:pPr>
              <w:ind w:right="-29"/>
              <w:jc w:val="center"/>
              <w:rPr>
                <w:noProof/>
                <w:sz w:val="18"/>
                <w:szCs w:val="18"/>
              </w:rPr>
            </w:pPr>
          </w:p>
        </w:tc>
        <w:tc>
          <w:tcPr>
            <w:tcW w:w="522" w:type="dxa"/>
          </w:tcPr>
          <w:p w14:paraId="4B2FDAAC" w14:textId="77777777" w:rsidR="00C4624A" w:rsidRPr="002D52A1" w:rsidRDefault="00C4624A" w:rsidP="00461AA0">
            <w:pPr>
              <w:ind w:right="-29"/>
              <w:jc w:val="center"/>
              <w:rPr>
                <w:noProof/>
                <w:sz w:val="18"/>
                <w:szCs w:val="18"/>
              </w:rPr>
            </w:pPr>
            <w:r w:rsidRPr="002D52A1">
              <w:rPr>
                <w:noProof/>
                <w:sz w:val="18"/>
              </w:rPr>
              <w:t>1</w:t>
            </w:r>
          </w:p>
        </w:tc>
        <w:tc>
          <w:tcPr>
            <w:tcW w:w="900" w:type="dxa"/>
          </w:tcPr>
          <w:p w14:paraId="05E4CF08" w14:textId="77777777" w:rsidR="00C4624A" w:rsidRPr="002D52A1" w:rsidRDefault="00C4624A" w:rsidP="00461AA0">
            <w:pPr>
              <w:ind w:right="-29"/>
              <w:jc w:val="center"/>
              <w:rPr>
                <w:noProof/>
                <w:sz w:val="18"/>
                <w:szCs w:val="18"/>
              </w:rPr>
            </w:pPr>
            <w:r w:rsidRPr="002D52A1">
              <w:rPr>
                <w:noProof/>
                <w:sz w:val="18"/>
              </w:rPr>
              <w:t>0,15</w:t>
            </w:r>
          </w:p>
        </w:tc>
      </w:tr>
      <w:tr w:rsidR="00C4624A" w:rsidRPr="002D52A1" w14:paraId="26140CE9" w14:textId="77777777" w:rsidTr="00461AA0">
        <w:trPr>
          <w:jc w:val="center"/>
        </w:trPr>
        <w:tc>
          <w:tcPr>
            <w:tcW w:w="2689" w:type="dxa"/>
            <w:gridSpan w:val="2"/>
            <w:tcBorders>
              <w:top w:val="single" w:sz="12" w:space="0" w:color="auto"/>
              <w:left w:val="single" w:sz="12" w:space="0" w:color="auto"/>
              <w:bottom w:val="single" w:sz="12" w:space="0" w:color="auto"/>
            </w:tcBorders>
            <w:vAlign w:val="center"/>
          </w:tcPr>
          <w:p w14:paraId="7E4F9010" w14:textId="77777777" w:rsidR="00C4624A" w:rsidRPr="002D52A1" w:rsidRDefault="00C4624A" w:rsidP="00461AA0">
            <w:pPr>
              <w:ind w:right="-29"/>
              <w:jc w:val="center"/>
              <w:rPr>
                <w:noProof/>
                <w:sz w:val="18"/>
                <w:szCs w:val="18"/>
              </w:rPr>
            </w:pPr>
            <w:r w:rsidRPr="002D52A1">
              <w:rPr>
                <w:b/>
                <w:noProof/>
                <w:sz w:val="18"/>
              </w:rPr>
              <w:t>SPOLU</w:t>
            </w:r>
          </w:p>
        </w:tc>
        <w:tc>
          <w:tcPr>
            <w:tcW w:w="659" w:type="dxa"/>
            <w:tcBorders>
              <w:top w:val="single" w:sz="12" w:space="0" w:color="auto"/>
              <w:bottom w:val="single" w:sz="12" w:space="0" w:color="auto"/>
            </w:tcBorders>
          </w:tcPr>
          <w:p w14:paraId="4D56AF92" w14:textId="77777777" w:rsidR="00C4624A" w:rsidRPr="002D52A1" w:rsidRDefault="00C4624A" w:rsidP="00461AA0">
            <w:pPr>
              <w:spacing w:before="180" w:after="180"/>
              <w:ind w:right="-29"/>
              <w:jc w:val="center"/>
              <w:rPr>
                <w:noProof/>
                <w:sz w:val="18"/>
                <w:szCs w:val="18"/>
              </w:rPr>
            </w:pPr>
          </w:p>
        </w:tc>
        <w:tc>
          <w:tcPr>
            <w:tcW w:w="616" w:type="dxa"/>
            <w:tcBorders>
              <w:top w:val="single" w:sz="12" w:space="0" w:color="auto"/>
              <w:bottom w:val="single" w:sz="12" w:space="0" w:color="auto"/>
            </w:tcBorders>
          </w:tcPr>
          <w:p w14:paraId="119A5453" w14:textId="77777777" w:rsidR="00C4624A" w:rsidRPr="002D52A1" w:rsidRDefault="00C4624A" w:rsidP="00461AA0">
            <w:pPr>
              <w:spacing w:before="180" w:after="180"/>
              <w:ind w:right="-29"/>
              <w:jc w:val="center"/>
              <w:rPr>
                <w:b/>
                <w:bCs/>
                <w:noProof/>
                <w:sz w:val="18"/>
                <w:szCs w:val="18"/>
              </w:rPr>
            </w:pPr>
            <w:r w:rsidRPr="002D52A1">
              <w:rPr>
                <w:b/>
                <w:noProof/>
                <w:sz w:val="18"/>
              </w:rPr>
              <w:t>27,3</w:t>
            </w:r>
          </w:p>
        </w:tc>
        <w:tc>
          <w:tcPr>
            <w:tcW w:w="644" w:type="dxa"/>
            <w:tcBorders>
              <w:top w:val="single" w:sz="12" w:space="0" w:color="auto"/>
              <w:bottom w:val="single" w:sz="12" w:space="0" w:color="auto"/>
            </w:tcBorders>
          </w:tcPr>
          <w:p w14:paraId="68A1B749" w14:textId="77777777" w:rsidR="00C4624A" w:rsidRPr="002D52A1" w:rsidRDefault="00C4624A" w:rsidP="00461AA0">
            <w:pPr>
              <w:spacing w:before="180" w:after="180"/>
              <w:ind w:right="-29"/>
              <w:jc w:val="center"/>
              <w:rPr>
                <w:b/>
                <w:bCs/>
                <w:noProof/>
                <w:sz w:val="18"/>
                <w:szCs w:val="18"/>
              </w:rPr>
            </w:pPr>
            <w:r w:rsidRPr="002D52A1">
              <w:rPr>
                <w:b/>
                <w:noProof/>
                <w:sz w:val="18"/>
              </w:rPr>
              <w:t>1</w:t>
            </w:r>
          </w:p>
        </w:tc>
        <w:tc>
          <w:tcPr>
            <w:tcW w:w="720" w:type="dxa"/>
            <w:tcBorders>
              <w:top w:val="single" w:sz="12" w:space="0" w:color="auto"/>
              <w:bottom w:val="single" w:sz="12" w:space="0" w:color="auto"/>
            </w:tcBorders>
          </w:tcPr>
          <w:p w14:paraId="1F016222" w14:textId="77777777" w:rsidR="00C4624A" w:rsidRPr="002D52A1" w:rsidRDefault="00C4624A" w:rsidP="00461AA0">
            <w:pPr>
              <w:spacing w:before="180" w:after="180"/>
              <w:ind w:right="-29"/>
              <w:jc w:val="center"/>
              <w:rPr>
                <w:b/>
                <w:bCs/>
                <w:noProof/>
                <w:sz w:val="18"/>
                <w:szCs w:val="18"/>
              </w:rPr>
            </w:pPr>
            <w:r w:rsidRPr="002D52A1">
              <w:rPr>
                <w:b/>
                <w:noProof/>
                <w:sz w:val="18"/>
              </w:rPr>
              <w:t>125,2</w:t>
            </w:r>
          </w:p>
        </w:tc>
        <w:tc>
          <w:tcPr>
            <w:tcW w:w="720" w:type="dxa"/>
            <w:gridSpan w:val="2"/>
            <w:tcBorders>
              <w:top w:val="single" w:sz="12" w:space="0" w:color="auto"/>
              <w:bottom w:val="single" w:sz="12" w:space="0" w:color="auto"/>
            </w:tcBorders>
          </w:tcPr>
          <w:p w14:paraId="131E7A70" w14:textId="77777777" w:rsidR="00C4624A" w:rsidRPr="002D52A1" w:rsidRDefault="00C4624A" w:rsidP="00461AA0">
            <w:pPr>
              <w:spacing w:before="180" w:after="180"/>
              <w:ind w:right="-29"/>
              <w:jc w:val="center"/>
              <w:rPr>
                <w:b/>
                <w:bCs/>
                <w:noProof/>
                <w:sz w:val="18"/>
                <w:szCs w:val="18"/>
              </w:rPr>
            </w:pPr>
          </w:p>
        </w:tc>
        <w:tc>
          <w:tcPr>
            <w:tcW w:w="720" w:type="dxa"/>
            <w:tcBorders>
              <w:top w:val="single" w:sz="12" w:space="0" w:color="auto"/>
              <w:bottom w:val="single" w:sz="12" w:space="0" w:color="auto"/>
            </w:tcBorders>
          </w:tcPr>
          <w:p w14:paraId="134BC420" w14:textId="77777777" w:rsidR="00C4624A" w:rsidRPr="002D52A1" w:rsidRDefault="00C4624A" w:rsidP="00461AA0">
            <w:pPr>
              <w:spacing w:before="180" w:after="180"/>
              <w:ind w:right="-29"/>
              <w:jc w:val="center"/>
              <w:rPr>
                <w:b/>
                <w:bCs/>
                <w:noProof/>
                <w:sz w:val="18"/>
                <w:szCs w:val="18"/>
              </w:rPr>
            </w:pPr>
            <w:r w:rsidRPr="002D52A1">
              <w:rPr>
                <w:b/>
                <w:noProof/>
                <w:sz w:val="18"/>
              </w:rPr>
              <w:t>332,6</w:t>
            </w:r>
          </w:p>
        </w:tc>
        <w:tc>
          <w:tcPr>
            <w:tcW w:w="900" w:type="dxa"/>
            <w:gridSpan w:val="2"/>
            <w:tcBorders>
              <w:top w:val="single" w:sz="12" w:space="0" w:color="auto"/>
              <w:bottom w:val="single" w:sz="12" w:space="0" w:color="auto"/>
            </w:tcBorders>
          </w:tcPr>
          <w:p w14:paraId="5CAFC442" w14:textId="77777777" w:rsidR="00C4624A" w:rsidRPr="002D52A1" w:rsidRDefault="00C4624A" w:rsidP="00461AA0">
            <w:pPr>
              <w:spacing w:before="180" w:after="180"/>
              <w:ind w:right="-29"/>
              <w:jc w:val="center"/>
              <w:rPr>
                <w:b/>
                <w:bCs/>
                <w:noProof/>
                <w:sz w:val="18"/>
                <w:szCs w:val="18"/>
              </w:rPr>
            </w:pPr>
            <w:r w:rsidRPr="002D52A1">
              <w:rPr>
                <w:noProof/>
                <w:sz w:val="18"/>
              </w:rPr>
              <w:t>1</w:t>
            </w:r>
          </w:p>
        </w:tc>
        <w:tc>
          <w:tcPr>
            <w:tcW w:w="691" w:type="dxa"/>
            <w:tcBorders>
              <w:top w:val="single" w:sz="12" w:space="0" w:color="auto"/>
              <w:bottom w:val="single" w:sz="12" w:space="0" w:color="auto"/>
            </w:tcBorders>
          </w:tcPr>
          <w:p w14:paraId="5E090080" w14:textId="77777777" w:rsidR="00C4624A" w:rsidRPr="002D52A1" w:rsidRDefault="00C4624A" w:rsidP="00461AA0">
            <w:pPr>
              <w:spacing w:before="180" w:after="180"/>
              <w:ind w:right="-29"/>
              <w:jc w:val="center"/>
              <w:rPr>
                <w:b/>
                <w:bCs/>
                <w:noProof/>
                <w:sz w:val="18"/>
                <w:szCs w:val="18"/>
              </w:rPr>
            </w:pPr>
            <w:r w:rsidRPr="002D52A1">
              <w:rPr>
                <w:b/>
                <w:noProof/>
                <w:sz w:val="18"/>
              </w:rPr>
              <w:t>202,65</w:t>
            </w:r>
          </w:p>
        </w:tc>
        <w:tc>
          <w:tcPr>
            <w:tcW w:w="569" w:type="dxa"/>
            <w:tcBorders>
              <w:top w:val="single" w:sz="12" w:space="0" w:color="auto"/>
              <w:bottom w:val="single" w:sz="12" w:space="0" w:color="auto"/>
            </w:tcBorders>
          </w:tcPr>
          <w:p w14:paraId="1A651741" w14:textId="77777777" w:rsidR="00C4624A" w:rsidRPr="002D52A1" w:rsidRDefault="00C4624A" w:rsidP="00461AA0">
            <w:pPr>
              <w:spacing w:before="180" w:after="180"/>
              <w:ind w:right="-29"/>
              <w:jc w:val="center"/>
              <w:rPr>
                <w:b/>
                <w:bCs/>
                <w:noProof/>
                <w:sz w:val="18"/>
                <w:szCs w:val="18"/>
              </w:rPr>
            </w:pPr>
          </w:p>
        </w:tc>
        <w:tc>
          <w:tcPr>
            <w:tcW w:w="706" w:type="dxa"/>
            <w:tcBorders>
              <w:top w:val="single" w:sz="12" w:space="0" w:color="auto"/>
              <w:bottom w:val="single" w:sz="12" w:space="0" w:color="auto"/>
            </w:tcBorders>
          </w:tcPr>
          <w:p w14:paraId="3339C98B" w14:textId="77777777" w:rsidR="00C4624A" w:rsidRPr="002D52A1" w:rsidRDefault="00C4624A" w:rsidP="00461AA0">
            <w:pPr>
              <w:spacing w:before="180" w:after="180"/>
              <w:ind w:right="-29"/>
              <w:jc w:val="center"/>
              <w:rPr>
                <w:b/>
                <w:bCs/>
                <w:noProof/>
                <w:sz w:val="18"/>
                <w:szCs w:val="18"/>
              </w:rPr>
            </w:pPr>
            <w:r w:rsidRPr="002D52A1">
              <w:rPr>
                <w:b/>
                <w:noProof/>
                <w:sz w:val="18"/>
              </w:rPr>
              <w:t>683,46</w:t>
            </w:r>
          </w:p>
        </w:tc>
        <w:tc>
          <w:tcPr>
            <w:tcW w:w="567" w:type="dxa"/>
            <w:tcBorders>
              <w:top w:val="single" w:sz="12" w:space="0" w:color="auto"/>
              <w:bottom w:val="single" w:sz="12" w:space="0" w:color="auto"/>
            </w:tcBorders>
          </w:tcPr>
          <w:p w14:paraId="4AF5A46D" w14:textId="77777777" w:rsidR="00C4624A" w:rsidRPr="002D52A1" w:rsidRDefault="00C4624A" w:rsidP="00461AA0">
            <w:pPr>
              <w:spacing w:before="180" w:after="180"/>
              <w:ind w:right="-29"/>
              <w:jc w:val="center"/>
              <w:rPr>
                <w:b/>
                <w:bCs/>
                <w:noProof/>
                <w:sz w:val="18"/>
                <w:szCs w:val="18"/>
              </w:rPr>
            </w:pPr>
          </w:p>
        </w:tc>
        <w:tc>
          <w:tcPr>
            <w:tcW w:w="709" w:type="dxa"/>
            <w:gridSpan w:val="2"/>
            <w:tcBorders>
              <w:top w:val="single" w:sz="12" w:space="0" w:color="auto"/>
              <w:bottom w:val="single" w:sz="12" w:space="0" w:color="auto"/>
            </w:tcBorders>
          </w:tcPr>
          <w:p w14:paraId="4CB1B5A6" w14:textId="77777777" w:rsidR="00C4624A" w:rsidRPr="002D52A1" w:rsidRDefault="00C4624A" w:rsidP="00461AA0">
            <w:pPr>
              <w:spacing w:before="180" w:after="180"/>
              <w:ind w:right="-29"/>
              <w:jc w:val="center"/>
              <w:rPr>
                <w:b/>
                <w:bCs/>
                <w:noProof/>
                <w:sz w:val="18"/>
                <w:szCs w:val="18"/>
              </w:rPr>
            </w:pPr>
            <w:r w:rsidRPr="002D52A1">
              <w:rPr>
                <w:b/>
                <w:noProof/>
                <w:sz w:val="18"/>
              </w:rPr>
              <w:t>589,16</w:t>
            </w:r>
          </w:p>
        </w:tc>
        <w:tc>
          <w:tcPr>
            <w:tcW w:w="425" w:type="dxa"/>
            <w:tcBorders>
              <w:top w:val="single" w:sz="12" w:space="0" w:color="auto"/>
              <w:bottom w:val="single" w:sz="12" w:space="0" w:color="auto"/>
            </w:tcBorders>
          </w:tcPr>
          <w:p w14:paraId="58928927" w14:textId="77777777" w:rsidR="00C4624A" w:rsidRPr="002D52A1" w:rsidRDefault="00C4624A" w:rsidP="00461AA0">
            <w:pPr>
              <w:spacing w:before="180" w:after="180"/>
              <w:ind w:right="-29"/>
              <w:jc w:val="center"/>
              <w:rPr>
                <w:b/>
                <w:bCs/>
                <w:noProof/>
                <w:sz w:val="18"/>
                <w:szCs w:val="18"/>
              </w:rPr>
            </w:pPr>
          </w:p>
        </w:tc>
        <w:tc>
          <w:tcPr>
            <w:tcW w:w="851" w:type="dxa"/>
            <w:gridSpan w:val="2"/>
            <w:tcBorders>
              <w:top w:val="single" w:sz="12" w:space="0" w:color="auto"/>
              <w:bottom w:val="single" w:sz="12" w:space="0" w:color="auto"/>
            </w:tcBorders>
          </w:tcPr>
          <w:p w14:paraId="08A493EF" w14:textId="77777777" w:rsidR="00C4624A" w:rsidRPr="002D52A1" w:rsidRDefault="00C4624A" w:rsidP="00461AA0">
            <w:pPr>
              <w:spacing w:before="180" w:after="180"/>
              <w:ind w:right="-29"/>
              <w:jc w:val="center"/>
              <w:rPr>
                <w:b/>
                <w:bCs/>
                <w:noProof/>
                <w:sz w:val="18"/>
                <w:szCs w:val="18"/>
              </w:rPr>
            </w:pPr>
            <w:r w:rsidRPr="002D52A1">
              <w:rPr>
                <w:b/>
                <w:noProof/>
                <w:sz w:val="18"/>
              </w:rPr>
              <w:t>540,06</w:t>
            </w:r>
          </w:p>
        </w:tc>
        <w:tc>
          <w:tcPr>
            <w:tcW w:w="522" w:type="dxa"/>
            <w:tcBorders>
              <w:top w:val="single" w:sz="12" w:space="0" w:color="auto"/>
              <w:bottom w:val="single" w:sz="12" w:space="0" w:color="auto"/>
            </w:tcBorders>
          </w:tcPr>
          <w:p w14:paraId="2CCBE77B" w14:textId="77777777" w:rsidR="00C4624A" w:rsidRPr="002D52A1" w:rsidRDefault="00C4624A" w:rsidP="00461AA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14:paraId="257C213E" w14:textId="77777777" w:rsidR="00C4624A" w:rsidRPr="002D52A1" w:rsidRDefault="00C4624A" w:rsidP="00461AA0">
            <w:pPr>
              <w:spacing w:before="180" w:after="180"/>
              <w:ind w:right="-29"/>
              <w:jc w:val="center"/>
              <w:rPr>
                <w:b/>
                <w:bCs/>
                <w:noProof/>
                <w:sz w:val="18"/>
                <w:szCs w:val="18"/>
              </w:rPr>
            </w:pPr>
            <w:r w:rsidRPr="002D52A1">
              <w:rPr>
                <w:b/>
                <w:noProof/>
                <w:sz w:val="18"/>
              </w:rPr>
              <w:t>2 500,5</w:t>
            </w:r>
          </w:p>
        </w:tc>
      </w:tr>
    </w:tbl>
    <w:p w14:paraId="6A4001C3" w14:textId="77777777" w:rsidR="00C4624A" w:rsidRPr="002D52A1" w:rsidRDefault="00C4624A" w:rsidP="00C4624A">
      <w:pPr>
        <w:rPr>
          <w:noProof/>
        </w:rPr>
        <w:sectPr w:rsidR="00C4624A" w:rsidRPr="002D52A1" w:rsidSect="00A6081D">
          <w:headerReference w:type="default" r:id="rId15"/>
          <w:footerReference w:type="default" r:id="rId16"/>
          <w:headerReference w:type="first" r:id="rId17"/>
          <w:footerReference w:type="first" r:id="rId18"/>
          <w:pgSz w:w="16840" w:h="11907" w:orient="landscape" w:code="9"/>
          <w:pgMar w:top="1134" w:right="1418" w:bottom="567" w:left="1418" w:header="709" w:footer="709" w:gutter="0"/>
          <w:cols w:space="708"/>
          <w:docGrid w:linePitch="360"/>
        </w:sectPr>
      </w:pPr>
    </w:p>
    <w:p w14:paraId="2B96DB5B" w14:textId="6A682E65" w:rsidR="002D52A1" w:rsidRPr="002D52A1" w:rsidRDefault="00D05784" w:rsidP="00D05784">
      <w:pPr>
        <w:pStyle w:val="ManualHeading3"/>
        <w:rPr>
          <w:noProof/>
        </w:rPr>
      </w:pPr>
      <w:bookmarkStart w:id="63" w:name="_Toc514938055"/>
      <w:bookmarkStart w:id="64" w:name="_Toc520485054"/>
      <w:r w:rsidRPr="00D05784">
        <w:t>3.2.3.</w:t>
      </w:r>
      <w:r w:rsidRPr="00D05784">
        <w:tab/>
      </w:r>
      <w:r w:rsidR="00C4624A" w:rsidRPr="002D52A1">
        <w:rPr>
          <w:noProof/>
        </w:rPr>
        <w:t>Zhrnutie odhadovaného vplyvu na administratívne rozpočtové prostriedky</w:t>
      </w:r>
      <w:bookmarkEnd w:id="63"/>
      <w:bookmarkEnd w:id="64"/>
    </w:p>
    <w:p w14:paraId="25E80310" w14:textId="079649B8" w:rsidR="00C4624A" w:rsidRPr="002D52A1" w:rsidRDefault="00C4624A" w:rsidP="00C4624A">
      <w:pPr>
        <w:pStyle w:val="ListDash1"/>
        <w:rPr>
          <w:noProof/>
        </w:rPr>
      </w:pPr>
      <w:r w:rsidRPr="002D52A1">
        <w:rPr>
          <w:noProof/>
        </w:rPr>
        <w:t>X Návrh/iniciatíva si vyžaduje použitie týchto administratívnych rozpočtových prostriedkov:</w:t>
      </w:r>
    </w:p>
    <w:p w14:paraId="50CA4AE3" w14:textId="77777777" w:rsidR="00C4624A" w:rsidRPr="002D52A1" w:rsidRDefault="00C4624A" w:rsidP="00C4624A">
      <w:pPr>
        <w:jc w:val="right"/>
        <w:rPr>
          <w:noProof/>
          <w:sz w:val="20"/>
        </w:rPr>
      </w:pPr>
      <w:r w:rsidRPr="002D52A1">
        <w:rPr>
          <w:noProof/>
          <w:sz w:val="20"/>
        </w:rPr>
        <w:t>v mil. EUR (zaokrúhlené na 3 desatinné miesta)</w:t>
      </w:r>
    </w:p>
    <w:tbl>
      <w:tblPr>
        <w:tblW w:w="950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3"/>
        <w:gridCol w:w="992"/>
        <w:gridCol w:w="1134"/>
      </w:tblGrid>
      <w:tr w:rsidR="00C4624A" w:rsidRPr="002D52A1" w14:paraId="7464B419" w14:textId="77777777" w:rsidTr="00461AA0">
        <w:trPr>
          <w:trHeight w:val="585"/>
        </w:trPr>
        <w:tc>
          <w:tcPr>
            <w:tcW w:w="1980" w:type="dxa"/>
          </w:tcPr>
          <w:p w14:paraId="7BA7CAA4" w14:textId="77777777" w:rsidR="00C4624A" w:rsidRPr="002D52A1" w:rsidRDefault="00C4624A" w:rsidP="00461AA0">
            <w:pPr>
              <w:spacing w:before="60" w:after="60" w:line="200" w:lineRule="exact"/>
              <w:rPr>
                <w:noProof/>
                <w:sz w:val="16"/>
                <w:szCs w:val="16"/>
              </w:rPr>
            </w:pPr>
          </w:p>
        </w:tc>
        <w:tc>
          <w:tcPr>
            <w:tcW w:w="1080" w:type="dxa"/>
            <w:vAlign w:val="center"/>
          </w:tcPr>
          <w:p w14:paraId="6F15F029" w14:textId="77777777" w:rsidR="00C4624A" w:rsidRPr="002D52A1" w:rsidRDefault="00C4624A" w:rsidP="00461AA0">
            <w:pPr>
              <w:spacing w:before="60" w:after="60" w:line="200" w:lineRule="exact"/>
              <w:jc w:val="center"/>
              <w:rPr>
                <w:noProof/>
                <w:sz w:val="16"/>
                <w:szCs w:val="16"/>
              </w:rPr>
            </w:pPr>
            <w:r w:rsidRPr="002D52A1">
              <w:rPr>
                <w:noProof/>
                <w:sz w:val="16"/>
              </w:rPr>
              <w:t>Rok 2022</w:t>
            </w:r>
          </w:p>
        </w:tc>
        <w:tc>
          <w:tcPr>
            <w:tcW w:w="1080" w:type="dxa"/>
            <w:vAlign w:val="center"/>
          </w:tcPr>
          <w:p w14:paraId="37AB3507" w14:textId="77777777" w:rsidR="00C4624A" w:rsidRPr="002D52A1" w:rsidRDefault="00C4624A" w:rsidP="00461AA0">
            <w:pPr>
              <w:spacing w:before="60" w:after="60" w:line="200" w:lineRule="exact"/>
              <w:jc w:val="center"/>
              <w:rPr>
                <w:noProof/>
                <w:sz w:val="16"/>
                <w:szCs w:val="16"/>
              </w:rPr>
            </w:pPr>
            <w:r w:rsidRPr="002D52A1">
              <w:rPr>
                <w:noProof/>
                <w:sz w:val="16"/>
              </w:rPr>
              <w:t>Rok 2023</w:t>
            </w:r>
          </w:p>
        </w:tc>
        <w:tc>
          <w:tcPr>
            <w:tcW w:w="1080" w:type="dxa"/>
            <w:vAlign w:val="center"/>
          </w:tcPr>
          <w:p w14:paraId="3E1E292E" w14:textId="77777777" w:rsidR="00C4624A" w:rsidRPr="002D52A1" w:rsidRDefault="00C4624A" w:rsidP="00461AA0">
            <w:pPr>
              <w:spacing w:before="60" w:after="60" w:line="200" w:lineRule="exact"/>
              <w:jc w:val="center"/>
              <w:rPr>
                <w:noProof/>
                <w:sz w:val="16"/>
                <w:szCs w:val="16"/>
              </w:rPr>
            </w:pPr>
            <w:r w:rsidRPr="002D52A1">
              <w:rPr>
                <w:noProof/>
                <w:sz w:val="16"/>
              </w:rPr>
              <w:t>Rok 2024</w:t>
            </w:r>
          </w:p>
        </w:tc>
        <w:tc>
          <w:tcPr>
            <w:tcW w:w="1080" w:type="dxa"/>
            <w:vAlign w:val="center"/>
          </w:tcPr>
          <w:p w14:paraId="261EA92C" w14:textId="77777777" w:rsidR="00C4624A" w:rsidRPr="002D52A1" w:rsidRDefault="00C4624A" w:rsidP="00461AA0">
            <w:pPr>
              <w:spacing w:before="60" w:after="60" w:line="200" w:lineRule="exact"/>
              <w:jc w:val="center"/>
              <w:rPr>
                <w:noProof/>
                <w:sz w:val="16"/>
                <w:szCs w:val="16"/>
              </w:rPr>
            </w:pPr>
            <w:r w:rsidRPr="002D52A1">
              <w:rPr>
                <w:noProof/>
                <w:sz w:val="16"/>
              </w:rPr>
              <w:t>Rok 2025</w:t>
            </w:r>
          </w:p>
        </w:tc>
        <w:tc>
          <w:tcPr>
            <w:tcW w:w="1083" w:type="dxa"/>
            <w:vAlign w:val="center"/>
          </w:tcPr>
          <w:p w14:paraId="014CC033" w14:textId="77777777" w:rsidR="00C4624A" w:rsidRPr="002D52A1" w:rsidRDefault="00C4624A" w:rsidP="00461AA0">
            <w:pPr>
              <w:spacing w:line="200" w:lineRule="exact"/>
              <w:jc w:val="center"/>
              <w:rPr>
                <w:noProof/>
                <w:sz w:val="16"/>
              </w:rPr>
            </w:pPr>
            <w:r w:rsidRPr="002D52A1">
              <w:rPr>
                <w:noProof/>
                <w:sz w:val="16"/>
              </w:rPr>
              <w:t>Rok 2026</w:t>
            </w:r>
          </w:p>
        </w:tc>
        <w:tc>
          <w:tcPr>
            <w:tcW w:w="992" w:type="dxa"/>
            <w:vAlign w:val="center"/>
          </w:tcPr>
          <w:p w14:paraId="78761561" w14:textId="77777777" w:rsidR="00C4624A" w:rsidRPr="002D52A1" w:rsidRDefault="00C4624A" w:rsidP="00461AA0">
            <w:pPr>
              <w:spacing w:line="200" w:lineRule="exact"/>
              <w:jc w:val="center"/>
              <w:rPr>
                <w:noProof/>
                <w:sz w:val="16"/>
                <w:szCs w:val="16"/>
              </w:rPr>
            </w:pPr>
            <w:r w:rsidRPr="002D52A1">
              <w:rPr>
                <w:noProof/>
                <w:sz w:val="16"/>
              </w:rPr>
              <w:t>Rok 2027</w:t>
            </w:r>
          </w:p>
        </w:tc>
        <w:tc>
          <w:tcPr>
            <w:tcW w:w="1134" w:type="dxa"/>
            <w:vAlign w:val="center"/>
          </w:tcPr>
          <w:p w14:paraId="651F1490" w14:textId="77777777" w:rsidR="00C4624A" w:rsidRPr="002D52A1" w:rsidRDefault="00C4624A" w:rsidP="00461AA0">
            <w:pPr>
              <w:spacing w:before="60" w:after="60" w:line="200" w:lineRule="exact"/>
              <w:jc w:val="center"/>
              <w:rPr>
                <w:b/>
                <w:noProof/>
                <w:sz w:val="16"/>
                <w:szCs w:val="16"/>
              </w:rPr>
            </w:pPr>
            <w:r w:rsidRPr="002D52A1">
              <w:rPr>
                <w:b/>
                <w:noProof/>
                <w:sz w:val="16"/>
              </w:rPr>
              <w:t>SPOLU</w:t>
            </w:r>
          </w:p>
        </w:tc>
      </w:tr>
    </w:tbl>
    <w:p w14:paraId="565E107A" w14:textId="77777777" w:rsidR="00C4624A" w:rsidRPr="002D52A1" w:rsidRDefault="00C4624A" w:rsidP="00C4624A">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4624A" w:rsidRPr="002D52A1" w14:paraId="5C238E1F" w14:textId="77777777" w:rsidTr="00461AA0">
        <w:trPr>
          <w:trHeight w:val="585"/>
        </w:trPr>
        <w:tc>
          <w:tcPr>
            <w:tcW w:w="1980" w:type="dxa"/>
            <w:shd w:val="clear" w:color="auto" w:fill="CCCCCC"/>
            <w:vAlign w:val="center"/>
          </w:tcPr>
          <w:p w14:paraId="71AAF9A6" w14:textId="77777777" w:rsidR="00C4624A" w:rsidRPr="002D52A1" w:rsidRDefault="00C4624A" w:rsidP="00461AA0">
            <w:pPr>
              <w:spacing w:before="60" w:after="60" w:line="200" w:lineRule="exact"/>
              <w:jc w:val="center"/>
              <w:rPr>
                <w:b/>
                <w:bCs/>
                <w:noProof/>
                <w:sz w:val="16"/>
                <w:szCs w:val="16"/>
              </w:rPr>
            </w:pPr>
            <w:r w:rsidRPr="002D52A1">
              <w:rPr>
                <w:b/>
                <w:noProof/>
                <w:sz w:val="16"/>
              </w:rPr>
              <w:t>OKRUH 7</w:t>
            </w:r>
          </w:p>
          <w:p w14:paraId="473853A2" w14:textId="77777777" w:rsidR="00C4624A" w:rsidRPr="002D52A1" w:rsidRDefault="00C4624A" w:rsidP="00461AA0">
            <w:pPr>
              <w:spacing w:before="60" w:after="60" w:line="200" w:lineRule="exact"/>
              <w:jc w:val="center"/>
              <w:rPr>
                <w:b/>
                <w:bCs/>
                <w:noProof/>
                <w:sz w:val="16"/>
                <w:szCs w:val="16"/>
              </w:rPr>
            </w:pPr>
            <w:r w:rsidRPr="002D52A1">
              <w:rPr>
                <w:b/>
                <w:noProof/>
                <w:sz w:val="16"/>
              </w:rPr>
              <w:t>viacročného finančného rámca</w:t>
            </w:r>
          </w:p>
        </w:tc>
        <w:tc>
          <w:tcPr>
            <w:tcW w:w="1080" w:type="dxa"/>
            <w:vAlign w:val="center"/>
          </w:tcPr>
          <w:p w14:paraId="56ED5148"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6954126B"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95375DA"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71DD0402"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6EFBC6F"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761CC3F7"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896CC2C" w14:textId="77777777" w:rsidR="00C4624A" w:rsidRPr="002D52A1" w:rsidRDefault="00C4624A" w:rsidP="00461AA0">
            <w:pPr>
              <w:spacing w:before="60" w:after="60" w:line="200" w:lineRule="exact"/>
              <w:jc w:val="right"/>
              <w:rPr>
                <w:b/>
                <w:bCs/>
                <w:noProof/>
                <w:sz w:val="16"/>
                <w:szCs w:val="16"/>
              </w:rPr>
            </w:pPr>
          </w:p>
        </w:tc>
      </w:tr>
      <w:tr w:rsidR="00C4624A" w:rsidRPr="002D52A1" w14:paraId="48700E9B" w14:textId="77777777" w:rsidTr="00461AA0">
        <w:trPr>
          <w:trHeight w:val="585"/>
        </w:trPr>
        <w:tc>
          <w:tcPr>
            <w:tcW w:w="1980" w:type="dxa"/>
            <w:vAlign w:val="center"/>
          </w:tcPr>
          <w:p w14:paraId="5B1028CE" w14:textId="77777777" w:rsidR="00C4624A" w:rsidRPr="002D52A1" w:rsidRDefault="00C4624A" w:rsidP="00461AA0">
            <w:pPr>
              <w:spacing w:before="60" w:after="60" w:line="200" w:lineRule="exact"/>
              <w:ind w:left="72"/>
              <w:jc w:val="left"/>
              <w:rPr>
                <w:noProof/>
                <w:sz w:val="16"/>
                <w:szCs w:val="16"/>
              </w:rPr>
            </w:pPr>
            <w:r w:rsidRPr="002D52A1">
              <w:rPr>
                <w:noProof/>
                <w:sz w:val="16"/>
              </w:rPr>
              <w:t xml:space="preserve">Ľudské zdroje </w:t>
            </w:r>
          </w:p>
        </w:tc>
        <w:tc>
          <w:tcPr>
            <w:tcW w:w="1080" w:type="dxa"/>
            <w:vAlign w:val="center"/>
          </w:tcPr>
          <w:p w14:paraId="15FA561B" w14:textId="77777777" w:rsidR="00C4624A" w:rsidRPr="002D52A1" w:rsidRDefault="00C4624A" w:rsidP="00461AA0">
            <w:pPr>
              <w:spacing w:before="60" w:after="60" w:line="200" w:lineRule="exact"/>
              <w:jc w:val="right"/>
              <w:rPr>
                <w:noProof/>
                <w:sz w:val="16"/>
                <w:szCs w:val="16"/>
              </w:rPr>
            </w:pPr>
            <w:r w:rsidRPr="002D52A1">
              <w:rPr>
                <w:noProof/>
                <w:sz w:val="16"/>
              </w:rPr>
              <w:t>0,848</w:t>
            </w:r>
          </w:p>
        </w:tc>
        <w:tc>
          <w:tcPr>
            <w:tcW w:w="1080" w:type="dxa"/>
            <w:vAlign w:val="center"/>
          </w:tcPr>
          <w:p w14:paraId="3FC61988" w14:textId="77777777" w:rsidR="00C4624A" w:rsidRPr="002D52A1" w:rsidRDefault="00C4624A" w:rsidP="00461AA0">
            <w:pPr>
              <w:spacing w:before="60" w:after="60" w:line="200" w:lineRule="exact"/>
              <w:jc w:val="right"/>
              <w:rPr>
                <w:noProof/>
                <w:sz w:val="16"/>
                <w:szCs w:val="16"/>
              </w:rPr>
            </w:pPr>
            <w:r w:rsidRPr="002D52A1">
              <w:rPr>
                <w:noProof/>
                <w:sz w:val="16"/>
              </w:rPr>
              <w:t>0,424</w:t>
            </w:r>
          </w:p>
        </w:tc>
        <w:tc>
          <w:tcPr>
            <w:tcW w:w="1080" w:type="dxa"/>
            <w:vAlign w:val="center"/>
          </w:tcPr>
          <w:p w14:paraId="2DCE5A70" w14:textId="77777777" w:rsidR="00C4624A" w:rsidRPr="002D52A1" w:rsidRDefault="00C4624A" w:rsidP="00461AA0">
            <w:pPr>
              <w:spacing w:before="60" w:after="60" w:line="200" w:lineRule="exact"/>
              <w:jc w:val="right"/>
              <w:rPr>
                <w:noProof/>
                <w:sz w:val="16"/>
                <w:szCs w:val="16"/>
              </w:rPr>
            </w:pPr>
            <w:r w:rsidRPr="002D52A1">
              <w:rPr>
                <w:noProof/>
                <w:sz w:val="16"/>
              </w:rPr>
              <w:t>0,424</w:t>
            </w:r>
          </w:p>
        </w:tc>
        <w:tc>
          <w:tcPr>
            <w:tcW w:w="1080" w:type="dxa"/>
            <w:vAlign w:val="center"/>
          </w:tcPr>
          <w:p w14:paraId="607040F8"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4D795278"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425DA068"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1CDF9551" w14:textId="77777777" w:rsidR="00C4624A" w:rsidRPr="002D52A1" w:rsidRDefault="00C4624A" w:rsidP="00461AA0">
            <w:pPr>
              <w:spacing w:before="60" w:after="60" w:line="200" w:lineRule="exact"/>
              <w:jc w:val="right"/>
              <w:rPr>
                <w:b/>
                <w:bCs/>
                <w:noProof/>
                <w:sz w:val="16"/>
                <w:szCs w:val="16"/>
              </w:rPr>
            </w:pPr>
            <w:r w:rsidRPr="002D52A1">
              <w:rPr>
                <w:b/>
                <w:noProof/>
                <w:sz w:val="16"/>
              </w:rPr>
              <w:t>1,912</w:t>
            </w:r>
          </w:p>
        </w:tc>
      </w:tr>
      <w:tr w:rsidR="00C4624A" w:rsidRPr="002D52A1" w14:paraId="7C4F8C84" w14:textId="77777777" w:rsidTr="00461AA0">
        <w:trPr>
          <w:trHeight w:val="585"/>
        </w:trPr>
        <w:tc>
          <w:tcPr>
            <w:tcW w:w="1980" w:type="dxa"/>
            <w:vAlign w:val="center"/>
          </w:tcPr>
          <w:p w14:paraId="0DED2368" w14:textId="77777777" w:rsidR="00C4624A" w:rsidRPr="002D52A1" w:rsidRDefault="00C4624A" w:rsidP="00461AA0">
            <w:pPr>
              <w:spacing w:before="60" w:after="60" w:line="200" w:lineRule="exact"/>
              <w:ind w:left="72"/>
              <w:jc w:val="left"/>
              <w:rPr>
                <w:noProof/>
                <w:sz w:val="16"/>
                <w:szCs w:val="16"/>
              </w:rPr>
            </w:pPr>
            <w:r w:rsidRPr="002D52A1">
              <w:rPr>
                <w:noProof/>
                <w:sz w:val="16"/>
              </w:rPr>
              <w:t xml:space="preserve">Ostatné administratívne výdavky </w:t>
            </w:r>
          </w:p>
        </w:tc>
        <w:tc>
          <w:tcPr>
            <w:tcW w:w="1080" w:type="dxa"/>
            <w:vAlign w:val="center"/>
          </w:tcPr>
          <w:p w14:paraId="5D74111D" w14:textId="77777777" w:rsidR="00C4624A" w:rsidRPr="002D52A1" w:rsidRDefault="00C4624A" w:rsidP="00461AA0">
            <w:pPr>
              <w:spacing w:before="60" w:after="60" w:line="200" w:lineRule="exact"/>
              <w:jc w:val="right"/>
              <w:rPr>
                <w:noProof/>
                <w:sz w:val="16"/>
                <w:szCs w:val="16"/>
              </w:rPr>
            </w:pPr>
            <w:r w:rsidRPr="002D52A1">
              <w:rPr>
                <w:noProof/>
                <w:sz w:val="16"/>
              </w:rPr>
              <w:t>–</w:t>
            </w:r>
          </w:p>
        </w:tc>
        <w:tc>
          <w:tcPr>
            <w:tcW w:w="1080" w:type="dxa"/>
            <w:vAlign w:val="center"/>
          </w:tcPr>
          <w:p w14:paraId="48C1788D" w14:textId="77777777" w:rsidR="00C4624A" w:rsidRPr="002D52A1" w:rsidRDefault="00C4624A" w:rsidP="00461AA0">
            <w:pPr>
              <w:spacing w:before="60" w:after="60" w:line="200" w:lineRule="exact"/>
              <w:jc w:val="right"/>
              <w:rPr>
                <w:noProof/>
                <w:sz w:val="16"/>
                <w:szCs w:val="16"/>
              </w:rPr>
            </w:pPr>
            <w:r w:rsidRPr="002D52A1">
              <w:rPr>
                <w:noProof/>
                <w:sz w:val="16"/>
              </w:rPr>
              <w:t>0,06</w:t>
            </w:r>
          </w:p>
        </w:tc>
        <w:tc>
          <w:tcPr>
            <w:tcW w:w="1080" w:type="dxa"/>
            <w:vAlign w:val="center"/>
          </w:tcPr>
          <w:p w14:paraId="413A8C18" w14:textId="77777777" w:rsidR="00C4624A" w:rsidRPr="002D52A1" w:rsidRDefault="00C4624A" w:rsidP="00461AA0">
            <w:pPr>
              <w:spacing w:before="60" w:after="60" w:line="200" w:lineRule="exact"/>
              <w:jc w:val="right"/>
              <w:rPr>
                <w:noProof/>
                <w:sz w:val="16"/>
                <w:szCs w:val="16"/>
              </w:rPr>
            </w:pPr>
            <w:r w:rsidRPr="002D52A1">
              <w:rPr>
                <w:noProof/>
                <w:sz w:val="16"/>
              </w:rPr>
              <w:t>–</w:t>
            </w:r>
          </w:p>
        </w:tc>
        <w:tc>
          <w:tcPr>
            <w:tcW w:w="1080" w:type="dxa"/>
            <w:vAlign w:val="center"/>
          </w:tcPr>
          <w:p w14:paraId="7E1D4A82" w14:textId="77777777" w:rsidR="00C4624A" w:rsidRPr="002D52A1" w:rsidRDefault="00C4624A" w:rsidP="00461AA0">
            <w:pPr>
              <w:spacing w:before="60" w:after="60" w:line="200" w:lineRule="exact"/>
              <w:jc w:val="right"/>
              <w:rPr>
                <w:noProof/>
                <w:sz w:val="16"/>
                <w:szCs w:val="16"/>
              </w:rPr>
            </w:pPr>
            <w:r w:rsidRPr="002D52A1">
              <w:rPr>
                <w:noProof/>
                <w:sz w:val="16"/>
              </w:rPr>
              <w:t>–</w:t>
            </w:r>
          </w:p>
        </w:tc>
        <w:tc>
          <w:tcPr>
            <w:tcW w:w="1080" w:type="dxa"/>
            <w:vAlign w:val="center"/>
          </w:tcPr>
          <w:p w14:paraId="44C05C9B" w14:textId="77777777" w:rsidR="00C4624A" w:rsidRPr="002D52A1" w:rsidRDefault="00C4624A" w:rsidP="00461AA0">
            <w:pPr>
              <w:spacing w:before="60" w:after="60" w:line="200" w:lineRule="exact"/>
              <w:jc w:val="right"/>
              <w:rPr>
                <w:noProof/>
                <w:sz w:val="16"/>
                <w:szCs w:val="16"/>
              </w:rPr>
            </w:pPr>
            <w:r w:rsidRPr="002D52A1">
              <w:rPr>
                <w:noProof/>
                <w:sz w:val="16"/>
              </w:rPr>
              <w:t>–</w:t>
            </w:r>
          </w:p>
        </w:tc>
        <w:tc>
          <w:tcPr>
            <w:tcW w:w="1080" w:type="dxa"/>
            <w:vAlign w:val="center"/>
          </w:tcPr>
          <w:p w14:paraId="22AD780F" w14:textId="77777777" w:rsidR="00C4624A" w:rsidRPr="002D52A1" w:rsidRDefault="00C4624A" w:rsidP="00461AA0">
            <w:pPr>
              <w:spacing w:before="60" w:after="60" w:line="200" w:lineRule="exact"/>
              <w:jc w:val="right"/>
              <w:rPr>
                <w:noProof/>
                <w:sz w:val="16"/>
                <w:szCs w:val="16"/>
              </w:rPr>
            </w:pPr>
            <w:r w:rsidRPr="002D52A1">
              <w:rPr>
                <w:noProof/>
                <w:sz w:val="16"/>
              </w:rPr>
              <w:t>–</w:t>
            </w:r>
          </w:p>
        </w:tc>
        <w:tc>
          <w:tcPr>
            <w:tcW w:w="1080" w:type="dxa"/>
            <w:vAlign w:val="center"/>
          </w:tcPr>
          <w:p w14:paraId="73E39171" w14:textId="77777777" w:rsidR="00C4624A" w:rsidRPr="002D52A1" w:rsidRDefault="00C4624A" w:rsidP="00461AA0">
            <w:pPr>
              <w:spacing w:before="60" w:after="60" w:line="200" w:lineRule="exact"/>
              <w:jc w:val="right"/>
              <w:rPr>
                <w:b/>
                <w:bCs/>
                <w:noProof/>
                <w:sz w:val="16"/>
                <w:szCs w:val="16"/>
              </w:rPr>
            </w:pPr>
            <w:r w:rsidRPr="002D52A1">
              <w:rPr>
                <w:noProof/>
                <w:sz w:val="16"/>
              </w:rPr>
              <w:t>0,06</w:t>
            </w:r>
          </w:p>
        </w:tc>
      </w:tr>
      <w:tr w:rsidR="00C4624A" w:rsidRPr="002D52A1" w14:paraId="3C4DC37B" w14:textId="77777777" w:rsidTr="00461AA0">
        <w:trPr>
          <w:trHeight w:val="585"/>
        </w:trPr>
        <w:tc>
          <w:tcPr>
            <w:tcW w:w="1980" w:type="dxa"/>
            <w:shd w:val="clear" w:color="auto" w:fill="CCCCCC"/>
            <w:vAlign w:val="center"/>
          </w:tcPr>
          <w:p w14:paraId="12CE9686" w14:textId="77777777" w:rsidR="00C4624A" w:rsidRPr="002D52A1" w:rsidRDefault="00C4624A" w:rsidP="00461AA0">
            <w:pPr>
              <w:spacing w:before="60" w:after="60" w:line="200" w:lineRule="exact"/>
              <w:jc w:val="center"/>
              <w:rPr>
                <w:b/>
                <w:bCs/>
                <w:noProof/>
                <w:sz w:val="16"/>
                <w:szCs w:val="16"/>
              </w:rPr>
            </w:pPr>
            <w:r w:rsidRPr="002D52A1">
              <w:rPr>
                <w:b/>
                <w:noProof/>
                <w:sz w:val="16"/>
              </w:rPr>
              <w:t>Medzisúčet OKRUHU 7</w:t>
            </w:r>
          </w:p>
          <w:p w14:paraId="1A713BD1" w14:textId="77777777" w:rsidR="00C4624A" w:rsidRPr="002D52A1" w:rsidRDefault="00C4624A" w:rsidP="00461AA0">
            <w:pPr>
              <w:spacing w:before="60" w:after="60" w:line="200" w:lineRule="exact"/>
              <w:jc w:val="center"/>
              <w:rPr>
                <w:b/>
                <w:bCs/>
                <w:noProof/>
                <w:sz w:val="16"/>
                <w:szCs w:val="16"/>
              </w:rPr>
            </w:pPr>
            <w:r w:rsidRPr="002D52A1">
              <w:rPr>
                <w:b/>
                <w:noProof/>
                <w:sz w:val="16"/>
              </w:rPr>
              <w:t xml:space="preserve">viacročného finančného rámca </w:t>
            </w:r>
          </w:p>
        </w:tc>
        <w:tc>
          <w:tcPr>
            <w:tcW w:w="1080" w:type="dxa"/>
            <w:vAlign w:val="center"/>
          </w:tcPr>
          <w:p w14:paraId="0510900E" w14:textId="77777777" w:rsidR="00C4624A" w:rsidRPr="002D52A1" w:rsidRDefault="00C4624A" w:rsidP="00461AA0">
            <w:pPr>
              <w:spacing w:before="60" w:after="60" w:line="200" w:lineRule="exact"/>
              <w:jc w:val="right"/>
              <w:rPr>
                <w:noProof/>
                <w:sz w:val="16"/>
                <w:szCs w:val="16"/>
              </w:rPr>
            </w:pPr>
            <w:r w:rsidRPr="002D52A1">
              <w:rPr>
                <w:noProof/>
                <w:sz w:val="16"/>
              </w:rPr>
              <w:t>0,848</w:t>
            </w:r>
          </w:p>
        </w:tc>
        <w:tc>
          <w:tcPr>
            <w:tcW w:w="1080" w:type="dxa"/>
            <w:vAlign w:val="center"/>
          </w:tcPr>
          <w:p w14:paraId="6773155E" w14:textId="77777777" w:rsidR="00C4624A" w:rsidRPr="002D52A1" w:rsidRDefault="00C4624A" w:rsidP="00461AA0">
            <w:pPr>
              <w:spacing w:before="60" w:after="60" w:line="200" w:lineRule="exact"/>
              <w:jc w:val="right"/>
              <w:rPr>
                <w:noProof/>
                <w:sz w:val="16"/>
                <w:szCs w:val="16"/>
              </w:rPr>
            </w:pPr>
            <w:r w:rsidRPr="002D52A1">
              <w:rPr>
                <w:noProof/>
                <w:sz w:val="16"/>
              </w:rPr>
              <w:t>0,484</w:t>
            </w:r>
          </w:p>
        </w:tc>
        <w:tc>
          <w:tcPr>
            <w:tcW w:w="1080" w:type="dxa"/>
            <w:vAlign w:val="center"/>
          </w:tcPr>
          <w:p w14:paraId="45079E66" w14:textId="77777777" w:rsidR="00C4624A" w:rsidRPr="002D52A1" w:rsidRDefault="00C4624A" w:rsidP="00461AA0">
            <w:pPr>
              <w:spacing w:before="60" w:after="60" w:line="200" w:lineRule="exact"/>
              <w:jc w:val="right"/>
              <w:rPr>
                <w:noProof/>
                <w:sz w:val="16"/>
                <w:szCs w:val="16"/>
              </w:rPr>
            </w:pPr>
            <w:r w:rsidRPr="002D52A1">
              <w:rPr>
                <w:noProof/>
                <w:sz w:val="16"/>
              </w:rPr>
              <w:t>0,424</w:t>
            </w:r>
          </w:p>
        </w:tc>
        <w:tc>
          <w:tcPr>
            <w:tcW w:w="1080" w:type="dxa"/>
            <w:vAlign w:val="center"/>
          </w:tcPr>
          <w:p w14:paraId="5054946F"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57CF36F2"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437BCCD6" w14:textId="77777777" w:rsidR="00C4624A" w:rsidRPr="002D52A1" w:rsidRDefault="00C4624A" w:rsidP="00461AA0">
            <w:pPr>
              <w:spacing w:before="60" w:after="60" w:line="200" w:lineRule="exact"/>
              <w:jc w:val="right"/>
              <w:rPr>
                <w:noProof/>
                <w:sz w:val="16"/>
                <w:szCs w:val="16"/>
              </w:rPr>
            </w:pPr>
            <w:r w:rsidRPr="002D52A1">
              <w:rPr>
                <w:noProof/>
                <w:sz w:val="16"/>
              </w:rPr>
              <w:t>0,072</w:t>
            </w:r>
          </w:p>
        </w:tc>
        <w:tc>
          <w:tcPr>
            <w:tcW w:w="1080" w:type="dxa"/>
            <w:vAlign w:val="center"/>
          </w:tcPr>
          <w:p w14:paraId="7F6E0F4C" w14:textId="77777777" w:rsidR="00C4624A" w:rsidRPr="002D52A1" w:rsidRDefault="00C4624A" w:rsidP="00461AA0">
            <w:pPr>
              <w:spacing w:before="60" w:after="60" w:line="200" w:lineRule="exact"/>
              <w:jc w:val="right"/>
              <w:rPr>
                <w:b/>
                <w:bCs/>
                <w:noProof/>
                <w:sz w:val="16"/>
                <w:szCs w:val="16"/>
              </w:rPr>
            </w:pPr>
            <w:r w:rsidRPr="002D52A1">
              <w:rPr>
                <w:b/>
                <w:noProof/>
                <w:sz w:val="16"/>
              </w:rPr>
              <w:t>1,972</w:t>
            </w:r>
          </w:p>
        </w:tc>
      </w:tr>
    </w:tbl>
    <w:p w14:paraId="0E511CAE" w14:textId="77777777" w:rsidR="00C4624A" w:rsidRPr="002D52A1" w:rsidRDefault="00C4624A" w:rsidP="00C4624A">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4624A" w:rsidRPr="002D52A1" w14:paraId="0ADB61AA" w14:textId="77777777" w:rsidTr="00461AA0">
        <w:trPr>
          <w:trHeight w:val="585"/>
        </w:trPr>
        <w:tc>
          <w:tcPr>
            <w:tcW w:w="1980" w:type="dxa"/>
            <w:shd w:val="clear" w:color="auto" w:fill="CCCCCC"/>
            <w:vAlign w:val="center"/>
          </w:tcPr>
          <w:p w14:paraId="5E603EDB" w14:textId="77777777" w:rsidR="002D52A1" w:rsidRPr="002D52A1" w:rsidRDefault="00C4624A" w:rsidP="00461AA0">
            <w:pPr>
              <w:spacing w:before="60" w:after="60" w:line="200" w:lineRule="exact"/>
              <w:jc w:val="center"/>
              <w:rPr>
                <w:b/>
                <w:noProof/>
                <w:sz w:val="16"/>
              </w:rPr>
            </w:pPr>
            <w:r w:rsidRPr="002D52A1">
              <w:rPr>
                <w:b/>
                <w:noProof/>
                <w:sz w:val="16"/>
              </w:rPr>
              <w:t>Mimo OKRUHU 7</w:t>
            </w:r>
            <w:r w:rsidRPr="002D52A1">
              <w:rPr>
                <w:rStyle w:val="FootnoteReference"/>
                <w:b/>
                <w:bCs/>
                <w:noProof/>
                <w:sz w:val="16"/>
                <w:szCs w:val="16"/>
              </w:rPr>
              <w:footnoteReference w:id="43"/>
            </w:r>
          </w:p>
          <w:p w14:paraId="2FF2539C" w14:textId="77777777" w:rsidR="002D52A1" w:rsidRPr="002D52A1" w:rsidRDefault="00C4624A" w:rsidP="00461AA0">
            <w:pPr>
              <w:spacing w:before="60" w:after="60" w:line="200" w:lineRule="exact"/>
              <w:jc w:val="center"/>
              <w:rPr>
                <w:b/>
                <w:noProof/>
                <w:sz w:val="16"/>
              </w:rPr>
            </w:pPr>
            <w:r w:rsidRPr="002D52A1">
              <w:rPr>
                <w:b/>
                <w:noProof/>
                <w:sz w:val="16"/>
              </w:rPr>
              <w:t>viacročného finančného rámca</w:t>
            </w:r>
          </w:p>
          <w:p w14:paraId="4481A183" w14:textId="2D584F98" w:rsidR="00C4624A" w:rsidRPr="002D52A1" w:rsidRDefault="00C4624A" w:rsidP="00461AA0">
            <w:pPr>
              <w:spacing w:before="0" w:after="0" w:line="200" w:lineRule="exact"/>
              <w:jc w:val="center"/>
              <w:rPr>
                <w:b/>
                <w:bCs/>
                <w:noProof/>
                <w:sz w:val="16"/>
                <w:szCs w:val="16"/>
              </w:rPr>
            </w:pPr>
          </w:p>
        </w:tc>
        <w:tc>
          <w:tcPr>
            <w:tcW w:w="1080" w:type="dxa"/>
            <w:vAlign w:val="center"/>
          </w:tcPr>
          <w:p w14:paraId="3C1DFD13"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65829D9D"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EE57676"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23FE7252"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73748B61"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913EF0A"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6CC63490" w14:textId="77777777" w:rsidR="00C4624A" w:rsidRPr="002D52A1" w:rsidRDefault="00C4624A" w:rsidP="00461AA0">
            <w:pPr>
              <w:spacing w:before="60" w:after="60" w:line="200" w:lineRule="exact"/>
              <w:jc w:val="right"/>
              <w:rPr>
                <w:b/>
                <w:bCs/>
                <w:noProof/>
                <w:sz w:val="16"/>
                <w:szCs w:val="16"/>
              </w:rPr>
            </w:pPr>
          </w:p>
        </w:tc>
      </w:tr>
      <w:tr w:rsidR="00C4624A" w:rsidRPr="002D52A1" w14:paraId="341F4A8D" w14:textId="77777777" w:rsidTr="00461AA0">
        <w:trPr>
          <w:trHeight w:val="585"/>
        </w:trPr>
        <w:tc>
          <w:tcPr>
            <w:tcW w:w="1980" w:type="dxa"/>
            <w:vAlign w:val="center"/>
          </w:tcPr>
          <w:p w14:paraId="1D3E7939" w14:textId="77777777" w:rsidR="00C4624A" w:rsidRPr="002D52A1" w:rsidRDefault="00C4624A" w:rsidP="00461AA0">
            <w:pPr>
              <w:spacing w:before="60" w:after="60" w:line="200" w:lineRule="exact"/>
              <w:ind w:left="72"/>
              <w:jc w:val="left"/>
              <w:rPr>
                <w:noProof/>
                <w:sz w:val="16"/>
                <w:szCs w:val="16"/>
              </w:rPr>
            </w:pPr>
            <w:r w:rsidRPr="002D52A1">
              <w:rPr>
                <w:noProof/>
                <w:sz w:val="16"/>
              </w:rPr>
              <w:t xml:space="preserve">Ľudské zdroje </w:t>
            </w:r>
          </w:p>
        </w:tc>
        <w:tc>
          <w:tcPr>
            <w:tcW w:w="1080" w:type="dxa"/>
            <w:vAlign w:val="center"/>
          </w:tcPr>
          <w:p w14:paraId="00BD379C"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760AFC1D"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1E76D754"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02F7B05"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88F4FEC"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3CF9FA29"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CFEC02C" w14:textId="77777777" w:rsidR="00C4624A" w:rsidRPr="002D52A1" w:rsidRDefault="00C4624A" w:rsidP="00461AA0">
            <w:pPr>
              <w:spacing w:before="60" w:after="60" w:line="200" w:lineRule="exact"/>
              <w:jc w:val="right"/>
              <w:rPr>
                <w:b/>
                <w:noProof/>
                <w:sz w:val="16"/>
                <w:szCs w:val="16"/>
              </w:rPr>
            </w:pPr>
          </w:p>
        </w:tc>
      </w:tr>
      <w:tr w:rsidR="00C4624A" w:rsidRPr="002D52A1" w14:paraId="64365CF5" w14:textId="77777777" w:rsidTr="00461AA0">
        <w:trPr>
          <w:trHeight w:val="585"/>
        </w:trPr>
        <w:tc>
          <w:tcPr>
            <w:tcW w:w="1980" w:type="dxa"/>
            <w:vAlign w:val="center"/>
          </w:tcPr>
          <w:p w14:paraId="2F7BD2A6" w14:textId="77777777" w:rsidR="00C4624A" w:rsidRPr="002D52A1" w:rsidRDefault="00C4624A" w:rsidP="00461AA0">
            <w:pPr>
              <w:spacing w:before="60" w:after="60" w:line="200" w:lineRule="exact"/>
              <w:ind w:left="72"/>
              <w:jc w:val="left"/>
              <w:rPr>
                <w:noProof/>
                <w:sz w:val="16"/>
                <w:szCs w:val="16"/>
              </w:rPr>
            </w:pPr>
            <w:r w:rsidRPr="002D52A1">
              <w:rPr>
                <w:noProof/>
                <w:sz w:val="16"/>
              </w:rPr>
              <w:t>Ostatné administratívne výdavky</w:t>
            </w:r>
          </w:p>
        </w:tc>
        <w:tc>
          <w:tcPr>
            <w:tcW w:w="1080" w:type="dxa"/>
            <w:vAlign w:val="center"/>
          </w:tcPr>
          <w:p w14:paraId="3C4CF276"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6EFE6FA2"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320D80BB"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B10488B"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ABBE8B1"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25DAB33B"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521AAB9C" w14:textId="77777777" w:rsidR="00C4624A" w:rsidRPr="002D52A1" w:rsidRDefault="00C4624A" w:rsidP="00461AA0">
            <w:pPr>
              <w:spacing w:before="60" w:after="60" w:line="200" w:lineRule="exact"/>
              <w:jc w:val="right"/>
              <w:rPr>
                <w:b/>
                <w:noProof/>
                <w:sz w:val="16"/>
                <w:szCs w:val="16"/>
              </w:rPr>
            </w:pPr>
          </w:p>
        </w:tc>
      </w:tr>
      <w:tr w:rsidR="00C4624A" w:rsidRPr="002D52A1" w14:paraId="792D8F82" w14:textId="77777777" w:rsidTr="00461AA0">
        <w:trPr>
          <w:trHeight w:val="585"/>
        </w:trPr>
        <w:tc>
          <w:tcPr>
            <w:tcW w:w="1980" w:type="dxa"/>
            <w:shd w:val="clear" w:color="auto" w:fill="CCCCCC"/>
            <w:vAlign w:val="center"/>
          </w:tcPr>
          <w:p w14:paraId="14990251" w14:textId="77777777" w:rsidR="00C4624A" w:rsidRPr="002D52A1" w:rsidRDefault="00C4624A" w:rsidP="00461AA0">
            <w:pPr>
              <w:spacing w:before="60" w:after="60" w:line="200" w:lineRule="exact"/>
              <w:jc w:val="center"/>
              <w:rPr>
                <w:b/>
                <w:noProof/>
                <w:sz w:val="16"/>
                <w:szCs w:val="16"/>
              </w:rPr>
            </w:pPr>
            <w:r w:rsidRPr="002D52A1">
              <w:rPr>
                <w:b/>
                <w:noProof/>
                <w:sz w:val="16"/>
              </w:rPr>
              <w:t xml:space="preserve">Medzisúčet mimo OKRUHU 7 viacročného finančného rámca </w:t>
            </w:r>
          </w:p>
        </w:tc>
        <w:tc>
          <w:tcPr>
            <w:tcW w:w="1080" w:type="dxa"/>
            <w:vAlign w:val="center"/>
          </w:tcPr>
          <w:p w14:paraId="4CFA92B3"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43DABC7C"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397DCA9F"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29D30CFB"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20A5BD25"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1156049E" w14:textId="77777777" w:rsidR="00C4624A" w:rsidRPr="002D52A1" w:rsidRDefault="00C4624A" w:rsidP="00461AA0">
            <w:pPr>
              <w:spacing w:before="60" w:after="60" w:line="200" w:lineRule="exact"/>
              <w:jc w:val="right"/>
              <w:rPr>
                <w:noProof/>
                <w:sz w:val="16"/>
                <w:szCs w:val="16"/>
              </w:rPr>
            </w:pPr>
          </w:p>
        </w:tc>
        <w:tc>
          <w:tcPr>
            <w:tcW w:w="1080" w:type="dxa"/>
            <w:vAlign w:val="center"/>
          </w:tcPr>
          <w:p w14:paraId="2BFBE283" w14:textId="77777777" w:rsidR="00C4624A" w:rsidRPr="002D52A1" w:rsidRDefault="00C4624A" w:rsidP="00461AA0">
            <w:pPr>
              <w:spacing w:before="60" w:after="60" w:line="200" w:lineRule="exact"/>
              <w:jc w:val="right"/>
              <w:rPr>
                <w:b/>
                <w:noProof/>
                <w:sz w:val="16"/>
                <w:szCs w:val="16"/>
              </w:rPr>
            </w:pPr>
          </w:p>
        </w:tc>
      </w:tr>
    </w:tbl>
    <w:p w14:paraId="63E758D9" w14:textId="77777777" w:rsidR="00C4624A" w:rsidRPr="002D52A1" w:rsidRDefault="00C4624A" w:rsidP="00C4624A">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C4624A" w:rsidRPr="002D52A1" w14:paraId="30016D45" w14:textId="77777777" w:rsidTr="00461AA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D4868F4" w14:textId="77777777" w:rsidR="00C4624A" w:rsidRPr="002D52A1" w:rsidRDefault="00C4624A" w:rsidP="00461AA0">
            <w:pPr>
              <w:spacing w:before="60" w:after="60" w:line="200" w:lineRule="exact"/>
              <w:jc w:val="center"/>
              <w:rPr>
                <w:noProof/>
                <w:sz w:val="16"/>
                <w:szCs w:val="16"/>
              </w:rPr>
            </w:pPr>
            <w:r w:rsidRPr="002D52A1">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14:paraId="1DEF369A" w14:textId="77777777" w:rsidR="00C4624A" w:rsidRPr="002D52A1" w:rsidRDefault="00C4624A" w:rsidP="00461AA0">
            <w:pPr>
              <w:spacing w:before="60" w:after="60" w:line="200" w:lineRule="exact"/>
              <w:jc w:val="right"/>
              <w:rPr>
                <w:b/>
                <w:bCs/>
                <w:noProof/>
                <w:sz w:val="16"/>
                <w:szCs w:val="16"/>
              </w:rPr>
            </w:pPr>
            <w:r w:rsidRPr="002D52A1">
              <w:rPr>
                <w:noProof/>
                <w:sz w:val="16"/>
              </w:rPr>
              <w:t>0,848</w:t>
            </w:r>
          </w:p>
        </w:tc>
        <w:tc>
          <w:tcPr>
            <w:tcW w:w="1080" w:type="dxa"/>
            <w:tcBorders>
              <w:top w:val="single" w:sz="12" w:space="0" w:color="auto"/>
              <w:left w:val="single" w:sz="2" w:space="0" w:color="auto"/>
              <w:bottom w:val="single" w:sz="12" w:space="0" w:color="auto"/>
              <w:right w:val="single" w:sz="2" w:space="0" w:color="auto"/>
            </w:tcBorders>
            <w:vAlign w:val="center"/>
          </w:tcPr>
          <w:p w14:paraId="7D0E833D" w14:textId="77777777" w:rsidR="00C4624A" w:rsidRPr="002D52A1" w:rsidRDefault="00C4624A" w:rsidP="00461AA0">
            <w:pPr>
              <w:spacing w:before="60" w:after="60" w:line="200" w:lineRule="exact"/>
              <w:jc w:val="right"/>
              <w:rPr>
                <w:b/>
                <w:bCs/>
                <w:noProof/>
                <w:sz w:val="16"/>
                <w:szCs w:val="16"/>
              </w:rPr>
            </w:pPr>
            <w:r w:rsidRPr="002D52A1">
              <w:rPr>
                <w:noProof/>
                <w:sz w:val="16"/>
              </w:rPr>
              <w:t>0,484</w:t>
            </w:r>
          </w:p>
        </w:tc>
        <w:tc>
          <w:tcPr>
            <w:tcW w:w="1080" w:type="dxa"/>
            <w:tcBorders>
              <w:top w:val="single" w:sz="12" w:space="0" w:color="auto"/>
              <w:left w:val="single" w:sz="2" w:space="0" w:color="auto"/>
              <w:bottom w:val="single" w:sz="12" w:space="0" w:color="auto"/>
              <w:right w:val="single" w:sz="2" w:space="0" w:color="auto"/>
            </w:tcBorders>
            <w:vAlign w:val="center"/>
          </w:tcPr>
          <w:p w14:paraId="30CDBE70" w14:textId="77777777" w:rsidR="00C4624A" w:rsidRPr="002D52A1" w:rsidRDefault="00C4624A" w:rsidP="00461AA0">
            <w:pPr>
              <w:spacing w:before="60" w:after="60" w:line="200" w:lineRule="exact"/>
              <w:jc w:val="right"/>
              <w:rPr>
                <w:b/>
                <w:bCs/>
                <w:noProof/>
                <w:sz w:val="16"/>
                <w:szCs w:val="16"/>
              </w:rPr>
            </w:pPr>
            <w:r w:rsidRPr="002D52A1">
              <w:rPr>
                <w:noProof/>
                <w:sz w:val="16"/>
              </w:rPr>
              <w:t>0,424</w:t>
            </w:r>
          </w:p>
        </w:tc>
        <w:tc>
          <w:tcPr>
            <w:tcW w:w="1080" w:type="dxa"/>
            <w:tcBorders>
              <w:top w:val="single" w:sz="12" w:space="0" w:color="auto"/>
              <w:left w:val="single" w:sz="2" w:space="0" w:color="auto"/>
              <w:bottom w:val="single" w:sz="12" w:space="0" w:color="auto"/>
              <w:right w:val="single" w:sz="2" w:space="0" w:color="auto"/>
            </w:tcBorders>
            <w:vAlign w:val="center"/>
          </w:tcPr>
          <w:p w14:paraId="600F8B27" w14:textId="77777777" w:rsidR="00C4624A" w:rsidRPr="002D52A1" w:rsidRDefault="00C4624A" w:rsidP="00461AA0">
            <w:pPr>
              <w:spacing w:before="60" w:after="60" w:line="200" w:lineRule="exact"/>
              <w:jc w:val="right"/>
              <w:rPr>
                <w:b/>
                <w:bCs/>
                <w:noProof/>
                <w:sz w:val="16"/>
                <w:szCs w:val="16"/>
              </w:rPr>
            </w:pPr>
            <w:r w:rsidRPr="002D52A1">
              <w:rPr>
                <w:noProof/>
                <w:sz w:val="16"/>
              </w:rPr>
              <w:t>0,072</w:t>
            </w:r>
          </w:p>
        </w:tc>
        <w:tc>
          <w:tcPr>
            <w:tcW w:w="1080" w:type="dxa"/>
            <w:tcBorders>
              <w:top w:val="single" w:sz="12" w:space="0" w:color="auto"/>
              <w:left w:val="single" w:sz="2" w:space="0" w:color="auto"/>
              <w:bottom w:val="single" w:sz="12" w:space="0" w:color="auto"/>
              <w:right w:val="single" w:sz="2" w:space="0" w:color="auto"/>
            </w:tcBorders>
            <w:vAlign w:val="center"/>
          </w:tcPr>
          <w:p w14:paraId="4F5A4769" w14:textId="77777777" w:rsidR="00C4624A" w:rsidRPr="002D52A1" w:rsidRDefault="00C4624A" w:rsidP="00461AA0">
            <w:pPr>
              <w:spacing w:before="60" w:after="60" w:line="200" w:lineRule="exact"/>
              <w:jc w:val="right"/>
              <w:rPr>
                <w:b/>
                <w:bCs/>
                <w:noProof/>
                <w:sz w:val="16"/>
                <w:szCs w:val="16"/>
              </w:rPr>
            </w:pPr>
            <w:r w:rsidRPr="002D52A1">
              <w:rPr>
                <w:noProof/>
                <w:sz w:val="16"/>
              </w:rPr>
              <w:t>0,072</w:t>
            </w:r>
          </w:p>
        </w:tc>
        <w:tc>
          <w:tcPr>
            <w:tcW w:w="1080" w:type="dxa"/>
            <w:tcBorders>
              <w:top w:val="single" w:sz="12" w:space="0" w:color="auto"/>
              <w:left w:val="single" w:sz="2" w:space="0" w:color="auto"/>
              <w:bottom w:val="single" w:sz="12" w:space="0" w:color="auto"/>
              <w:right w:val="single" w:sz="2" w:space="0" w:color="auto"/>
            </w:tcBorders>
            <w:vAlign w:val="center"/>
          </w:tcPr>
          <w:p w14:paraId="557264BB" w14:textId="77777777" w:rsidR="00C4624A" w:rsidRPr="002D52A1" w:rsidRDefault="00C4624A" w:rsidP="00461AA0">
            <w:pPr>
              <w:spacing w:before="60" w:after="60" w:line="200" w:lineRule="exact"/>
              <w:jc w:val="right"/>
              <w:rPr>
                <w:b/>
                <w:bCs/>
                <w:noProof/>
                <w:sz w:val="16"/>
                <w:szCs w:val="16"/>
              </w:rPr>
            </w:pPr>
            <w:r w:rsidRPr="002D52A1">
              <w:rPr>
                <w:noProof/>
                <w:sz w:val="16"/>
              </w:rPr>
              <w:t>0,072</w:t>
            </w:r>
          </w:p>
        </w:tc>
        <w:tc>
          <w:tcPr>
            <w:tcW w:w="1080" w:type="dxa"/>
            <w:tcBorders>
              <w:top w:val="single" w:sz="12" w:space="0" w:color="auto"/>
              <w:left w:val="single" w:sz="2" w:space="0" w:color="auto"/>
              <w:bottom w:val="single" w:sz="12" w:space="0" w:color="auto"/>
              <w:right w:val="single" w:sz="2" w:space="0" w:color="auto"/>
            </w:tcBorders>
            <w:vAlign w:val="center"/>
          </w:tcPr>
          <w:p w14:paraId="208F2EC1" w14:textId="77777777" w:rsidR="00C4624A" w:rsidRPr="002D52A1" w:rsidRDefault="00C4624A" w:rsidP="00461AA0">
            <w:pPr>
              <w:spacing w:before="60" w:after="60" w:line="200" w:lineRule="exact"/>
              <w:jc w:val="right"/>
              <w:rPr>
                <w:b/>
                <w:bCs/>
                <w:noProof/>
                <w:sz w:val="16"/>
                <w:szCs w:val="16"/>
              </w:rPr>
            </w:pPr>
            <w:r w:rsidRPr="002D52A1">
              <w:rPr>
                <w:b/>
                <w:noProof/>
                <w:sz w:val="16"/>
              </w:rPr>
              <w:t>1,972</w:t>
            </w:r>
          </w:p>
        </w:tc>
      </w:tr>
    </w:tbl>
    <w:p w14:paraId="41C9AAA9" w14:textId="6D11AF66" w:rsidR="00C4624A" w:rsidRPr="002D52A1" w:rsidRDefault="00C4624A" w:rsidP="00C4624A">
      <w:pPr>
        <w:rPr>
          <w:noProof/>
          <w:sz w:val="18"/>
        </w:rPr>
      </w:pPr>
      <w:r w:rsidRPr="002D52A1">
        <w:rPr>
          <w:noProof/>
          <w:sz w:val="18"/>
        </w:rPr>
        <w:t>Rozpočtové prostriedky potrebné na ľudské zdroje</w:t>
      </w:r>
      <w:r w:rsidR="002D52A1">
        <w:rPr>
          <w:noProof/>
          <w:sz w:val="18"/>
        </w:rPr>
        <w:t xml:space="preserve"> a </w:t>
      </w:r>
      <w:r w:rsidRPr="002D52A1">
        <w:rPr>
          <w:noProof/>
          <w:sz w:val="18"/>
        </w:rPr>
        <w:t>na ostatné administratívne výdavky budú pokryté rozpočtovými prostriedkami GR, ktoré už boli pridelené na riadenie akcie a/alebo boli prerozdelené</w:t>
      </w:r>
      <w:r w:rsidR="002D52A1">
        <w:rPr>
          <w:noProof/>
          <w:sz w:val="18"/>
        </w:rPr>
        <w:t xml:space="preserve"> v </w:t>
      </w:r>
      <w:r w:rsidRPr="002D52A1">
        <w:rPr>
          <w:noProof/>
          <w:sz w:val="18"/>
        </w:rPr>
        <w:t>rámci GR,</w:t>
      </w:r>
      <w:r w:rsidR="002D52A1">
        <w:rPr>
          <w:noProof/>
          <w:sz w:val="18"/>
        </w:rPr>
        <w:t xml:space="preserve"> a v </w:t>
      </w:r>
      <w:r w:rsidRPr="002D52A1">
        <w:rPr>
          <w:noProof/>
          <w:sz w:val="18"/>
        </w:rPr>
        <w:t>prípade potreby budú doplnené zdrojmi, ktoré sa môžu prideliť riadiacemu GR</w:t>
      </w:r>
      <w:r w:rsidR="002D52A1">
        <w:rPr>
          <w:noProof/>
          <w:sz w:val="18"/>
        </w:rPr>
        <w:t xml:space="preserve"> v </w:t>
      </w:r>
      <w:r w:rsidRPr="002D52A1">
        <w:rPr>
          <w:noProof/>
          <w:sz w:val="18"/>
        </w:rPr>
        <w:t>rámci ročného postupu prideľovania zdrojov</w:t>
      </w:r>
      <w:r w:rsidR="002D52A1">
        <w:rPr>
          <w:noProof/>
          <w:sz w:val="18"/>
        </w:rPr>
        <w:t xml:space="preserve"> a v </w:t>
      </w:r>
      <w:r w:rsidRPr="002D52A1">
        <w:rPr>
          <w:noProof/>
          <w:sz w:val="18"/>
        </w:rPr>
        <w:t>závislosti od rozpočtových obmedzení.</w:t>
      </w:r>
    </w:p>
    <w:p w14:paraId="70A4F0E1" w14:textId="77777777" w:rsidR="00C4624A" w:rsidRPr="002D52A1" w:rsidRDefault="00C4624A" w:rsidP="00C4624A">
      <w:pPr>
        <w:rPr>
          <w:noProof/>
          <w:sz w:val="18"/>
        </w:rPr>
        <w:sectPr w:rsidR="00C4624A" w:rsidRPr="002D52A1" w:rsidSect="00A6081D">
          <w:headerReference w:type="default" r:id="rId19"/>
          <w:footerReference w:type="default" r:id="rId20"/>
          <w:headerReference w:type="first" r:id="rId21"/>
          <w:footerReference w:type="first" r:id="rId22"/>
          <w:pgSz w:w="11907" w:h="16840"/>
          <w:pgMar w:top="1134" w:right="1418" w:bottom="1134" w:left="1418" w:header="709" w:footer="709" w:gutter="0"/>
          <w:cols w:space="708"/>
          <w:docGrid w:linePitch="360"/>
        </w:sectPr>
      </w:pPr>
    </w:p>
    <w:p w14:paraId="4FB2244E" w14:textId="6AE4E669" w:rsidR="002D52A1" w:rsidRPr="002D52A1" w:rsidRDefault="00D05784" w:rsidP="00D05784">
      <w:pPr>
        <w:pStyle w:val="ManualHeading4"/>
        <w:rPr>
          <w:noProof/>
        </w:rPr>
      </w:pPr>
      <w:r w:rsidRPr="00D05784">
        <w:t>3.2.3.1.</w:t>
      </w:r>
      <w:r w:rsidRPr="00D05784">
        <w:tab/>
      </w:r>
      <w:r w:rsidR="00C4624A" w:rsidRPr="002D52A1">
        <w:rPr>
          <w:noProof/>
        </w:rPr>
        <w:t>Odhadované potreby ľudských zdrojov</w:t>
      </w:r>
    </w:p>
    <w:p w14:paraId="2FC4C894" w14:textId="7E7E55E5" w:rsidR="00C4624A" w:rsidRPr="002D52A1" w:rsidRDefault="00C4624A" w:rsidP="00C4624A">
      <w:pPr>
        <w:pStyle w:val="ListDash1"/>
        <w:rPr>
          <w:noProof/>
        </w:rPr>
      </w:pPr>
      <w:r w:rsidRPr="002D52A1">
        <w:rPr>
          <w:rFonts w:ascii="Wingdings" w:hAnsi="Wingdings"/>
          <w:noProof/>
        </w:rPr>
        <w:t></w:t>
      </w:r>
      <w:r w:rsidRPr="002D52A1">
        <w:rPr>
          <w:noProof/>
        </w:rPr>
        <w:t>Návrh/iniciatíva si vyžaduje použitie týchto ľudských zdrojov:</w:t>
      </w:r>
    </w:p>
    <w:p w14:paraId="2B4FAC3D" w14:textId="767B2564" w:rsidR="00C4624A" w:rsidRPr="002D52A1" w:rsidRDefault="00C4624A" w:rsidP="00C4624A">
      <w:pPr>
        <w:spacing w:after="60"/>
        <w:jc w:val="right"/>
        <w:rPr>
          <w:i/>
          <w:noProof/>
          <w:sz w:val="20"/>
        </w:rPr>
      </w:pPr>
      <w:r w:rsidRPr="002D52A1">
        <w:rPr>
          <w:i/>
          <w:noProof/>
          <w:sz w:val="20"/>
        </w:rPr>
        <w:t>odhady sa vyjadrujú</w:t>
      </w:r>
      <w:r w:rsidR="002D52A1">
        <w:rPr>
          <w:i/>
          <w:noProof/>
          <w:sz w:val="20"/>
        </w:rPr>
        <w:t xml:space="preserve"> v </w:t>
      </w:r>
      <w:r w:rsidRPr="002D52A1">
        <w:rPr>
          <w:i/>
          <w:noProof/>
          <w:sz w:val="20"/>
        </w:rPr>
        <w:t>jednotkách ekvivalentu plného pracovného času</w:t>
      </w:r>
    </w:p>
    <w:tbl>
      <w:tblPr>
        <w:tblW w:w="103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178"/>
        <w:gridCol w:w="15"/>
        <w:gridCol w:w="183"/>
        <w:gridCol w:w="1995"/>
        <w:gridCol w:w="383"/>
        <w:gridCol w:w="731"/>
        <w:gridCol w:w="731"/>
        <w:gridCol w:w="731"/>
        <w:gridCol w:w="731"/>
        <w:gridCol w:w="785"/>
        <w:gridCol w:w="850"/>
        <w:gridCol w:w="993"/>
      </w:tblGrid>
      <w:tr w:rsidR="00C4624A" w:rsidRPr="002D52A1" w14:paraId="50F8BDE6" w14:textId="77777777" w:rsidTr="00461AA0">
        <w:trPr>
          <w:gridBefore w:val="1"/>
          <w:wBefore w:w="15" w:type="dxa"/>
          <w:trHeight w:val="289"/>
          <w:jc w:val="center"/>
        </w:trPr>
        <w:tc>
          <w:tcPr>
            <w:tcW w:w="4754" w:type="dxa"/>
            <w:gridSpan w:val="5"/>
            <w:shd w:val="clear" w:color="auto" w:fill="auto"/>
          </w:tcPr>
          <w:p w14:paraId="2A8F5BCE" w14:textId="77777777" w:rsidR="00C4624A" w:rsidRPr="002D52A1" w:rsidRDefault="00C4624A" w:rsidP="00461AA0">
            <w:pPr>
              <w:pStyle w:val="Text1"/>
              <w:spacing w:before="40" w:after="40"/>
              <w:ind w:left="0"/>
              <w:jc w:val="center"/>
              <w:rPr>
                <w:i/>
                <w:noProof/>
                <w:sz w:val="16"/>
                <w:szCs w:val="16"/>
              </w:rPr>
            </w:pPr>
          </w:p>
        </w:tc>
        <w:tc>
          <w:tcPr>
            <w:tcW w:w="731" w:type="dxa"/>
            <w:shd w:val="clear" w:color="auto" w:fill="auto"/>
            <w:vAlign w:val="center"/>
          </w:tcPr>
          <w:p w14:paraId="58C1B7CA" w14:textId="77777777" w:rsidR="00C4624A" w:rsidRPr="002D52A1" w:rsidRDefault="00C4624A" w:rsidP="00461AA0">
            <w:pPr>
              <w:spacing w:before="20" w:after="20"/>
              <w:jc w:val="center"/>
              <w:rPr>
                <w:noProof/>
                <w:sz w:val="16"/>
                <w:szCs w:val="16"/>
              </w:rPr>
            </w:pPr>
            <w:r w:rsidRPr="002D52A1">
              <w:rPr>
                <w:noProof/>
                <w:sz w:val="16"/>
              </w:rPr>
              <w:t>Rok</w:t>
            </w:r>
            <w:r w:rsidRPr="002D52A1">
              <w:rPr>
                <w:noProof/>
                <w:sz w:val="22"/>
              </w:rPr>
              <w:t xml:space="preserve"> 2022</w:t>
            </w:r>
          </w:p>
        </w:tc>
        <w:tc>
          <w:tcPr>
            <w:tcW w:w="731" w:type="dxa"/>
            <w:shd w:val="clear" w:color="auto" w:fill="auto"/>
            <w:vAlign w:val="center"/>
          </w:tcPr>
          <w:p w14:paraId="1AB4A4F0" w14:textId="77777777" w:rsidR="00C4624A" w:rsidRPr="002D52A1" w:rsidRDefault="00C4624A" w:rsidP="00461AA0">
            <w:pPr>
              <w:spacing w:before="20" w:after="20"/>
              <w:jc w:val="center"/>
              <w:rPr>
                <w:noProof/>
                <w:sz w:val="16"/>
                <w:szCs w:val="16"/>
              </w:rPr>
            </w:pPr>
            <w:r w:rsidRPr="002D52A1">
              <w:rPr>
                <w:noProof/>
                <w:sz w:val="16"/>
              </w:rPr>
              <w:t>Rok</w:t>
            </w:r>
            <w:r w:rsidRPr="002D52A1">
              <w:rPr>
                <w:noProof/>
                <w:sz w:val="22"/>
              </w:rPr>
              <w:t xml:space="preserve"> 2023</w:t>
            </w:r>
          </w:p>
        </w:tc>
        <w:tc>
          <w:tcPr>
            <w:tcW w:w="731" w:type="dxa"/>
            <w:shd w:val="clear" w:color="auto" w:fill="auto"/>
            <w:vAlign w:val="center"/>
          </w:tcPr>
          <w:p w14:paraId="1F285BE3" w14:textId="77777777" w:rsidR="00C4624A" w:rsidRPr="002D52A1" w:rsidRDefault="00C4624A" w:rsidP="00461AA0">
            <w:pPr>
              <w:spacing w:before="20" w:after="20"/>
              <w:jc w:val="center"/>
              <w:rPr>
                <w:noProof/>
                <w:sz w:val="16"/>
                <w:szCs w:val="16"/>
              </w:rPr>
            </w:pPr>
            <w:r w:rsidRPr="002D52A1">
              <w:rPr>
                <w:noProof/>
                <w:sz w:val="16"/>
              </w:rPr>
              <w:t>Rok</w:t>
            </w:r>
            <w:r w:rsidRPr="002D52A1">
              <w:rPr>
                <w:noProof/>
                <w:sz w:val="22"/>
              </w:rPr>
              <w:t xml:space="preserve"> 2024</w:t>
            </w:r>
          </w:p>
        </w:tc>
        <w:tc>
          <w:tcPr>
            <w:tcW w:w="731" w:type="dxa"/>
            <w:shd w:val="clear" w:color="auto" w:fill="auto"/>
            <w:vAlign w:val="center"/>
          </w:tcPr>
          <w:p w14:paraId="6A59DEFE" w14:textId="77777777" w:rsidR="00C4624A" w:rsidRPr="002D52A1" w:rsidRDefault="00C4624A" w:rsidP="00461AA0">
            <w:pPr>
              <w:spacing w:before="20" w:after="20"/>
              <w:jc w:val="center"/>
              <w:rPr>
                <w:noProof/>
                <w:sz w:val="16"/>
                <w:szCs w:val="16"/>
              </w:rPr>
            </w:pPr>
            <w:r w:rsidRPr="002D52A1">
              <w:rPr>
                <w:noProof/>
                <w:sz w:val="16"/>
              </w:rPr>
              <w:t>Rok</w:t>
            </w:r>
            <w:r w:rsidRPr="002D52A1">
              <w:rPr>
                <w:noProof/>
                <w:sz w:val="22"/>
              </w:rPr>
              <w:t xml:space="preserve"> 2025</w:t>
            </w:r>
          </w:p>
        </w:tc>
        <w:tc>
          <w:tcPr>
            <w:tcW w:w="785" w:type="dxa"/>
            <w:vAlign w:val="center"/>
          </w:tcPr>
          <w:p w14:paraId="14CC93B6" w14:textId="77777777" w:rsidR="00C4624A" w:rsidRPr="002D52A1" w:rsidRDefault="00C4624A" w:rsidP="00461AA0">
            <w:pPr>
              <w:jc w:val="center"/>
              <w:rPr>
                <w:noProof/>
                <w:sz w:val="16"/>
              </w:rPr>
            </w:pPr>
            <w:r w:rsidRPr="002D52A1">
              <w:rPr>
                <w:noProof/>
                <w:sz w:val="16"/>
              </w:rPr>
              <w:t>Rok</w:t>
            </w:r>
            <w:r w:rsidRPr="002D52A1">
              <w:rPr>
                <w:noProof/>
                <w:sz w:val="22"/>
              </w:rPr>
              <w:t xml:space="preserve"> 2026</w:t>
            </w:r>
          </w:p>
        </w:tc>
        <w:tc>
          <w:tcPr>
            <w:tcW w:w="850" w:type="dxa"/>
            <w:vAlign w:val="center"/>
          </w:tcPr>
          <w:p w14:paraId="074B7401" w14:textId="77777777" w:rsidR="00C4624A" w:rsidRPr="002D52A1" w:rsidRDefault="00C4624A" w:rsidP="00461AA0">
            <w:pPr>
              <w:jc w:val="center"/>
              <w:rPr>
                <w:noProof/>
                <w:sz w:val="16"/>
              </w:rPr>
            </w:pPr>
            <w:r w:rsidRPr="002D52A1">
              <w:rPr>
                <w:noProof/>
                <w:sz w:val="16"/>
              </w:rPr>
              <w:t>Rok</w:t>
            </w:r>
            <w:r w:rsidRPr="002D52A1">
              <w:rPr>
                <w:noProof/>
                <w:sz w:val="22"/>
              </w:rPr>
              <w:t xml:space="preserve"> 2027</w:t>
            </w:r>
          </w:p>
        </w:tc>
        <w:tc>
          <w:tcPr>
            <w:tcW w:w="993" w:type="dxa"/>
            <w:shd w:val="clear" w:color="auto" w:fill="auto"/>
          </w:tcPr>
          <w:p w14:paraId="74ADF764" w14:textId="77777777" w:rsidR="00C4624A" w:rsidRPr="002D52A1" w:rsidRDefault="00C4624A" w:rsidP="00461AA0">
            <w:pPr>
              <w:jc w:val="center"/>
              <w:rPr>
                <w:b/>
                <w:noProof/>
                <w:sz w:val="16"/>
                <w:szCs w:val="16"/>
              </w:rPr>
            </w:pPr>
            <w:r w:rsidRPr="002D52A1">
              <w:rPr>
                <w:noProof/>
                <w:sz w:val="16"/>
              </w:rPr>
              <w:t>SPOLU</w:t>
            </w:r>
          </w:p>
        </w:tc>
      </w:tr>
      <w:tr w:rsidR="00C4624A" w:rsidRPr="002D52A1" w14:paraId="77D9B2A3" w14:textId="77777777" w:rsidTr="00461AA0">
        <w:trPr>
          <w:gridBefore w:val="1"/>
          <w:wBefore w:w="15" w:type="dxa"/>
          <w:trHeight w:val="289"/>
          <w:jc w:val="center"/>
        </w:trPr>
        <w:tc>
          <w:tcPr>
            <w:tcW w:w="2193" w:type="dxa"/>
            <w:gridSpan w:val="2"/>
          </w:tcPr>
          <w:p w14:paraId="719A0315" w14:textId="77777777" w:rsidR="00C4624A" w:rsidRPr="002D52A1" w:rsidRDefault="00C4624A" w:rsidP="00461AA0">
            <w:pPr>
              <w:jc w:val="left"/>
              <w:rPr>
                <w:rFonts w:eastAsia="Wingdings"/>
                <w:b/>
                <w:noProof/>
                <w:sz w:val="16"/>
              </w:rPr>
            </w:pPr>
          </w:p>
        </w:tc>
        <w:tc>
          <w:tcPr>
            <w:tcW w:w="8113" w:type="dxa"/>
            <w:gridSpan w:val="10"/>
          </w:tcPr>
          <w:p w14:paraId="3C75375D" w14:textId="64B6B648" w:rsidR="00C4624A" w:rsidRPr="002D52A1" w:rsidRDefault="00C4624A" w:rsidP="00461AA0">
            <w:pPr>
              <w:jc w:val="left"/>
              <w:rPr>
                <w:noProof/>
                <w:sz w:val="16"/>
                <w:szCs w:val="16"/>
              </w:rPr>
            </w:pPr>
            <w:r w:rsidRPr="002D52A1">
              <w:rPr>
                <w:b/>
                <w:noProof/>
                <w:sz w:val="16"/>
              </w:rPr>
              <w:t>□ Plán pracovných miest (úradníci</w:t>
            </w:r>
            <w:r w:rsidR="002D52A1">
              <w:rPr>
                <w:b/>
                <w:noProof/>
                <w:sz w:val="16"/>
              </w:rPr>
              <w:t xml:space="preserve"> a </w:t>
            </w:r>
            <w:r w:rsidRPr="002D52A1">
              <w:rPr>
                <w:b/>
                <w:noProof/>
                <w:sz w:val="16"/>
              </w:rPr>
              <w:t>dočasní zamestnanci)</w:t>
            </w:r>
          </w:p>
        </w:tc>
      </w:tr>
      <w:tr w:rsidR="00C4624A" w:rsidRPr="002D52A1" w14:paraId="7E36BEB3" w14:textId="77777777" w:rsidTr="00461AA0">
        <w:trPr>
          <w:gridBefore w:val="1"/>
          <w:wBefore w:w="15" w:type="dxa"/>
          <w:trHeight w:val="289"/>
          <w:jc w:val="center"/>
        </w:trPr>
        <w:tc>
          <w:tcPr>
            <w:tcW w:w="4754" w:type="dxa"/>
            <w:gridSpan w:val="5"/>
            <w:shd w:val="clear" w:color="auto" w:fill="auto"/>
            <w:vAlign w:val="center"/>
          </w:tcPr>
          <w:p w14:paraId="75A71ED5" w14:textId="3AE1965D" w:rsidR="00C4624A" w:rsidRPr="002D52A1" w:rsidRDefault="00C4624A" w:rsidP="00461AA0">
            <w:pPr>
              <w:pStyle w:val="Text1"/>
              <w:spacing w:beforeLines="20" w:before="48" w:afterLines="20" w:after="48"/>
              <w:ind w:left="134"/>
              <w:jc w:val="left"/>
              <w:rPr>
                <w:b/>
                <w:bCs/>
                <w:noProof/>
                <w:sz w:val="16"/>
                <w:szCs w:val="16"/>
              </w:rPr>
            </w:pPr>
            <w:r w:rsidRPr="002D52A1">
              <w:rPr>
                <w:noProof/>
                <w:sz w:val="16"/>
              </w:rPr>
              <w:t>20 01 02 01</w:t>
            </w:r>
            <w:r w:rsidRPr="002D52A1">
              <w:rPr>
                <w:noProof/>
                <w:color w:val="000000" w:themeColor="text1"/>
                <w:sz w:val="20"/>
              </w:rPr>
              <w:t xml:space="preserve"> </w:t>
            </w:r>
            <w:r w:rsidRPr="002D52A1">
              <w:rPr>
                <w:noProof/>
                <w:sz w:val="16"/>
              </w:rPr>
              <w:t>(Ústredie</w:t>
            </w:r>
            <w:r w:rsidR="002D52A1">
              <w:rPr>
                <w:noProof/>
                <w:sz w:val="16"/>
              </w:rPr>
              <w:t xml:space="preserve"> a </w:t>
            </w:r>
            <w:r w:rsidRPr="002D52A1">
              <w:rPr>
                <w:noProof/>
                <w:sz w:val="16"/>
              </w:rPr>
              <w:t>zastúpenia Komisie)</w:t>
            </w:r>
          </w:p>
        </w:tc>
        <w:tc>
          <w:tcPr>
            <w:tcW w:w="731" w:type="dxa"/>
            <w:shd w:val="clear" w:color="auto" w:fill="auto"/>
            <w:vAlign w:val="center"/>
          </w:tcPr>
          <w:p w14:paraId="2756C8E4" w14:textId="77777777" w:rsidR="00C4624A" w:rsidRPr="002D52A1" w:rsidRDefault="00C4624A" w:rsidP="00461AA0">
            <w:pPr>
              <w:spacing w:beforeLines="20" w:before="48" w:afterLines="20" w:after="48"/>
              <w:jc w:val="center"/>
              <w:rPr>
                <w:noProof/>
                <w:sz w:val="16"/>
                <w:szCs w:val="16"/>
              </w:rPr>
            </w:pPr>
            <w:r w:rsidRPr="002D52A1">
              <w:rPr>
                <w:noProof/>
                <w:sz w:val="16"/>
              </w:rPr>
              <w:t>5,4</w:t>
            </w:r>
          </w:p>
        </w:tc>
        <w:tc>
          <w:tcPr>
            <w:tcW w:w="731" w:type="dxa"/>
            <w:shd w:val="clear" w:color="auto" w:fill="auto"/>
            <w:vAlign w:val="center"/>
          </w:tcPr>
          <w:p w14:paraId="4765A1E1" w14:textId="77777777" w:rsidR="00C4624A" w:rsidRPr="002D52A1" w:rsidRDefault="00C4624A" w:rsidP="00461AA0">
            <w:pPr>
              <w:spacing w:beforeLines="20" w:before="48" w:afterLines="20" w:after="48"/>
              <w:jc w:val="center"/>
              <w:rPr>
                <w:noProof/>
                <w:sz w:val="16"/>
                <w:szCs w:val="16"/>
              </w:rPr>
            </w:pPr>
            <w:r w:rsidRPr="002D52A1">
              <w:rPr>
                <w:noProof/>
                <w:sz w:val="16"/>
              </w:rPr>
              <w:t>2,7</w:t>
            </w:r>
          </w:p>
        </w:tc>
        <w:tc>
          <w:tcPr>
            <w:tcW w:w="731" w:type="dxa"/>
            <w:shd w:val="clear" w:color="auto" w:fill="auto"/>
            <w:vAlign w:val="center"/>
          </w:tcPr>
          <w:p w14:paraId="2100006B" w14:textId="77777777" w:rsidR="00C4624A" w:rsidRPr="002D52A1" w:rsidRDefault="00C4624A" w:rsidP="00461AA0">
            <w:pPr>
              <w:spacing w:beforeLines="20" w:before="48" w:afterLines="20" w:after="48"/>
              <w:jc w:val="center"/>
              <w:rPr>
                <w:noProof/>
                <w:sz w:val="16"/>
                <w:szCs w:val="16"/>
              </w:rPr>
            </w:pPr>
            <w:r w:rsidRPr="002D52A1">
              <w:rPr>
                <w:noProof/>
                <w:sz w:val="16"/>
              </w:rPr>
              <w:t>2,7</w:t>
            </w:r>
          </w:p>
        </w:tc>
        <w:tc>
          <w:tcPr>
            <w:tcW w:w="731" w:type="dxa"/>
            <w:shd w:val="clear" w:color="auto" w:fill="auto"/>
            <w:vAlign w:val="center"/>
          </w:tcPr>
          <w:p w14:paraId="181CCDE2" w14:textId="77777777" w:rsidR="00C4624A" w:rsidRPr="002D52A1" w:rsidRDefault="00C4624A" w:rsidP="00461AA0">
            <w:pPr>
              <w:spacing w:beforeLines="20" w:before="48" w:afterLines="20" w:after="48"/>
              <w:jc w:val="center"/>
              <w:rPr>
                <w:noProof/>
                <w:sz w:val="16"/>
                <w:szCs w:val="16"/>
              </w:rPr>
            </w:pPr>
            <w:r w:rsidRPr="002D52A1">
              <w:rPr>
                <w:noProof/>
                <w:sz w:val="16"/>
              </w:rPr>
              <w:t>0,45</w:t>
            </w:r>
          </w:p>
        </w:tc>
        <w:tc>
          <w:tcPr>
            <w:tcW w:w="785" w:type="dxa"/>
            <w:vAlign w:val="center"/>
          </w:tcPr>
          <w:p w14:paraId="241315BE" w14:textId="77777777" w:rsidR="00C4624A" w:rsidRPr="002D52A1" w:rsidRDefault="00C4624A" w:rsidP="00461AA0">
            <w:pPr>
              <w:spacing w:beforeLines="20" w:before="48" w:afterLines="20" w:after="48"/>
              <w:rPr>
                <w:noProof/>
                <w:sz w:val="16"/>
                <w:szCs w:val="16"/>
              </w:rPr>
            </w:pPr>
            <w:r w:rsidRPr="002D52A1">
              <w:rPr>
                <w:noProof/>
                <w:sz w:val="16"/>
              </w:rPr>
              <w:t>0,45</w:t>
            </w:r>
          </w:p>
        </w:tc>
        <w:tc>
          <w:tcPr>
            <w:tcW w:w="850" w:type="dxa"/>
            <w:vAlign w:val="center"/>
          </w:tcPr>
          <w:p w14:paraId="0B35EE2C" w14:textId="77777777" w:rsidR="00C4624A" w:rsidRPr="002D52A1" w:rsidRDefault="00C4624A" w:rsidP="00461AA0">
            <w:pPr>
              <w:spacing w:beforeLines="20" w:before="48" w:afterLines="20" w:after="48"/>
              <w:rPr>
                <w:noProof/>
                <w:sz w:val="16"/>
                <w:szCs w:val="16"/>
              </w:rPr>
            </w:pPr>
            <w:r w:rsidRPr="002D52A1">
              <w:rPr>
                <w:noProof/>
                <w:sz w:val="16"/>
              </w:rPr>
              <w:t>0,45</w:t>
            </w:r>
          </w:p>
        </w:tc>
        <w:tc>
          <w:tcPr>
            <w:tcW w:w="993" w:type="dxa"/>
            <w:shd w:val="clear" w:color="auto" w:fill="auto"/>
            <w:vAlign w:val="center"/>
          </w:tcPr>
          <w:p w14:paraId="2EFEC0CA" w14:textId="77777777" w:rsidR="00C4624A" w:rsidRPr="002D52A1" w:rsidRDefault="00C4624A" w:rsidP="00461AA0">
            <w:pPr>
              <w:spacing w:beforeLines="20" w:before="48" w:afterLines="20" w:after="48"/>
              <w:jc w:val="center"/>
              <w:rPr>
                <w:noProof/>
                <w:sz w:val="16"/>
                <w:szCs w:val="16"/>
              </w:rPr>
            </w:pPr>
            <w:r w:rsidRPr="002D52A1">
              <w:rPr>
                <w:noProof/>
                <w:sz w:val="16"/>
              </w:rPr>
              <w:t>12,15</w:t>
            </w:r>
          </w:p>
        </w:tc>
      </w:tr>
      <w:tr w:rsidR="00C4624A" w:rsidRPr="002D52A1" w14:paraId="3A4BEF12" w14:textId="77777777" w:rsidTr="00461AA0">
        <w:trPr>
          <w:gridBefore w:val="1"/>
          <w:wBefore w:w="15" w:type="dxa"/>
          <w:trHeight w:val="289"/>
          <w:jc w:val="center"/>
        </w:trPr>
        <w:tc>
          <w:tcPr>
            <w:tcW w:w="4754" w:type="dxa"/>
            <w:gridSpan w:val="5"/>
            <w:shd w:val="clear" w:color="auto" w:fill="auto"/>
            <w:vAlign w:val="center"/>
          </w:tcPr>
          <w:p w14:paraId="153ED782" w14:textId="77777777" w:rsidR="00C4624A" w:rsidRPr="002D52A1" w:rsidRDefault="00C4624A" w:rsidP="00461AA0">
            <w:pPr>
              <w:pStyle w:val="Text1"/>
              <w:spacing w:beforeLines="20" w:before="48" w:afterLines="20" w:after="48"/>
              <w:ind w:left="134"/>
              <w:jc w:val="left"/>
              <w:rPr>
                <w:noProof/>
                <w:sz w:val="16"/>
                <w:szCs w:val="16"/>
              </w:rPr>
            </w:pPr>
            <w:r w:rsidRPr="002D52A1">
              <w:rPr>
                <w:noProof/>
                <w:sz w:val="16"/>
              </w:rPr>
              <w:t>20 01 02 03 (delegácie)</w:t>
            </w:r>
          </w:p>
        </w:tc>
        <w:tc>
          <w:tcPr>
            <w:tcW w:w="731" w:type="dxa"/>
            <w:shd w:val="clear" w:color="auto" w:fill="auto"/>
            <w:vAlign w:val="center"/>
          </w:tcPr>
          <w:p w14:paraId="26DE6115"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3C3F27B7"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5DE35D16"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6770B60" w14:textId="77777777" w:rsidR="00C4624A" w:rsidRPr="002D52A1" w:rsidRDefault="00C4624A" w:rsidP="00461AA0">
            <w:pPr>
              <w:spacing w:beforeLines="20" w:before="48" w:afterLines="20" w:after="48"/>
              <w:jc w:val="center"/>
              <w:rPr>
                <w:noProof/>
                <w:sz w:val="16"/>
                <w:szCs w:val="16"/>
              </w:rPr>
            </w:pPr>
          </w:p>
        </w:tc>
        <w:tc>
          <w:tcPr>
            <w:tcW w:w="785" w:type="dxa"/>
          </w:tcPr>
          <w:p w14:paraId="4FFC61C7" w14:textId="77777777" w:rsidR="00C4624A" w:rsidRPr="002D52A1" w:rsidRDefault="00C4624A" w:rsidP="00461AA0">
            <w:pPr>
              <w:spacing w:beforeLines="20" w:before="48" w:afterLines="20" w:after="48"/>
              <w:jc w:val="center"/>
              <w:rPr>
                <w:noProof/>
                <w:sz w:val="16"/>
                <w:szCs w:val="16"/>
              </w:rPr>
            </w:pPr>
          </w:p>
        </w:tc>
        <w:tc>
          <w:tcPr>
            <w:tcW w:w="850" w:type="dxa"/>
          </w:tcPr>
          <w:p w14:paraId="203FEB88"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4F3B8AE2" w14:textId="77777777" w:rsidR="00C4624A" w:rsidRPr="002D52A1" w:rsidRDefault="00C4624A" w:rsidP="00461AA0">
            <w:pPr>
              <w:spacing w:beforeLines="20" w:before="48" w:afterLines="20" w:after="48"/>
              <w:jc w:val="center"/>
              <w:rPr>
                <w:noProof/>
                <w:sz w:val="16"/>
                <w:szCs w:val="16"/>
              </w:rPr>
            </w:pPr>
          </w:p>
        </w:tc>
      </w:tr>
      <w:tr w:rsidR="00C4624A" w:rsidRPr="002D52A1" w14:paraId="29C9156B" w14:textId="77777777" w:rsidTr="00461AA0">
        <w:trPr>
          <w:gridBefore w:val="1"/>
          <w:wBefore w:w="15" w:type="dxa"/>
          <w:trHeight w:val="289"/>
          <w:jc w:val="center"/>
        </w:trPr>
        <w:tc>
          <w:tcPr>
            <w:tcW w:w="4754" w:type="dxa"/>
            <w:gridSpan w:val="5"/>
            <w:shd w:val="clear" w:color="auto" w:fill="auto"/>
            <w:vAlign w:val="center"/>
          </w:tcPr>
          <w:p w14:paraId="0E1F5FC2" w14:textId="77777777" w:rsidR="00C4624A" w:rsidRPr="002D52A1" w:rsidRDefault="00C4624A" w:rsidP="00461AA0">
            <w:pPr>
              <w:pStyle w:val="Text1"/>
              <w:spacing w:beforeLines="20" w:before="48" w:afterLines="20" w:after="48"/>
              <w:ind w:left="134"/>
              <w:jc w:val="left"/>
              <w:rPr>
                <w:noProof/>
                <w:sz w:val="16"/>
                <w:szCs w:val="16"/>
              </w:rPr>
            </w:pPr>
            <w:r w:rsidRPr="002D52A1">
              <w:rPr>
                <w:noProof/>
                <w:sz w:val="16"/>
              </w:rPr>
              <w:t>01 01 01 01</w:t>
            </w:r>
            <w:r w:rsidRPr="002D52A1">
              <w:rPr>
                <w:noProof/>
                <w:color w:val="000000"/>
                <w:sz w:val="20"/>
              </w:rPr>
              <w:t xml:space="preserve"> </w:t>
            </w:r>
            <w:r w:rsidRPr="002D52A1">
              <w:rPr>
                <w:noProof/>
                <w:sz w:val="16"/>
              </w:rPr>
              <w:t>(nepriamy výskum)</w:t>
            </w:r>
          </w:p>
        </w:tc>
        <w:tc>
          <w:tcPr>
            <w:tcW w:w="731" w:type="dxa"/>
            <w:shd w:val="clear" w:color="auto" w:fill="auto"/>
            <w:vAlign w:val="center"/>
          </w:tcPr>
          <w:p w14:paraId="64A93D43"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4BA01E7D"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58BE7182"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D1568BD" w14:textId="77777777" w:rsidR="00C4624A" w:rsidRPr="002D52A1" w:rsidRDefault="00C4624A" w:rsidP="00461AA0">
            <w:pPr>
              <w:spacing w:beforeLines="20" w:before="48" w:afterLines="20" w:after="48"/>
              <w:jc w:val="center"/>
              <w:rPr>
                <w:noProof/>
                <w:sz w:val="16"/>
                <w:szCs w:val="16"/>
              </w:rPr>
            </w:pPr>
          </w:p>
        </w:tc>
        <w:tc>
          <w:tcPr>
            <w:tcW w:w="785" w:type="dxa"/>
          </w:tcPr>
          <w:p w14:paraId="595FCC56" w14:textId="77777777" w:rsidR="00C4624A" w:rsidRPr="002D52A1" w:rsidRDefault="00C4624A" w:rsidP="00461AA0">
            <w:pPr>
              <w:spacing w:beforeLines="20" w:before="48" w:afterLines="20" w:after="48"/>
              <w:jc w:val="center"/>
              <w:rPr>
                <w:noProof/>
                <w:sz w:val="16"/>
                <w:szCs w:val="16"/>
              </w:rPr>
            </w:pPr>
          </w:p>
        </w:tc>
        <w:tc>
          <w:tcPr>
            <w:tcW w:w="850" w:type="dxa"/>
          </w:tcPr>
          <w:p w14:paraId="4B2EE97D"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61C04FFA" w14:textId="77777777" w:rsidR="00C4624A" w:rsidRPr="002D52A1" w:rsidRDefault="00C4624A" w:rsidP="00461AA0">
            <w:pPr>
              <w:spacing w:beforeLines="20" w:before="48" w:afterLines="20" w:after="48"/>
              <w:jc w:val="center"/>
              <w:rPr>
                <w:noProof/>
                <w:sz w:val="16"/>
                <w:szCs w:val="16"/>
              </w:rPr>
            </w:pPr>
          </w:p>
        </w:tc>
      </w:tr>
      <w:tr w:rsidR="00C4624A" w:rsidRPr="002D52A1" w14:paraId="29F0C2DF" w14:textId="77777777" w:rsidTr="00461AA0">
        <w:trPr>
          <w:gridBefore w:val="1"/>
          <w:wBefore w:w="15" w:type="dxa"/>
          <w:trHeight w:val="289"/>
          <w:jc w:val="center"/>
        </w:trPr>
        <w:tc>
          <w:tcPr>
            <w:tcW w:w="4754" w:type="dxa"/>
            <w:gridSpan w:val="5"/>
            <w:shd w:val="clear" w:color="auto" w:fill="auto"/>
            <w:vAlign w:val="center"/>
          </w:tcPr>
          <w:p w14:paraId="22477D6B" w14:textId="77777777" w:rsidR="00C4624A" w:rsidRPr="002D52A1" w:rsidRDefault="00C4624A" w:rsidP="00461AA0">
            <w:pPr>
              <w:pStyle w:val="Text1"/>
              <w:spacing w:beforeLines="20" w:before="48" w:afterLines="20" w:after="48"/>
              <w:ind w:left="134"/>
              <w:jc w:val="left"/>
              <w:rPr>
                <w:noProof/>
                <w:sz w:val="16"/>
                <w:szCs w:val="16"/>
              </w:rPr>
            </w:pPr>
            <w:r w:rsidRPr="002D52A1">
              <w:rPr>
                <w:noProof/>
                <w:sz w:val="16"/>
              </w:rPr>
              <w:t xml:space="preserve"> 01 01 01 11 (priamy výskum)</w:t>
            </w:r>
          </w:p>
        </w:tc>
        <w:tc>
          <w:tcPr>
            <w:tcW w:w="731" w:type="dxa"/>
            <w:shd w:val="clear" w:color="auto" w:fill="auto"/>
            <w:vAlign w:val="center"/>
          </w:tcPr>
          <w:p w14:paraId="2BA339A7"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2FE795F5"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6270AD1F"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7AE654A" w14:textId="77777777" w:rsidR="00C4624A" w:rsidRPr="002D52A1" w:rsidRDefault="00C4624A" w:rsidP="00461AA0">
            <w:pPr>
              <w:spacing w:beforeLines="20" w:before="48" w:afterLines="20" w:after="48"/>
              <w:jc w:val="center"/>
              <w:rPr>
                <w:noProof/>
                <w:sz w:val="16"/>
                <w:szCs w:val="16"/>
              </w:rPr>
            </w:pPr>
          </w:p>
        </w:tc>
        <w:tc>
          <w:tcPr>
            <w:tcW w:w="785" w:type="dxa"/>
          </w:tcPr>
          <w:p w14:paraId="1870985C" w14:textId="77777777" w:rsidR="00C4624A" w:rsidRPr="002D52A1" w:rsidRDefault="00C4624A" w:rsidP="00461AA0">
            <w:pPr>
              <w:spacing w:beforeLines="20" w:before="48" w:afterLines="20" w:after="48"/>
              <w:jc w:val="center"/>
              <w:rPr>
                <w:noProof/>
                <w:sz w:val="16"/>
                <w:szCs w:val="16"/>
              </w:rPr>
            </w:pPr>
          </w:p>
        </w:tc>
        <w:tc>
          <w:tcPr>
            <w:tcW w:w="850" w:type="dxa"/>
          </w:tcPr>
          <w:p w14:paraId="3291B80C"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1B4E67CC" w14:textId="77777777" w:rsidR="00C4624A" w:rsidRPr="002D52A1" w:rsidRDefault="00C4624A" w:rsidP="00461AA0">
            <w:pPr>
              <w:spacing w:beforeLines="20" w:before="48" w:afterLines="20" w:after="48"/>
              <w:jc w:val="center"/>
              <w:rPr>
                <w:noProof/>
                <w:sz w:val="16"/>
                <w:szCs w:val="16"/>
              </w:rPr>
            </w:pPr>
          </w:p>
        </w:tc>
      </w:tr>
      <w:tr w:rsidR="00C4624A" w:rsidRPr="002D52A1" w14:paraId="32872266" w14:textId="77777777" w:rsidTr="00461AA0">
        <w:trPr>
          <w:gridBefore w:val="1"/>
          <w:wBefore w:w="15" w:type="dxa"/>
          <w:trHeight w:val="289"/>
          <w:jc w:val="center"/>
        </w:trPr>
        <w:tc>
          <w:tcPr>
            <w:tcW w:w="4754" w:type="dxa"/>
            <w:gridSpan w:val="5"/>
            <w:shd w:val="clear" w:color="auto" w:fill="auto"/>
            <w:vAlign w:val="center"/>
          </w:tcPr>
          <w:p w14:paraId="14709C9D" w14:textId="77777777" w:rsidR="00C4624A" w:rsidRPr="002D52A1" w:rsidRDefault="00C4624A" w:rsidP="00461AA0">
            <w:pPr>
              <w:pStyle w:val="Text1"/>
              <w:spacing w:beforeLines="20" w:before="48" w:afterLines="20" w:after="48"/>
              <w:ind w:left="134"/>
              <w:jc w:val="left"/>
              <w:rPr>
                <w:noProof/>
                <w:sz w:val="16"/>
              </w:rPr>
            </w:pPr>
            <w:r w:rsidRPr="002D52A1">
              <w:rPr>
                <w:noProof/>
                <w:sz w:val="16"/>
              </w:rPr>
              <w:t>Iné rozpočtové riadky (uveďte)</w:t>
            </w:r>
          </w:p>
        </w:tc>
        <w:tc>
          <w:tcPr>
            <w:tcW w:w="731" w:type="dxa"/>
            <w:shd w:val="clear" w:color="auto" w:fill="auto"/>
            <w:vAlign w:val="center"/>
          </w:tcPr>
          <w:p w14:paraId="3F34DDF8"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6A345001"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3EE1931"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0495D0C" w14:textId="77777777" w:rsidR="00C4624A" w:rsidRPr="002D52A1" w:rsidRDefault="00C4624A" w:rsidP="00461AA0">
            <w:pPr>
              <w:spacing w:beforeLines="20" w:before="48" w:afterLines="20" w:after="48"/>
              <w:jc w:val="center"/>
              <w:rPr>
                <w:noProof/>
                <w:sz w:val="16"/>
                <w:szCs w:val="16"/>
              </w:rPr>
            </w:pPr>
          </w:p>
        </w:tc>
        <w:tc>
          <w:tcPr>
            <w:tcW w:w="785" w:type="dxa"/>
          </w:tcPr>
          <w:p w14:paraId="69834CBB" w14:textId="77777777" w:rsidR="00C4624A" w:rsidRPr="002D52A1" w:rsidRDefault="00C4624A" w:rsidP="00461AA0">
            <w:pPr>
              <w:spacing w:beforeLines="20" w:before="48" w:afterLines="20" w:after="48"/>
              <w:jc w:val="center"/>
              <w:rPr>
                <w:noProof/>
                <w:sz w:val="16"/>
                <w:szCs w:val="16"/>
              </w:rPr>
            </w:pPr>
          </w:p>
        </w:tc>
        <w:tc>
          <w:tcPr>
            <w:tcW w:w="850" w:type="dxa"/>
          </w:tcPr>
          <w:p w14:paraId="6D2384B0"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06A63D37" w14:textId="77777777" w:rsidR="00C4624A" w:rsidRPr="002D52A1" w:rsidRDefault="00C4624A" w:rsidP="00461AA0">
            <w:pPr>
              <w:spacing w:beforeLines="20" w:before="48" w:afterLines="20" w:after="48"/>
              <w:jc w:val="center"/>
              <w:rPr>
                <w:noProof/>
                <w:sz w:val="16"/>
                <w:szCs w:val="16"/>
              </w:rPr>
            </w:pPr>
          </w:p>
        </w:tc>
      </w:tr>
      <w:tr w:rsidR="00C4624A" w:rsidRPr="002D52A1" w14:paraId="06C0D326" w14:textId="77777777" w:rsidTr="00461AA0">
        <w:trPr>
          <w:trHeight w:val="248"/>
          <w:jc w:val="center"/>
        </w:trPr>
        <w:tc>
          <w:tcPr>
            <w:tcW w:w="2193" w:type="dxa"/>
            <w:gridSpan w:val="2"/>
          </w:tcPr>
          <w:p w14:paraId="053F7E79" w14:textId="77777777" w:rsidR="00C4624A" w:rsidRPr="002D52A1" w:rsidRDefault="00C4624A" w:rsidP="00461AA0">
            <w:pPr>
              <w:pStyle w:val="Text1"/>
              <w:spacing w:before="60" w:after="60"/>
              <w:ind w:left="0"/>
              <w:jc w:val="left"/>
              <w:rPr>
                <w:rFonts w:eastAsia="Wingdings"/>
                <w:b/>
                <w:bCs/>
                <w:noProof/>
                <w:sz w:val="16"/>
                <w:szCs w:val="16"/>
              </w:rPr>
            </w:pPr>
          </w:p>
        </w:tc>
        <w:tc>
          <w:tcPr>
            <w:tcW w:w="2193" w:type="dxa"/>
            <w:gridSpan w:val="3"/>
          </w:tcPr>
          <w:p w14:paraId="6FE38C25" w14:textId="77777777" w:rsidR="00C4624A" w:rsidRPr="002D52A1" w:rsidRDefault="00C4624A" w:rsidP="00461AA0">
            <w:pPr>
              <w:pStyle w:val="Text1"/>
              <w:spacing w:before="60" w:after="60"/>
              <w:ind w:left="0"/>
              <w:jc w:val="left"/>
              <w:rPr>
                <w:rFonts w:eastAsia="Wingdings"/>
                <w:b/>
                <w:bCs/>
                <w:noProof/>
                <w:sz w:val="16"/>
                <w:szCs w:val="16"/>
              </w:rPr>
            </w:pPr>
          </w:p>
        </w:tc>
        <w:tc>
          <w:tcPr>
            <w:tcW w:w="5935" w:type="dxa"/>
            <w:gridSpan w:val="8"/>
            <w:shd w:val="clear" w:color="auto" w:fill="auto"/>
            <w:vAlign w:val="center"/>
          </w:tcPr>
          <w:p w14:paraId="07845D62" w14:textId="77777777" w:rsidR="00C4624A" w:rsidRPr="002D52A1" w:rsidRDefault="00C4624A" w:rsidP="00461AA0">
            <w:pPr>
              <w:pStyle w:val="Text1"/>
              <w:spacing w:before="60" w:after="60"/>
              <w:ind w:left="0"/>
              <w:jc w:val="left"/>
              <w:rPr>
                <w:b/>
                <w:noProof/>
                <w:sz w:val="16"/>
                <w:szCs w:val="16"/>
              </w:rPr>
            </w:pPr>
            <w:r w:rsidRPr="002D52A1">
              <w:rPr>
                <w:b/>
                <w:noProof/>
                <w:sz w:val="16"/>
              </w:rPr>
              <w:t>□ Externí zamestnanci (ekvivalent plného pracovného času )</w:t>
            </w:r>
            <w:r w:rsidRPr="002D52A1">
              <w:rPr>
                <w:rStyle w:val="FootnoteReference"/>
                <w:b/>
                <w:bCs/>
                <w:noProof/>
                <w:sz w:val="16"/>
                <w:szCs w:val="16"/>
              </w:rPr>
              <w:footnoteReference w:id="44"/>
            </w:r>
          </w:p>
          <w:p w14:paraId="7BFF287A" w14:textId="77777777" w:rsidR="00C4624A" w:rsidRPr="002D52A1" w:rsidRDefault="00C4624A" w:rsidP="00461AA0">
            <w:pPr>
              <w:pStyle w:val="Text1"/>
              <w:spacing w:before="0" w:after="0"/>
              <w:ind w:left="0"/>
              <w:jc w:val="left"/>
              <w:rPr>
                <w:noProof/>
                <w:sz w:val="16"/>
                <w:szCs w:val="16"/>
              </w:rPr>
            </w:pPr>
          </w:p>
        </w:tc>
      </w:tr>
      <w:tr w:rsidR="00C4624A" w:rsidRPr="002D52A1" w14:paraId="1AA95883" w14:textId="77777777" w:rsidTr="00461AA0">
        <w:trPr>
          <w:gridBefore w:val="1"/>
          <w:wBefore w:w="15" w:type="dxa"/>
          <w:trHeight w:val="289"/>
          <w:jc w:val="center"/>
        </w:trPr>
        <w:tc>
          <w:tcPr>
            <w:tcW w:w="4754" w:type="dxa"/>
            <w:gridSpan w:val="5"/>
            <w:shd w:val="clear" w:color="auto" w:fill="auto"/>
            <w:vAlign w:val="center"/>
          </w:tcPr>
          <w:p w14:paraId="2E7111FA" w14:textId="47B2F333" w:rsidR="00C4624A" w:rsidRPr="002D52A1" w:rsidRDefault="00C4624A" w:rsidP="00461AA0">
            <w:pPr>
              <w:pStyle w:val="Text1"/>
              <w:spacing w:beforeLines="20" w:before="48" w:afterLines="20" w:after="48"/>
              <w:ind w:left="136"/>
              <w:jc w:val="left"/>
              <w:rPr>
                <w:b/>
                <w:noProof/>
                <w:sz w:val="16"/>
                <w:szCs w:val="16"/>
              </w:rPr>
            </w:pPr>
            <w:r w:rsidRPr="002D52A1">
              <w:rPr>
                <w:noProof/>
                <w:sz w:val="16"/>
              </w:rPr>
              <w:t>20 02 01</w:t>
            </w:r>
            <w:r w:rsidRPr="002D52A1">
              <w:rPr>
                <w:noProof/>
                <w:color w:val="000000"/>
                <w:sz w:val="20"/>
              </w:rPr>
              <w:t xml:space="preserve"> </w:t>
            </w:r>
            <w:r w:rsidRPr="002D52A1">
              <w:rPr>
                <w:noProof/>
                <w:sz w:val="16"/>
              </w:rPr>
              <w:t>(ZZ, VNE, DAZ</w:t>
            </w:r>
            <w:r w:rsidR="002D52A1">
              <w:rPr>
                <w:noProof/>
                <w:sz w:val="16"/>
              </w:rPr>
              <w:t xml:space="preserve"> z </w:t>
            </w:r>
            <w:r w:rsidRPr="002D52A1">
              <w:rPr>
                <w:noProof/>
                <w:sz w:val="16"/>
              </w:rPr>
              <w:t>celkového finančného krytia)</w:t>
            </w:r>
          </w:p>
        </w:tc>
        <w:tc>
          <w:tcPr>
            <w:tcW w:w="731" w:type="dxa"/>
            <w:shd w:val="clear" w:color="auto" w:fill="auto"/>
            <w:vAlign w:val="center"/>
          </w:tcPr>
          <w:p w14:paraId="42CB6E00"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147C919"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09FA886C"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6B503D85" w14:textId="77777777" w:rsidR="00C4624A" w:rsidRPr="002D52A1" w:rsidRDefault="00C4624A" w:rsidP="00461AA0">
            <w:pPr>
              <w:spacing w:beforeLines="20" w:before="48" w:afterLines="20" w:after="48"/>
              <w:jc w:val="center"/>
              <w:rPr>
                <w:noProof/>
                <w:sz w:val="16"/>
                <w:szCs w:val="16"/>
              </w:rPr>
            </w:pPr>
          </w:p>
        </w:tc>
        <w:tc>
          <w:tcPr>
            <w:tcW w:w="785" w:type="dxa"/>
          </w:tcPr>
          <w:p w14:paraId="0055108E" w14:textId="77777777" w:rsidR="00C4624A" w:rsidRPr="002D52A1" w:rsidRDefault="00C4624A" w:rsidP="00461AA0">
            <w:pPr>
              <w:spacing w:beforeLines="20" w:before="48" w:afterLines="20" w:after="48"/>
              <w:jc w:val="center"/>
              <w:rPr>
                <w:noProof/>
                <w:sz w:val="16"/>
                <w:szCs w:val="16"/>
              </w:rPr>
            </w:pPr>
          </w:p>
        </w:tc>
        <w:tc>
          <w:tcPr>
            <w:tcW w:w="850" w:type="dxa"/>
          </w:tcPr>
          <w:p w14:paraId="5A68C72A"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00AD7D37" w14:textId="77777777" w:rsidR="00C4624A" w:rsidRPr="002D52A1" w:rsidRDefault="00C4624A" w:rsidP="00461AA0">
            <w:pPr>
              <w:spacing w:beforeLines="20" w:before="48" w:afterLines="20" w:after="48"/>
              <w:jc w:val="center"/>
              <w:rPr>
                <w:noProof/>
                <w:sz w:val="16"/>
                <w:szCs w:val="16"/>
              </w:rPr>
            </w:pPr>
          </w:p>
        </w:tc>
      </w:tr>
      <w:tr w:rsidR="00C4624A" w:rsidRPr="002D52A1" w14:paraId="61CAD393" w14:textId="77777777" w:rsidTr="00461AA0">
        <w:trPr>
          <w:gridBefore w:val="1"/>
          <w:wBefore w:w="15" w:type="dxa"/>
          <w:trHeight w:val="289"/>
          <w:jc w:val="center"/>
        </w:trPr>
        <w:tc>
          <w:tcPr>
            <w:tcW w:w="4754" w:type="dxa"/>
            <w:gridSpan w:val="5"/>
            <w:shd w:val="clear" w:color="auto" w:fill="auto"/>
            <w:vAlign w:val="center"/>
          </w:tcPr>
          <w:p w14:paraId="6DB54F89" w14:textId="1E89F730" w:rsidR="00C4624A" w:rsidRPr="002D52A1" w:rsidRDefault="00C4624A" w:rsidP="00461AA0">
            <w:pPr>
              <w:pStyle w:val="Text1"/>
              <w:spacing w:beforeLines="20" w:before="48" w:afterLines="20" w:after="48"/>
              <w:ind w:left="136"/>
              <w:jc w:val="left"/>
              <w:rPr>
                <w:noProof/>
                <w:sz w:val="16"/>
              </w:rPr>
            </w:pPr>
            <w:r w:rsidRPr="002D52A1">
              <w:rPr>
                <w:noProof/>
                <w:sz w:val="16"/>
              </w:rPr>
              <w:t>20 02 03 (ZZ, MZ, VNE, DAZ</w:t>
            </w:r>
            <w:r w:rsidR="002D52A1">
              <w:rPr>
                <w:noProof/>
                <w:sz w:val="16"/>
              </w:rPr>
              <w:t xml:space="preserve"> a </w:t>
            </w:r>
            <w:r w:rsidRPr="002D52A1">
              <w:rPr>
                <w:noProof/>
                <w:sz w:val="16"/>
              </w:rPr>
              <w:t>PED</w:t>
            </w:r>
            <w:r w:rsidR="002D52A1">
              <w:rPr>
                <w:noProof/>
                <w:sz w:val="16"/>
              </w:rPr>
              <w:t xml:space="preserve"> v </w:t>
            </w:r>
            <w:r w:rsidRPr="002D52A1">
              <w:rPr>
                <w:noProof/>
                <w:sz w:val="16"/>
              </w:rPr>
              <w:t>delegáciách)</w:t>
            </w:r>
          </w:p>
        </w:tc>
        <w:tc>
          <w:tcPr>
            <w:tcW w:w="731" w:type="dxa"/>
            <w:shd w:val="clear" w:color="auto" w:fill="auto"/>
            <w:vAlign w:val="center"/>
          </w:tcPr>
          <w:p w14:paraId="5FB93E14"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608F7EDF"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C0329A5"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206189B7" w14:textId="77777777" w:rsidR="00C4624A" w:rsidRPr="002D52A1" w:rsidRDefault="00C4624A" w:rsidP="00461AA0">
            <w:pPr>
              <w:spacing w:beforeLines="20" w:before="48" w:afterLines="20" w:after="48"/>
              <w:jc w:val="center"/>
              <w:rPr>
                <w:noProof/>
                <w:sz w:val="16"/>
                <w:szCs w:val="16"/>
              </w:rPr>
            </w:pPr>
          </w:p>
        </w:tc>
        <w:tc>
          <w:tcPr>
            <w:tcW w:w="785" w:type="dxa"/>
          </w:tcPr>
          <w:p w14:paraId="58ED052D" w14:textId="77777777" w:rsidR="00C4624A" w:rsidRPr="002D52A1" w:rsidRDefault="00C4624A" w:rsidP="00461AA0">
            <w:pPr>
              <w:spacing w:beforeLines="20" w:before="48" w:afterLines="20" w:after="48"/>
              <w:jc w:val="center"/>
              <w:rPr>
                <w:noProof/>
                <w:sz w:val="16"/>
                <w:szCs w:val="16"/>
              </w:rPr>
            </w:pPr>
          </w:p>
        </w:tc>
        <w:tc>
          <w:tcPr>
            <w:tcW w:w="850" w:type="dxa"/>
          </w:tcPr>
          <w:p w14:paraId="17EC6512"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62EE0F38" w14:textId="77777777" w:rsidR="00C4624A" w:rsidRPr="002D52A1" w:rsidRDefault="00C4624A" w:rsidP="00461AA0">
            <w:pPr>
              <w:spacing w:beforeLines="20" w:before="48" w:afterLines="20" w:after="48"/>
              <w:jc w:val="center"/>
              <w:rPr>
                <w:noProof/>
                <w:sz w:val="16"/>
                <w:szCs w:val="16"/>
              </w:rPr>
            </w:pPr>
          </w:p>
        </w:tc>
      </w:tr>
      <w:tr w:rsidR="00C4624A" w:rsidRPr="002D52A1" w14:paraId="5C913438" w14:textId="77777777" w:rsidTr="00461AA0">
        <w:trPr>
          <w:gridBefore w:val="1"/>
          <w:wBefore w:w="15" w:type="dxa"/>
          <w:trHeight w:val="289"/>
          <w:jc w:val="center"/>
        </w:trPr>
        <w:tc>
          <w:tcPr>
            <w:tcW w:w="2376" w:type="dxa"/>
            <w:gridSpan w:val="3"/>
            <w:vMerge w:val="restart"/>
            <w:shd w:val="clear" w:color="auto" w:fill="auto"/>
            <w:vAlign w:val="center"/>
          </w:tcPr>
          <w:p w14:paraId="3D238E63" w14:textId="44CABAAE" w:rsidR="00C4624A" w:rsidRPr="002D52A1" w:rsidRDefault="00C4624A" w:rsidP="00461AA0">
            <w:pPr>
              <w:pStyle w:val="Text1"/>
              <w:spacing w:beforeLines="20" w:before="48" w:afterLines="20" w:after="48"/>
              <w:ind w:left="136"/>
              <w:jc w:val="left"/>
              <w:rPr>
                <w:b/>
                <w:noProof/>
                <w:sz w:val="16"/>
                <w:szCs w:val="16"/>
              </w:rPr>
            </w:pPr>
            <w:r w:rsidRPr="002D52A1">
              <w:rPr>
                <w:b/>
                <w:noProof/>
                <w:sz w:val="16"/>
              </w:rPr>
              <w:t>XX</w:t>
            </w:r>
            <w:r w:rsidRPr="002D52A1">
              <w:rPr>
                <w:noProof/>
                <w:sz w:val="16"/>
              </w:rPr>
              <w:t xml:space="preserve"> 01 xx </w:t>
            </w:r>
            <w:r w:rsidRPr="002D52A1">
              <w:rPr>
                <w:b/>
                <w:noProof/>
                <w:sz w:val="16"/>
              </w:rPr>
              <w:t>yy zz</w:t>
            </w:r>
            <w:r w:rsidR="002D52A1" w:rsidRPr="002D52A1">
              <w:rPr>
                <w:b/>
                <w:noProof/>
                <w:sz w:val="16"/>
              </w:rPr>
              <w:t xml:space="preserve"> </w:t>
            </w:r>
            <w:r w:rsidRPr="00CD70FE">
              <w:rPr>
                <w:rStyle w:val="FootnoteReference"/>
                <w:b/>
                <w:bCs/>
                <w:iCs/>
                <w:noProof/>
                <w:sz w:val="16"/>
                <w:szCs w:val="16"/>
              </w:rPr>
              <w:footnoteReference w:id="45"/>
            </w:r>
          </w:p>
          <w:p w14:paraId="181A3998" w14:textId="77777777" w:rsidR="00C4624A" w:rsidRPr="002D52A1" w:rsidRDefault="00C4624A" w:rsidP="00461AA0">
            <w:pPr>
              <w:pStyle w:val="Text1"/>
              <w:spacing w:beforeLines="20" w:before="48" w:afterLines="20" w:after="48"/>
              <w:ind w:left="136"/>
              <w:jc w:val="left"/>
              <w:rPr>
                <w:b/>
                <w:noProof/>
                <w:sz w:val="16"/>
                <w:szCs w:val="16"/>
              </w:rPr>
            </w:pPr>
          </w:p>
        </w:tc>
        <w:tc>
          <w:tcPr>
            <w:tcW w:w="2378" w:type="dxa"/>
            <w:gridSpan w:val="2"/>
            <w:shd w:val="clear" w:color="auto" w:fill="auto"/>
            <w:vAlign w:val="center"/>
          </w:tcPr>
          <w:p w14:paraId="41203697" w14:textId="77777777" w:rsidR="00C4624A" w:rsidRPr="002D52A1" w:rsidRDefault="00C4624A" w:rsidP="00461AA0">
            <w:pPr>
              <w:pStyle w:val="Text1"/>
              <w:spacing w:beforeLines="20" w:before="48" w:afterLines="20" w:after="48"/>
              <w:ind w:left="136"/>
              <w:jc w:val="left"/>
              <w:rPr>
                <w:b/>
                <w:noProof/>
                <w:sz w:val="16"/>
                <w:szCs w:val="16"/>
              </w:rPr>
            </w:pPr>
            <w:r w:rsidRPr="002D52A1">
              <w:rPr>
                <w:noProof/>
                <w:sz w:val="16"/>
              </w:rPr>
              <w:t>‒ ústredie</w:t>
            </w:r>
          </w:p>
          <w:p w14:paraId="0BDB0571" w14:textId="77777777" w:rsidR="00C4624A" w:rsidRPr="002D52A1" w:rsidRDefault="00C4624A" w:rsidP="00461AA0">
            <w:pPr>
              <w:pStyle w:val="Text1"/>
              <w:spacing w:beforeLines="20" w:before="48" w:afterLines="20" w:after="48"/>
              <w:ind w:left="136"/>
              <w:jc w:val="left"/>
              <w:rPr>
                <w:b/>
                <w:noProof/>
                <w:sz w:val="16"/>
                <w:szCs w:val="16"/>
              </w:rPr>
            </w:pPr>
          </w:p>
        </w:tc>
        <w:tc>
          <w:tcPr>
            <w:tcW w:w="731" w:type="dxa"/>
            <w:shd w:val="clear" w:color="auto" w:fill="auto"/>
            <w:vAlign w:val="center"/>
          </w:tcPr>
          <w:p w14:paraId="6C6C7792" w14:textId="77777777" w:rsidR="00C4624A" w:rsidRPr="002D52A1" w:rsidRDefault="00C4624A" w:rsidP="00461AA0">
            <w:pPr>
              <w:pStyle w:val="Text1"/>
              <w:spacing w:beforeLines="20" w:before="48" w:afterLines="20" w:after="48"/>
              <w:ind w:left="0"/>
              <w:rPr>
                <w:noProof/>
                <w:sz w:val="16"/>
                <w:szCs w:val="16"/>
              </w:rPr>
            </w:pPr>
          </w:p>
        </w:tc>
        <w:tc>
          <w:tcPr>
            <w:tcW w:w="731" w:type="dxa"/>
            <w:shd w:val="clear" w:color="auto" w:fill="auto"/>
            <w:vAlign w:val="center"/>
          </w:tcPr>
          <w:p w14:paraId="18340CBC"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FD942F8"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6CEAE02F" w14:textId="77777777" w:rsidR="00C4624A" w:rsidRPr="002D52A1" w:rsidRDefault="00C4624A" w:rsidP="00461AA0">
            <w:pPr>
              <w:spacing w:beforeLines="20" w:before="48" w:afterLines="20" w:after="48"/>
              <w:jc w:val="center"/>
              <w:rPr>
                <w:noProof/>
                <w:sz w:val="16"/>
                <w:szCs w:val="16"/>
              </w:rPr>
            </w:pPr>
          </w:p>
        </w:tc>
        <w:tc>
          <w:tcPr>
            <w:tcW w:w="785" w:type="dxa"/>
          </w:tcPr>
          <w:p w14:paraId="09A75ED8" w14:textId="77777777" w:rsidR="00C4624A" w:rsidRPr="002D52A1" w:rsidRDefault="00C4624A" w:rsidP="00461AA0">
            <w:pPr>
              <w:spacing w:beforeLines="20" w:before="48" w:afterLines="20" w:after="48"/>
              <w:jc w:val="center"/>
              <w:rPr>
                <w:noProof/>
                <w:sz w:val="16"/>
                <w:szCs w:val="16"/>
              </w:rPr>
            </w:pPr>
          </w:p>
        </w:tc>
        <w:tc>
          <w:tcPr>
            <w:tcW w:w="850" w:type="dxa"/>
          </w:tcPr>
          <w:p w14:paraId="74EE2A01"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6FCE68A3" w14:textId="77777777" w:rsidR="00C4624A" w:rsidRPr="002D52A1" w:rsidRDefault="00C4624A" w:rsidP="00461AA0">
            <w:pPr>
              <w:spacing w:beforeLines="20" w:before="48" w:afterLines="20" w:after="48"/>
              <w:jc w:val="center"/>
              <w:rPr>
                <w:noProof/>
                <w:sz w:val="16"/>
                <w:szCs w:val="16"/>
              </w:rPr>
            </w:pPr>
          </w:p>
        </w:tc>
      </w:tr>
      <w:tr w:rsidR="00C4624A" w:rsidRPr="002D52A1" w14:paraId="0F15012E" w14:textId="77777777" w:rsidTr="00461AA0">
        <w:trPr>
          <w:gridBefore w:val="1"/>
          <w:wBefore w:w="15" w:type="dxa"/>
          <w:trHeight w:val="289"/>
          <w:jc w:val="center"/>
        </w:trPr>
        <w:tc>
          <w:tcPr>
            <w:tcW w:w="2376" w:type="dxa"/>
            <w:gridSpan w:val="3"/>
            <w:vMerge/>
            <w:vAlign w:val="center"/>
          </w:tcPr>
          <w:p w14:paraId="498D1DB0" w14:textId="77777777" w:rsidR="00C4624A" w:rsidRPr="002D52A1" w:rsidRDefault="00C4624A" w:rsidP="00461AA0">
            <w:pPr>
              <w:pStyle w:val="Text1"/>
              <w:spacing w:beforeLines="20" w:before="48" w:afterLines="20" w:after="48"/>
              <w:ind w:left="136"/>
              <w:jc w:val="left"/>
              <w:rPr>
                <w:b/>
                <w:noProof/>
                <w:sz w:val="16"/>
                <w:szCs w:val="16"/>
              </w:rPr>
            </w:pPr>
          </w:p>
        </w:tc>
        <w:tc>
          <w:tcPr>
            <w:tcW w:w="2378" w:type="dxa"/>
            <w:gridSpan w:val="2"/>
            <w:shd w:val="clear" w:color="auto" w:fill="auto"/>
            <w:vAlign w:val="center"/>
          </w:tcPr>
          <w:p w14:paraId="45B8BE81" w14:textId="77777777" w:rsidR="00C4624A" w:rsidRPr="002D52A1" w:rsidRDefault="00C4624A" w:rsidP="00461AA0">
            <w:pPr>
              <w:pStyle w:val="Text1"/>
              <w:spacing w:beforeLines="20" w:before="48" w:afterLines="20" w:after="48"/>
              <w:ind w:left="136"/>
              <w:jc w:val="left"/>
              <w:rPr>
                <w:b/>
                <w:noProof/>
                <w:sz w:val="16"/>
                <w:szCs w:val="16"/>
              </w:rPr>
            </w:pPr>
            <w:r w:rsidRPr="002D52A1">
              <w:rPr>
                <w:noProof/>
                <w:sz w:val="16"/>
              </w:rPr>
              <w:t xml:space="preserve">– delegácie </w:t>
            </w:r>
          </w:p>
        </w:tc>
        <w:tc>
          <w:tcPr>
            <w:tcW w:w="731" w:type="dxa"/>
            <w:shd w:val="clear" w:color="auto" w:fill="auto"/>
            <w:vAlign w:val="center"/>
          </w:tcPr>
          <w:p w14:paraId="5B714556" w14:textId="77777777" w:rsidR="00C4624A" w:rsidRPr="002D52A1" w:rsidRDefault="00C4624A" w:rsidP="00461AA0">
            <w:pPr>
              <w:pStyle w:val="Text1"/>
              <w:spacing w:beforeLines="20" w:before="48" w:afterLines="20" w:after="48"/>
              <w:ind w:left="0"/>
              <w:rPr>
                <w:noProof/>
                <w:sz w:val="16"/>
                <w:szCs w:val="16"/>
              </w:rPr>
            </w:pPr>
          </w:p>
        </w:tc>
        <w:tc>
          <w:tcPr>
            <w:tcW w:w="731" w:type="dxa"/>
            <w:shd w:val="clear" w:color="auto" w:fill="auto"/>
            <w:vAlign w:val="center"/>
          </w:tcPr>
          <w:p w14:paraId="237DD25B"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2CFBA5EE"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4D197021" w14:textId="77777777" w:rsidR="00C4624A" w:rsidRPr="002D52A1" w:rsidRDefault="00C4624A" w:rsidP="00461AA0">
            <w:pPr>
              <w:spacing w:beforeLines="20" w:before="48" w:afterLines="20" w:after="48"/>
              <w:jc w:val="center"/>
              <w:rPr>
                <w:noProof/>
                <w:sz w:val="16"/>
                <w:szCs w:val="16"/>
              </w:rPr>
            </w:pPr>
          </w:p>
        </w:tc>
        <w:tc>
          <w:tcPr>
            <w:tcW w:w="785" w:type="dxa"/>
          </w:tcPr>
          <w:p w14:paraId="63EF8591" w14:textId="77777777" w:rsidR="00C4624A" w:rsidRPr="002D52A1" w:rsidRDefault="00C4624A" w:rsidP="00461AA0">
            <w:pPr>
              <w:spacing w:beforeLines="20" w:before="48" w:afterLines="20" w:after="48"/>
              <w:jc w:val="center"/>
              <w:rPr>
                <w:noProof/>
                <w:sz w:val="16"/>
                <w:szCs w:val="16"/>
              </w:rPr>
            </w:pPr>
          </w:p>
        </w:tc>
        <w:tc>
          <w:tcPr>
            <w:tcW w:w="850" w:type="dxa"/>
          </w:tcPr>
          <w:p w14:paraId="76E3F4DF"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2236101E" w14:textId="77777777" w:rsidR="00C4624A" w:rsidRPr="002D52A1" w:rsidRDefault="00C4624A" w:rsidP="00461AA0">
            <w:pPr>
              <w:spacing w:beforeLines="20" w:before="48" w:afterLines="20" w:after="48"/>
              <w:jc w:val="center"/>
              <w:rPr>
                <w:noProof/>
                <w:sz w:val="16"/>
                <w:szCs w:val="16"/>
              </w:rPr>
            </w:pPr>
          </w:p>
        </w:tc>
      </w:tr>
      <w:tr w:rsidR="00C4624A" w:rsidRPr="002D52A1" w14:paraId="0FC5566E" w14:textId="77777777" w:rsidTr="00461AA0">
        <w:trPr>
          <w:gridBefore w:val="1"/>
          <w:wBefore w:w="15" w:type="dxa"/>
          <w:trHeight w:val="289"/>
          <w:jc w:val="center"/>
        </w:trPr>
        <w:tc>
          <w:tcPr>
            <w:tcW w:w="4754" w:type="dxa"/>
            <w:gridSpan w:val="5"/>
            <w:shd w:val="clear" w:color="auto" w:fill="auto"/>
            <w:vAlign w:val="center"/>
          </w:tcPr>
          <w:p w14:paraId="33DAF09E" w14:textId="77777777" w:rsidR="00C4624A" w:rsidRPr="002D52A1" w:rsidRDefault="00C4624A" w:rsidP="00461AA0">
            <w:pPr>
              <w:pStyle w:val="Text1"/>
              <w:spacing w:beforeLines="20" w:before="48" w:afterLines="20" w:after="48"/>
              <w:ind w:left="136"/>
              <w:jc w:val="left"/>
              <w:rPr>
                <w:noProof/>
                <w:sz w:val="16"/>
                <w:szCs w:val="16"/>
              </w:rPr>
            </w:pPr>
            <w:r w:rsidRPr="002D52A1">
              <w:rPr>
                <w:noProof/>
                <w:sz w:val="16"/>
              </w:rPr>
              <w:t>01 01 01 02</w:t>
            </w:r>
            <w:r w:rsidRPr="002D52A1">
              <w:rPr>
                <w:noProof/>
                <w:color w:val="000000"/>
                <w:sz w:val="20"/>
              </w:rPr>
              <w:t xml:space="preserve"> </w:t>
            </w:r>
            <w:r w:rsidRPr="002D52A1">
              <w:rPr>
                <w:noProof/>
                <w:sz w:val="16"/>
              </w:rPr>
              <w:t>(ZZ, DAZ, VNE – nepriamy výskum)</w:t>
            </w:r>
          </w:p>
        </w:tc>
        <w:tc>
          <w:tcPr>
            <w:tcW w:w="731" w:type="dxa"/>
            <w:shd w:val="clear" w:color="auto" w:fill="auto"/>
            <w:vAlign w:val="center"/>
          </w:tcPr>
          <w:p w14:paraId="714DABFF"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4BCC443B"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662692A"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38697961" w14:textId="77777777" w:rsidR="00C4624A" w:rsidRPr="002D52A1" w:rsidRDefault="00C4624A" w:rsidP="00461AA0">
            <w:pPr>
              <w:spacing w:beforeLines="20" w:before="48" w:afterLines="20" w:after="48"/>
              <w:jc w:val="center"/>
              <w:rPr>
                <w:noProof/>
                <w:sz w:val="16"/>
                <w:szCs w:val="16"/>
              </w:rPr>
            </w:pPr>
          </w:p>
        </w:tc>
        <w:tc>
          <w:tcPr>
            <w:tcW w:w="785" w:type="dxa"/>
          </w:tcPr>
          <w:p w14:paraId="4162414D" w14:textId="77777777" w:rsidR="00C4624A" w:rsidRPr="002D52A1" w:rsidRDefault="00C4624A" w:rsidP="00461AA0">
            <w:pPr>
              <w:spacing w:beforeLines="20" w:before="48" w:afterLines="20" w:after="48"/>
              <w:jc w:val="center"/>
              <w:rPr>
                <w:noProof/>
                <w:sz w:val="16"/>
                <w:szCs w:val="16"/>
              </w:rPr>
            </w:pPr>
          </w:p>
        </w:tc>
        <w:tc>
          <w:tcPr>
            <w:tcW w:w="850" w:type="dxa"/>
          </w:tcPr>
          <w:p w14:paraId="716FF040"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6E60B9D0" w14:textId="77777777" w:rsidR="00C4624A" w:rsidRPr="002D52A1" w:rsidRDefault="00C4624A" w:rsidP="00461AA0">
            <w:pPr>
              <w:spacing w:beforeLines="20" w:before="48" w:afterLines="20" w:after="48"/>
              <w:jc w:val="center"/>
              <w:rPr>
                <w:noProof/>
                <w:sz w:val="16"/>
                <w:szCs w:val="16"/>
              </w:rPr>
            </w:pPr>
          </w:p>
        </w:tc>
      </w:tr>
      <w:tr w:rsidR="00C4624A" w:rsidRPr="002D52A1" w14:paraId="201102F6" w14:textId="77777777" w:rsidTr="00461AA0">
        <w:trPr>
          <w:gridBefore w:val="1"/>
          <w:wBefore w:w="15" w:type="dxa"/>
          <w:trHeight w:val="289"/>
          <w:jc w:val="center"/>
        </w:trPr>
        <w:tc>
          <w:tcPr>
            <w:tcW w:w="4754" w:type="dxa"/>
            <w:gridSpan w:val="5"/>
            <w:shd w:val="clear" w:color="auto" w:fill="auto"/>
            <w:vAlign w:val="center"/>
          </w:tcPr>
          <w:p w14:paraId="209162CD" w14:textId="77777777" w:rsidR="00C4624A" w:rsidRPr="002D52A1" w:rsidRDefault="00C4624A" w:rsidP="00461AA0">
            <w:pPr>
              <w:pStyle w:val="Text1"/>
              <w:spacing w:beforeLines="20" w:before="48" w:afterLines="20" w:after="48"/>
              <w:ind w:left="136"/>
              <w:jc w:val="left"/>
              <w:rPr>
                <w:noProof/>
                <w:color w:val="FF0000"/>
                <w:sz w:val="16"/>
                <w:szCs w:val="16"/>
              </w:rPr>
            </w:pPr>
            <w:r w:rsidRPr="002D52A1">
              <w:rPr>
                <w:noProof/>
                <w:sz w:val="16"/>
              </w:rPr>
              <w:t xml:space="preserve"> 01 01 01 12 (ZZ, VNE, DAZ – priamy výskum)</w:t>
            </w:r>
          </w:p>
        </w:tc>
        <w:tc>
          <w:tcPr>
            <w:tcW w:w="731" w:type="dxa"/>
            <w:shd w:val="clear" w:color="auto" w:fill="auto"/>
            <w:vAlign w:val="center"/>
          </w:tcPr>
          <w:p w14:paraId="048805BA"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1506D56"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357F61FF"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72DF40E3" w14:textId="77777777" w:rsidR="00C4624A" w:rsidRPr="002D52A1" w:rsidRDefault="00C4624A" w:rsidP="00461AA0">
            <w:pPr>
              <w:spacing w:beforeLines="20" w:before="48" w:afterLines="20" w:after="48"/>
              <w:jc w:val="center"/>
              <w:rPr>
                <w:noProof/>
                <w:sz w:val="16"/>
                <w:szCs w:val="16"/>
              </w:rPr>
            </w:pPr>
          </w:p>
        </w:tc>
        <w:tc>
          <w:tcPr>
            <w:tcW w:w="785" w:type="dxa"/>
          </w:tcPr>
          <w:p w14:paraId="79C928B7" w14:textId="77777777" w:rsidR="00C4624A" w:rsidRPr="002D52A1" w:rsidRDefault="00C4624A" w:rsidP="00461AA0">
            <w:pPr>
              <w:spacing w:beforeLines="20" w:before="48" w:afterLines="20" w:after="48"/>
              <w:jc w:val="center"/>
              <w:rPr>
                <w:noProof/>
                <w:sz w:val="16"/>
                <w:szCs w:val="16"/>
              </w:rPr>
            </w:pPr>
          </w:p>
        </w:tc>
        <w:tc>
          <w:tcPr>
            <w:tcW w:w="850" w:type="dxa"/>
          </w:tcPr>
          <w:p w14:paraId="352BF62F"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72902CBB" w14:textId="77777777" w:rsidR="00C4624A" w:rsidRPr="002D52A1" w:rsidRDefault="00C4624A" w:rsidP="00461AA0">
            <w:pPr>
              <w:spacing w:beforeLines="20" w:before="48" w:afterLines="20" w:after="48"/>
              <w:jc w:val="center"/>
              <w:rPr>
                <w:noProof/>
                <w:sz w:val="16"/>
                <w:szCs w:val="16"/>
              </w:rPr>
            </w:pPr>
          </w:p>
        </w:tc>
      </w:tr>
      <w:tr w:rsidR="00C4624A" w:rsidRPr="002D52A1" w14:paraId="27A09C77" w14:textId="77777777" w:rsidTr="00461AA0">
        <w:trPr>
          <w:gridBefore w:val="1"/>
          <w:wBefore w:w="15" w:type="dxa"/>
          <w:trHeight w:val="289"/>
          <w:jc w:val="center"/>
        </w:trPr>
        <w:tc>
          <w:tcPr>
            <w:tcW w:w="4754" w:type="dxa"/>
            <w:gridSpan w:val="5"/>
            <w:shd w:val="clear" w:color="auto" w:fill="auto"/>
            <w:vAlign w:val="center"/>
          </w:tcPr>
          <w:p w14:paraId="47AB691D" w14:textId="77777777" w:rsidR="00C4624A" w:rsidRPr="002D52A1" w:rsidRDefault="00C4624A" w:rsidP="00461AA0">
            <w:pPr>
              <w:pStyle w:val="Text1"/>
              <w:spacing w:beforeLines="20" w:before="48" w:afterLines="20" w:after="48"/>
              <w:ind w:left="136"/>
              <w:jc w:val="left"/>
              <w:rPr>
                <w:noProof/>
                <w:sz w:val="16"/>
              </w:rPr>
            </w:pPr>
            <w:r w:rsidRPr="002D52A1">
              <w:rPr>
                <w:noProof/>
                <w:sz w:val="16"/>
              </w:rPr>
              <w:t>Iné rozpočtové riadky (uveďte)</w:t>
            </w:r>
          </w:p>
        </w:tc>
        <w:tc>
          <w:tcPr>
            <w:tcW w:w="731" w:type="dxa"/>
            <w:shd w:val="clear" w:color="auto" w:fill="auto"/>
            <w:vAlign w:val="center"/>
          </w:tcPr>
          <w:p w14:paraId="15EC5DE5"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27DAE44C"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137503BD" w14:textId="77777777" w:rsidR="00C4624A" w:rsidRPr="002D52A1" w:rsidRDefault="00C4624A" w:rsidP="00461AA0">
            <w:pPr>
              <w:spacing w:beforeLines="20" w:before="48" w:afterLines="20" w:after="48"/>
              <w:jc w:val="center"/>
              <w:rPr>
                <w:noProof/>
                <w:sz w:val="16"/>
                <w:szCs w:val="16"/>
              </w:rPr>
            </w:pPr>
          </w:p>
        </w:tc>
        <w:tc>
          <w:tcPr>
            <w:tcW w:w="731" w:type="dxa"/>
            <w:shd w:val="clear" w:color="auto" w:fill="auto"/>
            <w:vAlign w:val="center"/>
          </w:tcPr>
          <w:p w14:paraId="0B1D321F" w14:textId="77777777" w:rsidR="00C4624A" w:rsidRPr="002D52A1" w:rsidRDefault="00C4624A" w:rsidP="00461AA0">
            <w:pPr>
              <w:spacing w:beforeLines="20" w:before="48" w:afterLines="20" w:after="48"/>
              <w:jc w:val="center"/>
              <w:rPr>
                <w:noProof/>
                <w:sz w:val="16"/>
                <w:szCs w:val="16"/>
              </w:rPr>
            </w:pPr>
          </w:p>
        </w:tc>
        <w:tc>
          <w:tcPr>
            <w:tcW w:w="785" w:type="dxa"/>
          </w:tcPr>
          <w:p w14:paraId="7A18752C" w14:textId="77777777" w:rsidR="00C4624A" w:rsidRPr="002D52A1" w:rsidRDefault="00C4624A" w:rsidP="00461AA0">
            <w:pPr>
              <w:spacing w:beforeLines="20" w:before="48" w:afterLines="20" w:after="48"/>
              <w:jc w:val="center"/>
              <w:rPr>
                <w:noProof/>
                <w:sz w:val="16"/>
                <w:szCs w:val="16"/>
              </w:rPr>
            </w:pPr>
          </w:p>
        </w:tc>
        <w:tc>
          <w:tcPr>
            <w:tcW w:w="850" w:type="dxa"/>
          </w:tcPr>
          <w:p w14:paraId="175415BE" w14:textId="77777777" w:rsidR="00C4624A" w:rsidRPr="002D52A1" w:rsidRDefault="00C4624A" w:rsidP="00461AA0">
            <w:pPr>
              <w:spacing w:beforeLines="20" w:before="48" w:afterLines="20" w:after="48"/>
              <w:jc w:val="center"/>
              <w:rPr>
                <w:noProof/>
                <w:sz w:val="16"/>
                <w:szCs w:val="16"/>
              </w:rPr>
            </w:pPr>
          </w:p>
        </w:tc>
        <w:tc>
          <w:tcPr>
            <w:tcW w:w="993" w:type="dxa"/>
            <w:shd w:val="clear" w:color="auto" w:fill="auto"/>
            <w:vAlign w:val="center"/>
          </w:tcPr>
          <w:p w14:paraId="0FD2DE23" w14:textId="77777777" w:rsidR="00C4624A" w:rsidRPr="002D52A1" w:rsidRDefault="00C4624A" w:rsidP="00461AA0">
            <w:pPr>
              <w:spacing w:beforeLines="20" w:before="48" w:afterLines="20" w:after="48"/>
              <w:jc w:val="center"/>
              <w:rPr>
                <w:noProof/>
                <w:sz w:val="16"/>
                <w:szCs w:val="16"/>
              </w:rPr>
            </w:pPr>
          </w:p>
        </w:tc>
      </w:tr>
      <w:tr w:rsidR="00C4624A" w:rsidRPr="002D52A1" w14:paraId="523E177B" w14:textId="77777777" w:rsidTr="00461AA0">
        <w:trPr>
          <w:gridBefore w:val="1"/>
          <w:wBefore w:w="15" w:type="dxa"/>
          <w:trHeight w:val="289"/>
          <w:jc w:val="center"/>
        </w:trPr>
        <w:tc>
          <w:tcPr>
            <w:tcW w:w="4754" w:type="dxa"/>
            <w:gridSpan w:val="5"/>
            <w:tcBorders>
              <w:top w:val="double" w:sz="4" w:space="0" w:color="auto"/>
            </w:tcBorders>
            <w:shd w:val="clear" w:color="auto" w:fill="auto"/>
            <w:vAlign w:val="center"/>
          </w:tcPr>
          <w:p w14:paraId="579F3A1A" w14:textId="77777777" w:rsidR="00C4624A" w:rsidRPr="002D52A1" w:rsidRDefault="00C4624A" w:rsidP="00461AA0">
            <w:pPr>
              <w:pStyle w:val="Text1"/>
              <w:spacing w:beforeLines="20" w:before="48" w:afterLines="20" w:after="48"/>
              <w:ind w:left="136"/>
              <w:jc w:val="left"/>
              <w:rPr>
                <w:noProof/>
                <w:sz w:val="16"/>
                <w:szCs w:val="16"/>
              </w:rPr>
            </w:pPr>
            <w:r w:rsidRPr="002D52A1">
              <w:rPr>
                <w:b/>
                <w:noProof/>
                <w:sz w:val="16"/>
              </w:rPr>
              <w:t>SPOLU</w:t>
            </w:r>
          </w:p>
        </w:tc>
        <w:tc>
          <w:tcPr>
            <w:tcW w:w="731" w:type="dxa"/>
            <w:tcBorders>
              <w:top w:val="double" w:sz="4" w:space="0" w:color="auto"/>
            </w:tcBorders>
            <w:shd w:val="clear" w:color="auto" w:fill="auto"/>
            <w:vAlign w:val="center"/>
          </w:tcPr>
          <w:p w14:paraId="1284CC1E" w14:textId="77777777" w:rsidR="00C4624A" w:rsidRPr="002D52A1" w:rsidRDefault="00C4624A" w:rsidP="00461AA0">
            <w:pPr>
              <w:spacing w:beforeLines="20" w:before="48" w:afterLines="20" w:after="48"/>
              <w:jc w:val="center"/>
              <w:rPr>
                <w:b/>
                <w:bCs/>
                <w:noProof/>
                <w:sz w:val="16"/>
                <w:szCs w:val="16"/>
              </w:rPr>
            </w:pPr>
            <w:r w:rsidRPr="002D52A1">
              <w:rPr>
                <w:noProof/>
                <w:sz w:val="16"/>
              </w:rPr>
              <w:t>5,4</w:t>
            </w:r>
          </w:p>
        </w:tc>
        <w:tc>
          <w:tcPr>
            <w:tcW w:w="731" w:type="dxa"/>
            <w:tcBorders>
              <w:top w:val="double" w:sz="4" w:space="0" w:color="auto"/>
            </w:tcBorders>
            <w:shd w:val="clear" w:color="auto" w:fill="auto"/>
            <w:vAlign w:val="center"/>
          </w:tcPr>
          <w:p w14:paraId="0B97581E" w14:textId="77777777" w:rsidR="00C4624A" w:rsidRPr="002D52A1" w:rsidRDefault="00C4624A" w:rsidP="00461AA0">
            <w:pPr>
              <w:spacing w:beforeLines="20" w:before="48" w:afterLines="20" w:after="48"/>
              <w:jc w:val="center"/>
              <w:rPr>
                <w:b/>
                <w:bCs/>
                <w:noProof/>
                <w:sz w:val="16"/>
                <w:szCs w:val="16"/>
              </w:rPr>
            </w:pPr>
            <w:r w:rsidRPr="002D52A1">
              <w:rPr>
                <w:noProof/>
                <w:sz w:val="16"/>
              </w:rPr>
              <w:t>2,7</w:t>
            </w:r>
          </w:p>
        </w:tc>
        <w:tc>
          <w:tcPr>
            <w:tcW w:w="731" w:type="dxa"/>
            <w:tcBorders>
              <w:top w:val="double" w:sz="4" w:space="0" w:color="auto"/>
            </w:tcBorders>
            <w:shd w:val="clear" w:color="auto" w:fill="auto"/>
            <w:vAlign w:val="center"/>
          </w:tcPr>
          <w:p w14:paraId="481C39BC" w14:textId="77777777" w:rsidR="00C4624A" w:rsidRPr="002D52A1" w:rsidRDefault="00C4624A" w:rsidP="00461AA0">
            <w:pPr>
              <w:spacing w:beforeLines="20" w:before="48" w:afterLines="20" w:after="48"/>
              <w:jc w:val="center"/>
              <w:rPr>
                <w:b/>
                <w:bCs/>
                <w:noProof/>
                <w:sz w:val="16"/>
                <w:szCs w:val="16"/>
              </w:rPr>
            </w:pPr>
            <w:r w:rsidRPr="002D52A1">
              <w:rPr>
                <w:noProof/>
                <w:sz w:val="16"/>
              </w:rPr>
              <w:t>2,7</w:t>
            </w:r>
          </w:p>
        </w:tc>
        <w:tc>
          <w:tcPr>
            <w:tcW w:w="731" w:type="dxa"/>
            <w:tcBorders>
              <w:top w:val="double" w:sz="4" w:space="0" w:color="auto"/>
            </w:tcBorders>
            <w:shd w:val="clear" w:color="auto" w:fill="auto"/>
            <w:vAlign w:val="center"/>
          </w:tcPr>
          <w:p w14:paraId="7DDFBC08" w14:textId="77777777" w:rsidR="00C4624A" w:rsidRPr="002D52A1" w:rsidRDefault="00C4624A" w:rsidP="00461AA0">
            <w:pPr>
              <w:spacing w:beforeLines="20" w:before="48" w:afterLines="20" w:after="48"/>
              <w:jc w:val="center"/>
              <w:rPr>
                <w:b/>
                <w:bCs/>
                <w:noProof/>
                <w:sz w:val="16"/>
                <w:szCs w:val="16"/>
              </w:rPr>
            </w:pPr>
            <w:r w:rsidRPr="002D52A1">
              <w:rPr>
                <w:noProof/>
                <w:sz w:val="16"/>
              </w:rPr>
              <w:t>0,45</w:t>
            </w:r>
          </w:p>
        </w:tc>
        <w:tc>
          <w:tcPr>
            <w:tcW w:w="785" w:type="dxa"/>
            <w:tcBorders>
              <w:top w:val="double" w:sz="4" w:space="0" w:color="auto"/>
            </w:tcBorders>
            <w:vAlign w:val="center"/>
          </w:tcPr>
          <w:p w14:paraId="0B3D7DD7" w14:textId="77777777" w:rsidR="00C4624A" w:rsidRPr="002D52A1" w:rsidRDefault="00C4624A" w:rsidP="00461AA0">
            <w:pPr>
              <w:spacing w:beforeLines="20" w:before="48" w:afterLines="20" w:after="48"/>
              <w:jc w:val="center"/>
              <w:rPr>
                <w:b/>
                <w:bCs/>
                <w:noProof/>
                <w:sz w:val="16"/>
                <w:szCs w:val="16"/>
              </w:rPr>
            </w:pPr>
            <w:r w:rsidRPr="002D52A1">
              <w:rPr>
                <w:noProof/>
                <w:sz w:val="16"/>
              </w:rPr>
              <w:t>0,45</w:t>
            </w:r>
          </w:p>
        </w:tc>
        <w:tc>
          <w:tcPr>
            <w:tcW w:w="850" w:type="dxa"/>
            <w:tcBorders>
              <w:top w:val="double" w:sz="4" w:space="0" w:color="auto"/>
            </w:tcBorders>
            <w:vAlign w:val="center"/>
          </w:tcPr>
          <w:p w14:paraId="51114931" w14:textId="77777777" w:rsidR="00C4624A" w:rsidRPr="002D52A1" w:rsidRDefault="00C4624A" w:rsidP="00461AA0">
            <w:pPr>
              <w:spacing w:beforeLines="20" w:before="48" w:afterLines="20" w:after="48"/>
              <w:jc w:val="center"/>
              <w:rPr>
                <w:b/>
                <w:bCs/>
                <w:noProof/>
                <w:sz w:val="16"/>
                <w:szCs w:val="16"/>
              </w:rPr>
            </w:pPr>
            <w:r w:rsidRPr="002D52A1">
              <w:rPr>
                <w:noProof/>
                <w:sz w:val="16"/>
              </w:rPr>
              <w:t>0,45</w:t>
            </w:r>
          </w:p>
        </w:tc>
        <w:tc>
          <w:tcPr>
            <w:tcW w:w="993" w:type="dxa"/>
            <w:tcBorders>
              <w:top w:val="double" w:sz="4" w:space="0" w:color="auto"/>
            </w:tcBorders>
            <w:shd w:val="clear" w:color="auto" w:fill="auto"/>
            <w:vAlign w:val="center"/>
          </w:tcPr>
          <w:p w14:paraId="1F31BD76" w14:textId="77777777" w:rsidR="00C4624A" w:rsidRPr="002D52A1" w:rsidRDefault="00C4624A" w:rsidP="00461AA0">
            <w:pPr>
              <w:spacing w:beforeLines="20" w:before="48" w:afterLines="20" w:after="48"/>
              <w:jc w:val="center"/>
              <w:rPr>
                <w:b/>
                <w:bCs/>
                <w:noProof/>
                <w:sz w:val="16"/>
                <w:szCs w:val="16"/>
              </w:rPr>
            </w:pPr>
            <w:r w:rsidRPr="002D52A1">
              <w:rPr>
                <w:noProof/>
                <w:sz w:val="16"/>
              </w:rPr>
              <w:t>12,15</w:t>
            </w:r>
          </w:p>
        </w:tc>
      </w:tr>
    </w:tbl>
    <w:p w14:paraId="3317ABB1" w14:textId="77777777" w:rsidR="00C4624A" w:rsidRPr="002D52A1" w:rsidRDefault="00C4624A" w:rsidP="00C4624A">
      <w:pPr>
        <w:pStyle w:val="Text1"/>
        <w:spacing w:before="60" w:after="60"/>
        <w:ind w:left="851"/>
        <w:rPr>
          <w:noProof/>
          <w:sz w:val="18"/>
          <w:szCs w:val="18"/>
        </w:rPr>
      </w:pPr>
      <w:r w:rsidRPr="002D52A1">
        <w:rPr>
          <w:b/>
          <w:noProof/>
          <w:sz w:val="18"/>
        </w:rPr>
        <w:t>XX</w:t>
      </w:r>
      <w:r w:rsidRPr="002D52A1">
        <w:rPr>
          <w:noProof/>
          <w:sz w:val="18"/>
        </w:rPr>
        <w:t xml:space="preserve"> predstavuje príslušnú oblasť politiky alebo rozpočtovú hlavu.</w:t>
      </w:r>
    </w:p>
    <w:p w14:paraId="2E226F42" w14:textId="05BB90FE" w:rsidR="00C4624A" w:rsidRPr="002D52A1" w:rsidRDefault="00C4624A" w:rsidP="00C4624A">
      <w:pPr>
        <w:pStyle w:val="Text1"/>
        <w:rPr>
          <w:noProof/>
          <w:sz w:val="18"/>
          <w:szCs w:val="18"/>
        </w:rPr>
      </w:pPr>
      <w:r w:rsidRPr="002D52A1">
        <w:rPr>
          <w:noProof/>
          <w:sz w:val="18"/>
        </w:rPr>
        <w:t>Potreby ľudských zdrojov budú pokryté úradníkmi GR, ktorí už boli pridelení na riadenie akcie a/alebo boli interne prerozdelení</w:t>
      </w:r>
      <w:r w:rsidR="002D52A1">
        <w:rPr>
          <w:noProof/>
          <w:sz w:val="18"/>
        </w:rPr>
        <w:t xml:space="preserve"> v </w:t>
      </w:r>
      <w:r w:rsidRPr="002D52A1">
        <w:rPr>
          <w:noProof/>
          <w:sz w:val="18"/>
        </w:rPr>
        <w:t>rámci GR,</w:t>
      </w:r>
      <w:r w:rsidR="002D52A1">
        <w:rPr>
          <w:noProof/>
          <w:sz w:val="18"/>
        </w:rPr>
        <w:t xml:space="preserve"> a v </w:t>
      </w:r>
      <w:r w:rsidRPr="002D52A1">
        <w:rPr>
          <w:noProof/>
          <w:sz w:val="18"/>
        </w:rPr>
        <w:t>prípade potreby budú doplnené zdrojmi, ktoré sa môžu prideliť riadiacemu GR</w:t>
      </w:r>
      <w:r w:rsidR="002D52A1">
        <w:rPr>
          <w:noProof/>
          <w:sz w:val="18"/>
        </w:rPr>
        <w:t xml:space="preserve"> v </w:t>
      </w:r>
      <w:r w:rsidRPr="002D52A1">
        <w:rPr>
          <w:noProof/>
          <w:sz w:val="18"/>
        </w:rPr>
        <w:t>rámci ročného postupu prideľovania zdrojov</w:t>
      </w:r>
      <w:r w:rsidR="002D52A1">
        <w:rPr>
          <w:noProof/>
          <w:sz w:val="18"/>
        </w:rPr>
        <w:t xml:space="preserve"> v </w:t>
      </w:r>
      <w:r w:rsidRPr="002D52A1">
        <w:rPr>
          <w:noProof/>
          <w:sz w:val="18"/>
        </w:rPr>
        <w:t>závislosti od rozpočtových obmedzení.</w:t>
      </w:r>
    </w:p>
    <w:p w14:paraId="7A12F52A" w14:textId="77777777" w:rsidR="00C4624A" w:rsidRPr="002D52A1" w:rsidRDefault="00C4624A" w:rsidP="00C4624A">
      <w:pPr>
        <w:rPr>
          <w:noProof/>
          <w:sz w:val="20"/>
        </w:rPr>
      </w:pPr>
      <w:r w:rsidRPr="002D52A1">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4624A" w:rsidRPr="002D52A1" w14:paraId="7BA65B2D" w14:textId="77777777" w:rsidTr="00461AA0">
        <w:tc>
          <w:tcPr>
            <w:tcW w:w="3240" w:type="dxa"/>
          </w:tcPr>
          <w:p w14:paraId="44544352" w14:textId="6DFB4B9C" w:rsidR="00C4624A" w:rsidRPr="002D52A1" w:rsidRDefault="00C4624A" w:rsidP="00461AA0">
            <w:pPr>
              <w:rPr>
                <w:noProof/>
                <w:sz w:val="20"/>
              </w:rPr>
            </w:pPr>
            <w:r w:rsidRPr="002D52A1">
              <w:rPr>
                <w:noProof/>
                <w:sz w:val="20"/>
              </w:rPr>
              <w:t>Úradníci</w:t>
            </w:r>
            <w:r w:rsidR="002D52A1">
              <w:rPr>
                <w:noProof/>
                <w:sz w:val="20"/>
              </w:rPr>
              <w:t xml:space="preserve"> a </w:t>
            </w:r>
            <w:r w:rsidRPr="002D52A1">
              <w:rPr>
                <w:noProof/>
                <w:sz w:val="20"/>
              </w:rPr>
              <w:t>dočasní zamestnanci</w:t>
            </w:r>
          </w:p>
        </w:tc>
        <w:tc>
          <w:tcPr>
            <w:tcW w:w="7200" w:type="dxa"/>
          </w:tcPr>
          <w:p w14:paraId="6FA76C64" w14:textId="28814117" w:rsidR="00C4624A" w:rsidRPr="002D52A1" w:rsidRDefault="00C4624A" w:rsidP="00461AA0">
            <w:pPr>
              <w:spacing w:after="200"/>
              <w:rPr>
                <w:noProof/>
                <w:sz w:val="20"/>
                <w:szCs w:val="20"/>
              </w:rPr>
            </w:pPr>
            <w:r w:rsidRPr="002D52A1">
              <w:rPr>
                <w:noProof/>
                <w:sz w:val="20"/>
              </w:rPr>
              <w:t>Riaditeľ riaditeľstva D: vykonávať dohľad nad operáciou</w:t>
            </w:r>
            <w:r w:rsidR="002D52A1">
              <w:rPr>
                <w:noProof/>
                <w:sz w:val="20"/>
              </w:rPr>
              <w:t xml:space="preserve"> a </w:t>
            </w:r>
            <w:r w:rsidRPr="002D52A1">
              <w:rPr>
                <w:noProof/>
                <w:sz w:val="20"/>
              </w:rPr>
              <w:t>riadiť ju, spolupracovať</w:t>
            </w:r>
            <w:r w:rsidR="002D52A1">
              <w:rPr>
                <w:noProof/>
                <w:sz w:val="20"/>
              </w:rPr>
              <w:t xml:space="preserve"> s </w:t>
            </w:r>
            <w:r w:rsidRPr="002D52A1">
              <w:rPr>
                <w:noProof/>
                <w:sz w:val="20"/>
              </w:rPr>
              <w:t>Radou</w:t>
            </w:r>
            <w:r w:rsidR="002D52A1">
              <w:rPr>
                <w:noProof/>
                <w:sz w:val="20"/>
              </w:rPr>
              <w:t xml:space="preserve"> a </w:t>
            </w:r>
            <w:r w:rsidRPr="002D52A1">
              <w:rPr>
                <w:noProof/>
                <w:sz w:val="20"/>
              </w:rPr>
              <w:t>Parlamentom</w:t>
            </w:r>
            <w:r w:rsidR="002D52A1">
              <w:rPr>
                <w:noProof/>
                <w:sz w:val="20"/>
              </w:rPr>
              <w:t xml:space="preserve"> v </w:t>
            </w:r>
            <w:r w:rsidRPr="002D52A1">
              <w:rPr>
                <w:noProof/>
                <w:sz w:val="20"/>
              </w:rPr>
              <w:t>súvislosti</w:t>
            </w:r>
            <w:r w:rsidR="002D52A1">
              <w:rPr>
                <w:noProof/>
                <w:sz w:val="20"/>
              </w:rPr>
              <w:t xml:space="preserve"> s </w:t>
            </w:r>
            <w:r w:rsidRPr="002D52A1">
              <w:rPr>
                <w:noProof/>
                <w:sz w:val="20"/>
              </w:rPr>
              <w:t>prijatím tohto rozhodnutia</w:t>
            </w:r>
            <w:r w:rsidR="002D52A1">
              <w:rPr>
                <w:noProof/>
                <w:sz w:val="20"/>
              </w:rPr>
              <w:t xml:space="preserve"> a </w:t>
            </w:r>
            <w:r w:rsidRPr="002D52A1">
              <w:rPr>
                <w:noProof/>
                <w:sz w:val="20"/>
              </w:rPr>
              <w:t>schválením memoranda</w:t>
            </w:r>
            <w:r w:rsidR="002D52A1">
              <w:rPr>
                <w:noProof/>
                <w:sz w:val="20"/>
              </w:rPr>
              <w:t xml:space="preserve"> o </w:t>
            </w:r>
            <w:r w:rsidRPr="002D52A1">
              <w:rPr>
                <w:noProof/>
                <w:sz w:val="20"/>
              </w:rPr>
              <w:t>porozumení, rokovať</w:t>
            </w:r>
            <w:r w:rsidR="002D52A1">
              <w:rPr>
                <w:noProof/>
                <w:sz w:val="20"/>
              </w:rPr>
              <w:t xml:space="preserve"> s </w:t>
            </w:r>
            <w:r w:rsidRPr="002D52A1">
              <w:rPr>
                <w:noProof/>
                <w:sz w:val="20"/>
              </w:rPr>
              <w:t>ukrajinskými orgánmi</w:t>
            </w:r>
            <w:r w:rsidR="002D52A1">
              <w:rPr>
                <w:noProof/>
                <w:sz w:val="20"/>
              </w:rPr>
              <w:t xml:space="preserve"> o </w:t>
            </w:r>
            <w:r w:rsidRPr="002D52A1">
              <w:rPr>
                <w:noProof/>
                <w:sz w:val="20"/>
              </w:rPr>
              <w:t>memorande</w:t>
            </w:r>
            <w:r w:rsidR="002D52A1">
              <w:rPr>
                <w:noProof/>
                <w:sz w:val="20"/>
              </w:rPr>
              <w:t xml:space="preserve"> o </w:t>
            </w:r>
            <w:r w:rsidRPr="002D52A1">
              <w:rPr>
                <w:noProof/>
                <w:sz w:val="20"/>
              </w:rPr>
              <w:t>porozumení, preskúmať správy, viesť služobné cesty</w:t>
            </w:r>
            <w:r w:rsidR="002D52A1">
              <w:rPr>
                <w:noProof/>
                <w:sz w:val="20"/>
              </w:rPr>
              <w:t xml:space="preserve"> a </w:t>
            </w:r>
            <w:r w:rsidRPr="002D52A1">
              <w:rPr>
                <w:noProof/>
                <w:sz w:val="20"/>
              </w:rPr>
              <w:t>posudzovať pokrok pri dodržiavaní podmienenosti.</w:t>
            </w:r>
          </w:p>
          <w:p w14:paraId="54B6504C" w14:textId="068CFAEA" w:rsidR="002D52A1" w:rsidRPr="002D52A1" w:rsidRDefault="00C4624A" w:rsidP="00461AA0">
            <w:pPr>
              <w:spacing w:after="200"/>
              <w:rPr>
                <w:noProof/>
                <w:sz w:val="20"/>
              </w:rPr>
            </w:pPr>
            <w:r w:rsidRPr="002D52A1">
              <w:rPr>
                <w:noProof/>
                <w:sz w:val="20"/>
              </w:rPr>
              <w:t>Vedúci oddelenia/zástupca vedúceho oddelenia, riaditeľstvo D: pomáhať riaditeľovi pri riadení operácie, spolupráci</w:t>
            </w:r>
            <w:r w:rsidR="002D52A1">
              <w:rPr>
                <w:noProof/>
                <w:sz w:val="20"/>
              </w:rPr>
              <w:t xml:space="preserve"> s </w:t>
            </w:r>
            <w:r w:rsidRPr="002D52A1">
              <w:rPr>
                <w:noProof/>
                <w:sz w:val="20"/>
              </w:rPr>
              <w:t>Radou</w:t>
            </w:r>
            <w:r w:rsidR="002D52A1">
              <w:rPr>
                <w:noProof/>
                <w:sz w:val="20"/>
              </w:rPr>
              <w:t xml:space="preserve"> a </w:t>
            </w:r>
            <w:r w:rsidRPr="002D52A1">
              <w:rPr>
                <w:noProof/>
                <w:sz w:val="20"/>
              </w:rPr>
              <w:t>Parlamentom</w:t>
            </w:r>
            <w:r w:rsidR="002D52A1">
              <w:rPr>
                <w:noProof/>
                <w:sz w:val="20"/>
              </w:rPr>
              <w:t xml:space="preserve"> v </w:t>
            </w:r>
            <w:r w:rsidRPr="002D52A1">
              <w:rPr>
                <w:noProof/>
                <w:sz w:val="20"/>
              </w:rPr>
              <w:t>súvislosti</w:t>
            </w:r>
            <w:r w:rsidR="002D52A1">
              <w:rPr>
                <w:noProof/>
                <w:sz w:val="20"/>
              </w:rPr>
              <w:t xml:space="preserve"> s </w:t>
            </w:r>
            <w:r w:rsidRPr="002D52A1">
              <w:rPr>
                <w:noProof/>
                <w:sz w:val="20"/>
              </w:rPr>
              <w:t>prijatím tohto rozhodnutia</w:t>
            </w:r>
            <w:r w:rsidR="002D52A1">
              <w:rPr>
                <w:noProof/>
                <w:sz w:val="20"/>
              </w:rPr>
              <w:t xml:space="preserve"> a </w:t>
            </w:r>
            <w:r w:rsidRPr="002D52A1">
              <w:rPr>
                <w:noProof/>
                <w:sz w:val="20"/>
              </w:rPr>
              <w:t>so schválením memoranda</w:t>
            </w:r>
            <w:r w:rsidR="002D52A1">
              <w:rPr>
                <w:noProof/>
                <w:sz w:val="20"/>
              </w:rPr>
              <w:t xml:space="preserve"> o </w:t>
            </w:r>
            <w:r w:rsidRPr="002D52A1">
              <w:rPr>
                <w:noProof/>
                <w:sz w:val="20"/>
              </w:rPr>
              <w:t>porozumení, pri rokovaniach</w:t>
            </w:r>
            <w:r w:rsidR="002D52A1">
              <w:rPr>
                <w:noProof/>
                <w:sz w:val="20"/>
              </w:rPr>
              <w:t xml:space="preserve"> s </w:t>
            </w:r>
            <w:r w:rsidRPr="002D52A1">
              <w:rPr>
                <w:noProof/>
                <w:sz w:val="20"/>
              </w:rPr>
              <w:t>ukrajinskými orgánmi</w:t>
            </w:r>
            <w:r w:rsidR="002D52A1">
              <w:rPr>
                <w:noProof/>
                <w:sz w:val="20"/>
              </w:rPr>
              <w:t xml:space="preserve"> o </w:t>
            </w:r>
            <w:r w:rsidRPr="002D52A1">
              <w:rPr>
                <w:noProof/>
                <w:sz w:val="20"/>
              </w:rPr>
              <w:t>memorande</w:t>
            </w:r>
            <w:r w:rsidR="002D52A1">
              <w:rPr>
                <w:noProof/>
                <w:sz w:val="20"/>
              </w:rPr>
              <w:t xml:space="preserve"> o </w:t>
            </w:r>
            <w:r w:rsidRPr="002D52A1">
              <w:rPr>
                <w:noProof/>
                <w:sz w:val="20"/>
              </w:rPr>
              <w:t>porozumení</w:t>
            </w:r>
            <w:r w:rsidR="002D52A1">
              <w:rPr>
                <w:noProof/>
                <w:sz w:val="20"/>
              </w:rPr>
              <w:t xml:space="preserve"> a </w:t>
            </w:r>
            <w:r w:rsidRPr="002D52A1">
              <w:rPr>
                <w:noProof/>
                <w:sz w:val="20"/>
              </w:rPr>
              <w:t>dohode</w:t>
            </w:r>
            <w:r w:rsidR="002D52A1">
              <w:rPr>
                <w:noProof/>
                <w:sz w:val="20"/>
              </w:rPr>
              <w:t xml:space="preserve"> o </w:t>
            </w:r>
            <w:r w:rsidRPr="002D52A1">
              <w:rPr>
                <w:noProof/>
                <w:sz w:val="20"/>
              </w:rPr>
              <w:t>úverovom mechanizme (spolu</w:t>
            </w:r>
            <w:r w:rsidR="002D52A1">
              <w:rPr>
                <w:noProof/>
                <w:sz w:val="20"/>
              </w:rPr>
              <w:t xml:space="preserve"> s </w:t>
            </w:r>
            <w:r w:rsidRPr="002D52A1">
              <w:rPr>
                <w:noProof/>
                <w:sz w:val="20"/>
              </w:rPr>
              <w:t>GR BUDG), pri preskúmavaní správ</w:t>
            </w:r>
            <w:r w:rsidR="002D52A1">
              <w:rPr>
                <w:noProof/>
                <w:sz w:val="20"/>
              </w:rPr>
              <w:t xml:space="preserve"> a </w:t>
            </w:r>
            <w:r w:rsidRPr="002D52A1">
              <w:rPr>
                <w:noProof/>
                <w:sz w:val="20"/>
              </w:rPr>
              <w:t>posudzovaní pokroku pri dodržiavaní podmienenosti</w:t>
            </w:r>
            <w:r w:rsidR="002D52A1" w:rsidRPr="002D52A1">
              <w:rPr>
                <w:noProof/>
                <w:sz w:val="20"/>
              </w:rPr>
              <w:t>.</w:t>
            </w:r>
          </w:p>
          <w:p w14:paraId="5B183CE7" w14:textId="3B117F1E" w:rsidR="002D52A1" w:rsidRPr="002D52A1" w:rsidRDefault="00C4624A" w:rsidP="00461AA0">
            <w:pPr>
              <w:rPr>
                <w:noProof/>
                <w:sz w:val="20"/>
              </w:rPr>
            </w:pPr>
            <w:r w:rsidRPr="002D52A1">
              <w:rPr>
                <w:noProof/>
                <w:sz w:val="20"/>
              </w:rPr>
              <w:t>Ekonómovia, sektor makrofinančnej pomoci (riaditeľstvo D): pripraviť rozhodnutie</w:t>
            </w:r>
            <w:r w:rsidR="002D52A1">
              <w:rPr>
                <w:noProof/>
                <w:sz w:val="20"/>
              </w:rPr>
              <w:t xml:space="preserve"> a </w:t>
            </w:r>
            <w:r w:rsidRPr="002D52A1">
              <w:rPr>
                <w:noProof/>
                <w:sz w:val="20"/>
              </w:rPr>
              <w:t>memorandum</w:t>
            </w:r>
            <w:r w:rsidR="002D52A1">
              <w:rPr>
                <w:noProof/>
                <w:sz w:val="20"/>
              </w:rPr>
              <w:t xml:space="preserve"> o </w:t>
            </w:r>
            <w:r w:rsidRPr="002D52A1">
              <w:rPr>
                <w:noProof/>
                <w:sz w:val="20"/>
              </w:rPr>
              <w:t>porozumení, spolupracovať</w:t>
            </w:r>
            <w:r w:rsidR="002D52A1">
              <w:rPr>
                <w:noProof/>
                <w:sz w:val="20"/>
              </w:rPr>
              <w:t xml:space="preserve"> s </w:t>
            </w:r>
            <w:r w:rsidRPr="002D52A1">
              <w:rPr>
                <w:noProof/>
                <w:sz w:val="20"/>
              </w:rPr>
              <w:t>orgánmi</w:t>
            </w:r>
            <w:r w:rsidR="002D52A1">
              <w:rPr>
                <w:noProof/>
                <w:sz w:val="20"/>
              </w:rPr>
              <w:t xml:space="preserve"> a </w:t>
            </w:r>
            <w:r w:rsidRPr="002D52A1">
              <w:rPr>
                <w:noProof/>
                <w:sz w:val="20"/>
              </w:rPr>
              <w:t>medzinárodnými finančnými inštitúciami, uskutočňovať služobné cesty na účely preskúmania, pripravovať správy zamestnancov Komisie</w:t>
            </w:r>
            <w:r w:rsidR="002D52A1">
              <w:rPr>
                <w:noProof/>
                <w:sz w:val="20"/>
              </w:rPr>
              <w:t xml:space="preserve"> a </w:t>
            </w:r>
            <w:r w:rsidRPr="002D52A1">
              <w:rPr>
                <w:noProof/>
                <w:sz w:val="20"/>
              </w:rPr>
              <w:t>postupy Komisie súvisiace</w:t>
            </w:r>
            <w:r w:rsidR="002D52A1">
              <w:rPr>
                <w:noProof/>
                <w:sz w:val="20"/>
              </w:rPr>
              <w:t xml:space="preserve"> s </w:t>
            </w:r>
            <w:r w:rsidRPr="002D52A1">
              <w:rPr>
                <w:noProof/>
                <w:sz w:val="20"/>
              </w:rPr>
              <w:t>riadením pomoci, spolupracovať</w:t>
            </w:r>
            <w:r w:rsidR="002D52A1">
              <w:rPr>
                <w:noProof/>
                <w:sz w:val="20"/>
              </w:rPr>
              <w:t xml:space="preserve"> s </w:t>
            </w:r>
            <w:r w:rsidRPr="002D52A1">
              <w:rPr>
                <w:noProof/>
                <w:sz w:val="20"/>
              </w:rPr>
              <w:t>externými odborníkmi</w:t>
            </w:r>
            <w:r w:rsidR="002D52A1">
              <w:rPr>
                <w:noProof/>
                <w:sz w:val="20"/>
              </w:rPr>
              <w:t xml:space="preserve"> v </w:t>
            </w:r>
            <w:r w:rsidRPr="002D52A1">
              <w:rPr>
                <w:noProof/>
                <w:sz w:val="20"/>
              </w:rPr>
              <w:t>oblasti operatívneho posúdenia</w:t>
            </w:r>
            <w:r w:rsidR="002D52A1">
              <w:rPr>
                <w:noProof/>
                <w:sz w:val="20"/>
              </w:rPr>
              <w:t xml:space="preserve"> a </w:t>
            </w:r>
            <w:r w:rsidRPr="002D52A1">
              <w:rPr>
                <w:noProof/>
                <w:sz w:val="20"/>
              </w:rPr>
              <w:t xml:space="preserve">hodnotenia </w:t>
            </w:r>
            <w:r w:rsidRPr="002D52A1">
              <w:rPr>
                <w:i/>
                <w:noProof/>
                <w:sz w:val="20"/>
              </w:rPr>
              <w:t>ex post</w:t>
            </w:r>
            <w:r w:rsidR="002D52A1" w:rsidRPr="002D52A1">
              <w:rPr>
                <w:noProof/>
                <w:sz w:val="20"/>
              </w:rPr>
              <w:t>.</w:t>
            </w:r>
          </w:p>
          <w:p w14:paraId="084FE239" w14:textId="05888DE2" w:rsidR="00C4624A" w:rsidRPr="002D52A1" w:rsidRDefault="00C4624A" w:rsidP="00461AA0">
            <w:pPr>
              <w:rPr>
                <w:noProof/>
                <w:sz w:val="20"/>
              </w:rPr>
            </w:pPr>
            <w:r w:rsidRPr="002D52A1">
              <w:rPr>
                <w:noProof/>
                <w:sz w:val="20"/>
              </w:rPr>
              <w:t>GR BUDG (oddelenia E1</w:t>
            </w:r>
            <w:r w:rsidR="002D52A1">
              <w:rPr>
                <w:noProof/>
                <w:sz w:val="20"/>
              </w:rPr>
              <w:t xml:space="preserve"> a </w:t>
            </w:r>
            <w:r w:rsidRPr="002D52A1">
              <w:rPr>
                <w:noProof/>
                <w:sz w:val="20"/>
              </w:rPr>
              <w:t>E3 pod dohľadom riaditeľa): pripraviť dohodu</w:t>
            </w:r>
            <w:r w:rsidR="002D52A1">
              <w:rPr>
                <w:noProof/>
                <w:sz w:val="20"/>
              </w:rPr>
              <w:t xml:space="preserve"> o </w:t>
            </w:r>
            <w:r w:rsidRPr="002D52A1">
              <w:rPr>
                <w:noProof/>
                <w:sz w:val="20"/>
              </w:rPr>
              <w:t>úverovom mechanizme, rokovať</w:t>
            </w:r>
            <w:r w:rsidR="002D52A1">
              <w:rPr>
                <w:noProof/>
                <w:sz w:val="20"/>
              </w:rPr>
              <w:t xml:space="preserve"> o </w:t>
            </w:r>
            <w:r w:rsidRPr="002D52A1">
              <w:rPr>
                <w:noProof/>
                <w:sz w:val="20"/>
              </w:rPr>
              <w:t>nej</w:t>
            </w:r>
            <w:r w:rsidR="002D52A1">
              <w:rPr>
                <w:noProof/>
                <w:sz w:val="20"/>
              </w:rPr>
              <w:t xml:space="preserve"> s </w:t>
            </w:r>
            <w:r w:rsidRPr="002D52A1">
              <w:rPr>
                <w:noProof/>
                <w:sz w:val="20"/>
              </w:rPr>
              <w:t>ukrajinskými orgánmi</w:t>
            </w:r>
            <w:r w:rsidR="002D52A1">
              <w:rPr>
                <w:noProof/>
                <w:sz w:val="20"/>
              </w:rPr>
              <w:t xml:space="preserve"> a </w:t>
            </w:r>
            <w:r w:rsidRPr="002D52A1">
              <w:rPr>
                <w:noProof/>
                <w:sz w:val="20"/>
              </w:rPr>
              <w:t>predložiť ju na schválenie príslušnými útvarmi Komisie</w:t>
            </w:r>
            <w:r w:rsidR="002D52A1">
              <w:rPr>
                <w:noProof/>
                <w:sz w:val="20"/>
              </w:rPr>
              <w:t xml:space="preserve"> a </w:t>
            </w:r>
            <w:r w:rsidRPr="002D52A1">
              <w:rPr>
                <w:noProof/>
                <w:sz w:val="20"/>
              </w:rPr>
              <w:t>na podpis obidvomi stranami. Sledovať situáciu po nadobudnutí platnosti dohody</w:t>
            </w:r>
            <w:r w:rsidR="002D52A1">
              <w:rPr>
                <w:noProof/>
                <w:sz w:val="20"/>
              </w:rPr>
              <w:t xml:space="preserve"> o </w:t>
            </w:r>
            <w:r w:rsidRPr="002D52A1">
              <w:rPr>
                <w:noProof/>
                <w:sz w:val="20"/>
              </w:rPr>
              <w:t>úverovom mechanizme. Pripraviť rozhodnutie (rozhodnutia) Komisie</w:t>
            </w:r>
            <w:r w:rsidR="002D52A1">
              <w:rPr>
                <w:noProof/>
                <w:sz w:val="20"/>
              </w:rPr>
              <w:t xml:space="preserve"> o </w:t>
            </w:r>
            <w:r w:rsidRPr="002D52A1">
              <w:rPr>
                <w:noProof/>
                <w:sz w:val="20"/>
              </w:rPr>
              <w:t>prijímaní úverov, sledovať predkladanie žiadostí</w:t>
            </w:r>
            <w:r w:rsidR="002D52A1">
              <w:rPr>
                <w:noProof/>
                <w:sz w:val="20"/>
              </w:rPr>
              <w:t xml:space="preserve"> o </w:t>
            </w:r>
            <w:r w:rsidRPr="002D52A1">
              <w:rPr>
                <w:noProof/>
                <w:sz w:val="20"/>
              </w:rPr>
              <w:t>finančné prostriedky, vybrať banky, pripravovať</w:t>
            </w:r>
            <w:r w:rsidR="002D52A1">
              <w:rPr>
                <w:noProof/>
                <w:sz w:val="20"/>
              </w:rPr>
              <w:t xml:space="preserve"> a </w:t>
            </w:r>
            <w:r w:rsidRPr="002D52A1">
              <w:rPr>
                <w:noProof/>
                <w:sz w:val="20"/>
              </w:rPr>
              <w:t>realizovať transakcie financovania</w:t>
            </w:r>
            <w:r w:rsidR="002D52A1">
              <w:rPr>
                <w:noProof/>
                <w:sz w:val="20"/>
              </w:rPr>
              <w:t xml:space="preserve"> a </w:t>
            </w:r>
            <w:r w:rsidRPr="002D52A1">
              <w:rPr>
                <w:noProof/>
                <w:sz w:val="20"/>
              </w:rPr>
              <w:t>vyplácať finančné prostriedky Ukrajine. Vykonávať činnosti back-office</w:t>
            </w:r>
            <w:r w:rsidR="002D52A1">
              <w:rPr>
                <w:noProof/>
                <w:sz w:val="20"/>
              </w:rPr>
              <w:t xml:space="preserve"> v </w:t>
            </w:r>
            <w:r w:rsidRPr="002D52A1">
              <w:rPr>
                <w:noProof/>
                <w:sz w:val="20"/>
              </w:rPr>
              <w:t>nadväznosti na splatenie úveru (úverov). Vypracovať príslušné správy</w:t>
            </w:r>
            <w:r w:rsidR="002D52A1">
              <w:rPr>
                <w:noProof/>
                <w:sz w:val="20"/>
              </w:rPr>
              <w:t xml:space="preserve"> o </w:t>
            </w:r>
            <w:r w:rsidRPr="002D52A1">
              <w:rPr>
                <w:noProof/>
                <w:sz w:val="20"/>
              </w:rPr>
              <w:t>týchto činnostiach.</w:t>
            </w:r>
          </w:p>
        </w:tc>
      </w:tr>
      <w:tr w:rsidR="00C4624A" w:rsidRPr="002D52A1" w14:paraId="1C00F45F" w14:textId="77777777" w:rsidTr="00461AA0">
        <w:tc>
          <w:tcPr>
            <w:tcW w:w="3240" w:type="dxa"/>
          </w:tcPr>
          <w:p w14:paraId="3804CF93" w14:textId="77777777" w:rsidR="00C4624A" w:rsidRPr="002D52A1" w:rsidRDefault="00C4624A" w:rsidP="00461AA0">
            <w:pPr>
              <w:spacing w:before="60" w:after="60"/>
              <w:rPr>
                <w:noProof/>
                <w:sz w:val="20"/>
              </w:rPr>
            </w:pPr>
            <w:r w:rsidRPr="002D52A1">
              <w:rPr>
                <w:noProof/>
                <w:sz w:val="20"/>
              </w:rPr>
              <w:t>Externí zamestnanci</w:t>
            </w:r>
          </w:p>
        </w:tc>
        <w:tc>
          <w:tcPr>
            <w:tcW w:w="7200" w:type="dxa"/>
          </w:tcPr>
          <w:p w14:paraId="2B9C088E" w14:textId="77777777" w:rsidR="00C4624A" w:rsidRPr="002D52A1" w:rsidRDefault="00C4624A" w:rsidP="00461AA0">
            <w:pPr>
              <w:rPr>
                <w:noProof/>
                <w:sz w:val="20"/>
              </w:rPr>
            </w:pPr>
            <w:r w:rsidRPr="002D52A1">
              <w:rPr>
                <w:noProof/>
                <w:sz w:val="20"/>
              </w:rPr>
              <w:t>–</w:t>
            </w:r>
          </w:p>
        </w:tc>
      </w:tr>
    </w:tbl>
    <w:p w14:paraId="6BABB09C" w14:textId="77777777" w:rsidR="00C4624A" w:rsidRPr="002D52A1" w:rsidRDefault="00C4624A" w:rsidP="00C4624A">
      <w:pPr>
        <w:rPr>
          <w:noProof/>
        </w:rPr>
      </w:pPr>
    </w:p>
    <w:p w14:paraId="0E9ACB9B" w14:textId="5F91793C" w:rsidR="002D52A1" w:rsidRPr="002D52A1" w:rsidRDefault="00D05784" w:rsidP="00D05784">
      <w:pPr>
        <w:pStyle w:val="ManualHeading3"/>
        <w:rPr>
          <w:noProof/>
        </w:rPr>
      </w:pPr>
      <w:bookmarkStart w:id="65" w:name="_Toc514938056"/>
      <w:bookmarkStart w:id="66" w:name="_Toc520485055"/>
      <w:r w:rsidRPr="00D05784">
        <w:t>3.2.4.</w:t>
      </w:r>
      <w:r w:rsidRPr="00D05784">
        <w:tab/>
      </w:r>
      <w:r w:rsidR="00C4624A" w:rsidRPr="002D52A1">
        <w:rPr>
          <w:noProof/>
        </w:rPr>
        <w:t>Súlad</w:t>
      </w:r>
      <w:r w:rsidR="002D52A1">
        <w:rPr>
          <w:noProof/>
        </w:rPr>
        <w:t xml:space="preserve"> s </w:t>
      </w:r>
      <w:r w:rsidR="00C4624A" w:rsidRPr="002D52A1">
        <w:rPr>
          <w:noProof/>
        </w:rPr>
        <w:t>platným viacročným finančným rámcom</w:t>
      </w:r>
      <w:bookmarkEnd w:id="65"/>
      <w:bookmarkEnd w:id="66"/>
    </w:p>
    <w:p w14:paraId="73A289C0" w14:textId="0027B6C1" w:rsidR="00C4624A" w:rsidRPr="002D52A1" w:rsidRDefault="00C4624A" w:rsidP="00C4624A">
      <w:pPr>
        <w:pStyle w:val="Text1"/>
        <w:rPr>
          <w:noProof/>
        </w:rPr>
      </w:pPr>
      <w:r w:rsidRPr="002D52A1">
        <w:rPr>
          <w:noProof/>
        </w:rPr>
        <w:t>Návrh/iniciatíva:</w:t>
      </w:r>
    </w:p>
    <w:p w14:paraId="3D8B7500" w14:textId="76D88E5C" w:rsidR="00C4624A" w:rsidRPr="002D52A1" w:rsidRDefault="00C4624A" w:rsidP="00C4624A">
      <w:pPr>
        <w:pStyle w:val="ListDash1"/>
        <w:rPr>
          <w:noProof/>
        </w:rPr>
      </w:pPr>
      <w:r w:rsidRPr="002D52A1">
        <w:rPr>
          <w:rFonts w:ascii="Wingdings" w:hAnsi="Wingdings"/>
          <w:noProof/>
        </w:rPr>
        <w:t></w:t>
      </w:r>
      <w:r w:rsidRPr="002D52A1">
        <w:rPr>
          <w:noProof/>
        </w:rPr>
        <w:tab/>
        <w:t>môže byť</w:t>
      </w:r>
      <w:r w:rsidR="002D52A1">
        <w:rPr>
          <w:noProof/>
        </w:rPr>
        <w:t xml:space="preserve"> v </w:t>
      </w:r>
      <w:r w:rsidRPr="002D52A1">
        <w:rPr>
          <w:noProof/>
        </w:rPr>
        <w:t>plnej miere financovaná prerozdelením</w:t>
      </w:r>
      <w:r w:rsidR="002D52A1">
        <w:rPr>
          <w:noProof/>
        </w:rPr>
        <w:t xml:space="preserve"> v </w:t>
      </w:r>
      <w:r w:rsidRPr="002D52A1">
        <w:rPr>
          <w:noProof/>
        </w:rPr>
        <w:t>rámci príslušného okruhu viacročného finančného rámca (VFR).</w:t>
      </w:r>
    </w:p>
    <w:p w14:paraId="2A144A5B" w14:textId="77777777" w:rsidR="00C4624A" w:rsidRPr="002D52A1" w:rsidRDefault="00C4624A" w:rsidP="00C4624A">
      <w:pPr>
        <w:rPr>
          <w:noProof/>
        </w:rPr>
      </w:pPr>
    </w:p>
    <w:p w14:paraId="7F644B5A" w14:textId="7D59229A" w:rsidR="002D52A1" w:rsidRPr="002D52A1" w:rsidRDefault="00D05784" w:rsidP="00D05784">
      <w:pPr>
        <w:pStyle w:val="ManualHeading3"/>
        <w:rPr>
          <w:noProof/>
        </w:rPr>
      </w:pPr>
      <w:bookmarkStart w:id="67" w:name="_Toc514938058"/>
      <w:bookmarkStart w:id="68" w:name="_Toc520485056"/>
      <w:r w:rsidRPr="00D05784">
        <w:t>3.2.5.</w:t>
      </w:r>
      <w:r w:rsidRPr="00D05784">
        <w:tab/>
      </w:r>
      <w:r w:rsidR="00C4624A" w:rsidRPr="002D52A1">
        <w:rPr>
          <w:noProof/>
        </w:rPr>
        <w:t>Príspevky od tretích strán</w:t>
      </w:r>
      <w:bookmarkEnd w:id="67"/>
      <w:bookmarkEnd w:id="68"/>
    </w:p>
    <w:p w14:paraId="1BC69ABD" w14:textId="6381A358" w:rsidR="00C4624A" w:rsidRPr="002D52A1" w:rsidRDefault="00C4624A" w:rsidP="00C4624A">
      <w:pPr>
        <w:pStyle w:val="Text1"/>
        <w:rPr>
          <w:noProof/>
        </w:rPr>
      </w:pPr>
      <w:r w:rsidRPr="002D52A1">
        <w:rPr>
          <w:noProof/>
        </w:rPr>
        <w:t>Návrh/iniciatíva:</w:t>
      </w:r>
    </w:p>
    <w:p w14:paraId="2D2B0D31" w14:textId="77777777" w:rsidR="00C4624A" w:rsidRPr="002D52A1" w:rsidRDefault="00C4624A" w:rsidP="00C4624A">
      <w:pPr>
        <w:pStyle w:val="ListDash1"/>
        <w:rPr>
          <w:noProof/>
        </w:rPr>
      </w:pPr>
      <w:r w:rsidRPr="002D52A1">
        <w:rPr>
          <w:rFonts w:ascii="Wingdings" w:hAnsi="Wingdings"/>
          <w:noProof/>
        </w:rPr>
        <w:t></w:t>
      </w:r>
      <w:r w:rsidRPr="002D52A1">
        <w:rPr>
          <w:noProof/>
        </w:rPr>
        <w:tab/>
        <w:t>nezahŕňa spolufinancovanie tretími stranami</w:t>
      </w:r>
    </w:p>
    <w:p w14:paraId="67A5E40B" w14:textId="01EA7231" w:rsidR="00C4624A" w:rsidRPr="002D52A1" w:rsidRDefault="00C4624A" w:rsidP="00C4624A">
      <w:pPr>
        <w:rPr>
          <w:noProof/>
        </w:rPr>
      </w:pPr>
      <w:r w:rsidRPr="002D52A1">
        <w:rPr>
          <w:noProof/>
        </w:rPr>
        <w:t>Návrh zahŕňa príspevky členských štátov vo forme záruk, ktoré boli určené ako vhodný nástroj na poskytovanie ochrany nad rámec tvorby rezerv</w:t>
      </w:r>
      <w:r w:rsidR="002D52A1">
        <w:rPr>
          <w:noProof/>
        </w:rPr>
        <w:t xml:space="preserve"> v </w:t>
      </w:r>
      <w:r w:rsidRPr="002D52A1">
        <w:rPr>
          <w:noProof/>
        </w:rPr>
        <w:t>rámci rozpočtu EÚ na úrovni 9</w:t>
      </w:r>
      <w:r w:rsidR="002D52A1">
        <w:rPr>
          <w:noProof/>
        </w:rPr>
        <w:t> %</w:t>
      </w:r>
      <w:r w:rsidRPr="002D52A1">
        <w:rPr>
          <w:noProof/>
        </w:rPr>
        <w:t>. Odchylne od článku 211 ods. 1 prvého pododseku nariadenia</w:t>
      </w:r>
      <w:r w:rsidR="002D52A1">
        <w:rPr>
          <w:noProof/>
        </w:rPr>
        <w:t xml:space="preserve"> o </w:t>
      </w:r>
      <w:r w:rsidRPr="002D52A1">
        <w:rPr>
          <w:noProof/>
        </w:rPr>
        <w:t>rozpočtových pravidlách by sa príspevky</w:t>
      </w:r>
      <w:r w:rsidR="002D52A1">
        <w:rPr>
          <w:noProof/>
        </w:rPr>
        <w:t xml:space="preserve"> v </w:t>
      </w:r>
      <w:r w:rsidRPr="002D52A1">
        <w:rPr>
          <w:noProof/>
        </w:rPr>
        <w:t>rámci týchto záruk mali zahrnúť do sumy schváleného finančného záväzku. Výšky výziev na plnenie zo záruky by sa mali použiť na uspokojenie finančných záväzkov Únie vyplývajúcich</w:t>
      </w:r>
      <w:r w:rsidR="002D52A1">
        <w:rPr>
          <w:noProof/>
        </w:rPr>
        <w:t xml:space="preserve"> z </w:t>
      </w:r>
      <w:r w:rsidRPr="002D52A1">
        <w:rPr>
          <w:noProof/>
        </w:rPr>
        <w:t>pôžičiek</w:t>
      </w:r>
      <w:r w:rsidR="002D52A1">
        <w:rPr>
          <w:noProof/>
        </w:rPr>
        <w:t xml:space="preserve"> a </w:t>
      </w:r>
      <w:r w:rsidRPr="002D52A1">
        <w:rPr>
          <w:noProof/>
        </w:rPr>
        <w:t>na doplnenie spoločného rezervného fondu.</w:t>
      </w:r>
    </w:p>
    <w:p w14:paraId="622A72A1" w14:textId="77777777" w:rsidR="00C4624A" w:rsidRPr="002D52A1" w:rsidRDefault="00C4624A" w:rsidP="00C4624A">
      <w:pPr>
        <w:rPr>
          <w:noProof/>
        </w:rPr>
      </w:pPr>
    </w:p>
    <w:p w14:paraId="660CB27A" w14:textId="3B31B77E" w:rsidR="002D52A1" w:rsidRPr="002D52A1" w:rsidRDefault="00D05784" w:rsidP="00D05784">
      <w:pPr>
        <w:pStyle w:val="ManualHeading2"/>
        <w:rPr>
          <w:noProof/>
        </w:rPr>
      </w:pPr>
      <w:bookmarkStart w:id="69" w:name="_Toc514938059"/>
      <w:bookmarkStart w:id="70" w:name="_Toc520485057"/>
      <w:r w:rsidRPr="00D05784">
        <w:t>3.3.</w:t>
      </w:r>
      <w:r w:rsidRPr="00D05784">
        <w:tab/>
      </w:r>
      <w:r w:rsidR="00C4624A" w:rsidRPr="002D52A1">
        <w:rPr>
          <w:noProof/>
        </w:rPr>
        <w:t>Odhadovaný vplyv na príjmy</w:t>
      </w:r>
      <w:bookmarkEnd w:id="69"/>
      <w:bookmarkEnd w:id="70"/>
    </w:p>
    <w:p w14:paraId="1F5B33A5" w14:textId="45ABACB0" w:rsidR="00D518F3" w:rsidRPr="002D52A1" w:rsidRDefault="00C4624A" w:rsidP="00C42293">
      <w:pPr>
        <w:rPr>
          <w:noProof/>
        </w:rPr>
      </w:pPr>
      <w:r w:rsidRPr="002D52A1">
        <w:rPr>
          <w:rFonts w:ascii="Wingdings" w:hAnsi="Wingdings"/>
          <w:noProof/>
        </w:rPr>
        <w:t></w:t>
      </w:r>
      <w:r w:rsidRPr="002D52A1">
        <w:rPr>
          <w:noProof/>
        </w:rPr>
        <w:tab/>
        <w:t>Návrh/iniciatíva nemá finančný vplyv.</w:t>
      </w:r>
    </w:p>
    <w:sectPr w:rsidR="00D518F3" w:rsidRPr="002D52A1" w:rsidSect="00A6081D">
      <w:pgSz w:w="11907" w:h="16840"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7E19" w14:textId="77777777" w:rsidR="002D52A1" w:rsidRDefault="002D52A1" w:rsidP="00F152DC">
      <w:pPr>
        <w:spacing w:before="0" w:after="0"/>
      </w:pPr>
      <w:r>
        <w:separator/>
      </w:r>
    </w:p>
  </w:endnote>
  <w:endnote w:type="continuationSeparator" w:id="0">
    <w:p w14:paraId="2E584D52" w14:textId="77777777" w:rsidR="002D52A1" w:rsidRDefault="002D52A1" w:rsidP="00F152DC">
      <w:pPr>
        <w:spacing w:before="0" w:after="0"/>
      </w:pPr>
      <w:r>
        <w:continuationSeparator/>
      </w:r>
    </w:p>
  </w:endnote>
  <w:endnote w:type="continuationNotice" w:id="1">
    <w:p w14:paraId="3136B13F" w14:textId="77777777" w:rsidR="002D52A1" w:rsidRDefault="002D52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C14B" w14:textId="162A0599" w:rsidR="00AD77F1" w:rsidRPr="00A6081D" w:rsidRDefault="00A6081D" w:rsidP="00A6081D">
    <w:pPr>
      <w:pStyle w:val="Footer"/>
      <w:rPr>
        <w:rFonts w:ascii="Arial" w:hAnsi="Arial" w:cs="Arial"/>
        <w:b/>
        <w:sz w:val="48"/>
      </w:rPr>
    </w:pPr>
    <w:r w:rsidRPr="00A6081D">
      <w:rPr>
        <w:rFonts w:ascii="Arial" w:hAnsi="Arial" w:cs="Arial"/>
        <w:b/>
        <w:sz w:val="48"/>
      </w:rPr>
      <w:t>SK</w:t>
    </w:r>
    <w:r w:rsidRPr="00A6081D">
      <w:rPr>
        <w:rFonts w:ascii="Arial" w:hAnsi="Arial" w:cs="Arial"/>
        <w:b/>
        <w:sz w:val="48"/>
      </w:rPr>
      <w:tab/>
    </w:r>
    <w:r w:rsidRPr="00A6081D">
      <w:rPr>
        <w:rFonts w:ascii="Arial" w:hAnsi="Arial" w:cs="Arial"/>
        <w:b/>
        <w:sz w:val="48"/>
      </w:rPr>
      <w:tab/>
    </w:r>
    <w:r w:rsidRPr="00A6081D">
      <w:tab/>
    </w:r>
    <w:r w:rsidRPr="00A6081D">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F3C" w14:textId="0FEA4EDC" w:rsidR="00A6081D" w:rsidRPr="00A6081D" w:rsidRDefault="00A6081D" w:rsidP="00A6081D">
    <w:pPr>
      <w:pStyle w:val="Footer"/>
      <w:rPr>
        <w:rFonts w:ascii="Arial" w:hAnsi="Arial" w:cs="Arial"/>
        <w:b/>
        <w:sz w:val="48"/>
      </w:rPr>
    </w:pPr>
    <w:r w:rsidRPr="00A6081D">
      <w:rPr>
        <w:rFonts w:ascii="Arial" w:hAnsi="Arial" w:cs="Arial"/>
        <w:b/>
        <w:sz w:val="48"/>
      </w:rPr>
      <w:t>SK</w:t>
    </w:r>
    <w:r w:rsidRPr="00A6081D">
      <w:rPr>
        <w:rFonts w:ascii="Arial" w:hAnsi="Arial" w:cs="Arial"/>
        <w:b/>
        <w:sz w:val="48"/>
      </w:rPr>
      <w:tab/>
    </w:r>
    <w:r>
      <w:fldChar w:fldCharType="begin"/>
    </w:r>
    <w:r>
      <w:instrText xml:space="preserve"> PAGE  \* MERGEFORMAT </w:instrText>
    </w:r>
    <w:r>
      <w:fldChar w:fldCharType="separate"/>
    </w:r>
    <w:r w:rsidR="00950382">
      <w:rPr>
        <w:noProof/>
      </w:rPr>
      <w:t>28</w:t>
    </w:r>
    <w:r>
      <w:fldChar w:fldCharType="end"/>
    </w:r>
    <w:r>
      <w:tab/>
    </w:r>
    <w:r w:rsidRPr="00A6081D">
      <w:tab/>
    </w:r>
    <w:r w:rsidRPr="00A6081D">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58B2" w14:textId="77777777" w:rsidR="00A6081D" w:rsidRPr="00A6081D" w:rsidRDefault="00A6081D" w:rsidP="00A60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19" w14:textId="77E00AD9" w:rsidR="00A6081D" w:rsidRPr="00A6081D" w:rsidRDefault="00A6081D" w:rsidP="00A6081D">
    <w:pPr>
      <w:pStyle w:val="FooterLandscape"/>
      <w:rPr>
        <w:rFonts w:ascii="Arial" w:hAnsi="Arial" w:cs="Arial"/>
        <w:b/>
        <w:sz w:val="48"/>
      </w:rPr>
    </w:pPr>
    <w:r w:rsidRPr="00A6081D">
      <w:rPr>
        <w:rFonts w:ascii="Arial" w:hAnsi="Arial" w:cs="Arial"/>
        <w:b/>
        <w:sz w:val="48"/>
      </w:rPr>
      <w:t>SK</w:t>
    </w:r>
    <w:r w:rsidRPr="00A6081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6081D">
      <w:tab/>
    </w:r>
    <w:r w:rsidRPr="00A6081D">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2B38" w14:textId="77777777" w:rsidR="00A6081D" w:rsidRPr="00A6081D" w:rsidRDefault="00A6081D" w:rsidP="00A6081D">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AFD0" w14:textId="22D2CE8B" w:rsidR="00AD77F1" w:rsidRPr="00A6081D" w:rsidRDefault="00A6081D" w:rsidP="00A6081D">
    <w:pPr>
      <w:pStyle w:val="Footer"/>
      <w:rPr>
        <w:rFonts w:ascii="Arial" w:hAnsi="Arial" w:cs="Arial"/>
        <w:b/>
        <w:sz w:val="48"/>
      </w:rPr>
    </w:pPr>
    <w:r w:rsidRPr="00A6081D">
      <w:rPr>
        <w:rFonts w:ascii="Arial" w:hAnsi="Arial" w:cs="Arial"/>
        <w:b/>
        <w:sz w:val="48"/>
      </w:rPr>
      <w:t>SK</w:t>
    </w:r>
    <w:r w:rsidRPr="00A6081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6081D">
      <w:tab/>
    </w:r>
    <w:r w:rsidRPr="00A6081D">
      <w:rPr>
        <w:rFonts w:ascii="Arial" w:hAnsi="Arial" w:cs="Arial"/>
        <w:b/>
        <w:sz w:val="48"/>
      </w:rPr>
      <w:t>SK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D796" w14:textId="77777777" w:rsidR="00A6081D" w:rsidRPr="00A6081D" w:rsidRDefault="00A6081D" w:rsidP="00A6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1E1A" w14:textId="77777777" w:rsidR="002D52A1" w:rsidRDefault="002D52A1" w:rsidP="00F152DC">
      <w:pPr>
        <w:spacing w:before="0" w:after="0"/>
      </w:pPr>
      <w:r>
        <w:separator/>
      </w:r>
    </w:p>
  </w:footnote>
  <w:footnote w:type="continuationSeparator" w:id="0">
    <w:p w14:paraId="05A2A8D9" w14:textId="77777777" w:rsidR="002D52A1" w:rsidRDefault="002D52A1" w:rsidP="00F152DC">
      <w:pPr>
        <w:spacing w:before="0" w:after="0"/>
      </w:pPr>
      <w:r>
        <w:continuationSeparator/>
      </w:r>
    </w:p>
  </w:footnote>
  <w:footnote w:type="continuationNotice" w:id="1">
    <w:p w14:paraId="0DD88E40" w14:textId="77777777" w:rsidR="002D52A1" w:rsidRDefault="002D52A1">
      <w:pPr>
        <w:spacing w:before="0" w:after="0"/>
      </w:pPr>
    </w:p>
  </w:footnote>
  <w:footnote w:id="2">
    <w:p w14:paraId="59311247" w14:textId="7F76B9F4" w:rsidR="002D52A1" w:rsidRPr="002D52A1" w:rsidRDefault="002D52A1" w:rsidP="002D52A1">
      <w:pPr>
        <w:pStyle w:val="FootnoteText"/>
      </w:pPr>
      <w:r w:rsidRPr="002D52A1">
        <w:rPr>
          <w:rStyle w:val="FootnoteReference"/>
        </w:rPr>
        <w:footnoteRef/>
      </w:r>
      <w:r w:rsidRPr="002D52A1">
        <w:tab/>
      </w:r>
      <w:r w:rsidRPr="002D52A1">
        <w:rPr>
          <w:color w:val="000000" w:themeColor="text1"/>
        </w:rPr>
        <w:t>Ukrajina oficiálne požiadala</w:t>
      </w:r>
      <w:r>
        <w:rPr>
          <w:color w:val="000000" w:themeColor="text1"/>
        </w:rPr>
        <w:t xml:space="preserve"> o </w:t>
      </w:r>
      <w:r w:rsidRPr="002D52A1">
        <w:rPr>
          <w:color w:val="000000" w:themeColor="text1"/>
        </w:rPr>
        <w:t>členstvo</w:t>
      </w:r>
      <w:r>
        <w:rPr>
          <w:color w:val="000000" w:themeColor="text1"/>
        </w:rPr>
        <w:t xml:space="preserve"> v </w:t>
      </w:r>
      <w:r w:rsidRPr="002D52A1">
        <w:rPr>
          <w:color w:val="000000" w:themeColor="text1"/>
        </w:rPr>
        <w:t>EÚ 28</w:t>
      </w:r>
      <w:r>
        <w:rPr>
          <w:color w:val="000000" w:themeColor="text1"/>
        </w:rPr>
        <w:t>. februára</w:t>
      </w:r>
      <w:r w:rsidRPr="002D52A1">
        <w:rPr>
          <w:color w:val="000000" w:themeColor="text1"/>
        </w:rPr>
        <w:t xml:space="preserve"> 2022, štyri dni po ruskej invázii,</w:t>
      </w:r>
      <w:r>
        <w:rPr>
          <w:color w:val="000000" w:themeColor="text1"/>
        </w:rPr>
        <w:t xml:space="preserve"> a </w:t>
      </w:r>
      <w:r w:rsidRPr="002D52A1">
        <w:rPr>
          <w:color w:val="000000" w:themeColor="text1"/>
        </w:rPr>
        <w:t>Európska rada jej 23</w:t>
      </w:r>
      <w:r>
        <w:rPr>
          <w:color w:val="000000" w:themeColor="text1"/>
        </w:rPr>
        <w:t>. júna</w:t>
      </w:r>
      <w:r w:rsidRPr="002D52A1">
        <w:rPr>
          <w:color w:val="000000" w:themeColor="text1"/>
        </w:rPr>
        <w:t xml:space="preserve"> 2022 priznala štatút kandidátskej krajiny.</w:t>
      </w:r>
    </w:p>
  </w:footnote>
  <w:footnote w:id="3">
    <w:p w14:paraId="4A970203" w14:textId="1BA2470A" w:rsidR="002D52A1" w:rsidRPr="002D52A1" w:rsidRDefault="002D52A1" w:rsidP="002D52A1">
      <w:pPr>
        <w:pStyle w:val="FootnoteText"/>
      </w:pPr>
      <w:r w:rsidRPr="002D52A1">
        <w:rPr>
          <w:rStyle w:val="FootnoteReference"/>
        </w:rPr>
        <w:footnoteRef/>
      </w:r>
      <w:r w:rsidRPr="002D52A1">
        <w:tab/>
      </w:r>
      <w:r w:rsidRPr="002D52A1">
        <w:rPr>
          <w:color w:val="000000" w:themeColor="text1"/>
        </w:rPr>
        <w:t>Ako Európskej komisii potvrdil MMF</w:t>
      </w:r>
      <w:r>
        <w:rPr>
          <w:color w:val="000000" w:themeColor="text1"/>
        </w:rPr>
        <w:t xml:space="preserve"> v </w:t>
      </w:r>
      <w:r w:rsidRPr="002D52A1">
        <w:rPr>
          <w:color w:val="000000" w:themeColor="text1"/>
        </w:rPr>
        <w:t>liste</w:t>
      </w:r>
      <w:r>
        <w:rPr>
          <w:color w:val="000000" w:themeColor="text1"/>
        </w:rPr>
        <w:t xml:space="preserve"> s </w:t>
      </w:r>
      <w:r w:rsidRPr="002D52A1">
        <w:rPr>
          <w:color w:val="000000" w:themeColor="text1"/>
        </w:rPr>
        <w:t>posúdením doručenom 3</w:t>
      </w:r>
      <w:r>
        <w:rPr>
          <w:color w:val="000000" w:themeColor="text1"/>
        </w:rPr>
        <w:t>. júna</w:t>
      </w:r>
      <w:r w:rsidRPr="002D52A1">
        <w:rPr>
          <w:color w:val="000000" w:themeColor="text1"/>
        </w:rPr>
        <w:t xml:space="preserve"> 2022.</w:t>
      </w:r>
    </w:p>
  </w:footnote>
  <w:footnote w:id="4">
    <w:p w14:paraId="1E350D3A" w14:textId="4E8ED3F2" w:rsidR="002D52A1" w:rsidRPr="002D52A1" w:rsidRDefault="002D52A1" w:rsidP="002D52A1">
      <w:pPr>
        <w:pStyle w:val="FootnoteText"/>
        <w:rPr>
          <w:spacing w:val="-4"/>
        </w:rPr>
      </w:pPr>
      <w:r w:rsidRPr="002D52A1">
        <w:rPr>
          <w:rStyle w:val="FootnoteReference"/>
        </w:rPr>
        <w:footnoteRef/>
      </w:r>
      <w:r w:rsidRPr="002D52A1">
        <w:tab/>
      </w:r>
      <w:r w:rsidRPr="002D52A1">
        <w:rPr>
          <w:spacing w:val="-4"/>
        </w:rPr>
        <w:t>Po prvé NBU povolila bankám predávať bezhotovostnú cudziu menu na účely jej minimálne trojmesačného uloženia bez práva predčasného výberu. Po druhé boli stanovené prísnejšie limity na hotovostný výber cudzej meny kartou, ako aj na prevody a platby do zahraničia. Po tretie bol prijatý algoritmus na výpočet otvorených pozícií cudzích mien bánk, ktorý nadobudne účinnosť 1. augusta 2022.</w:t>
      </w:r>
    </w:p>
  </w:footnote>
  <w:footnote w:id="5">
    <w:p w14:paraId="74491F44" w14:textId="1103C1A3" w:rsidR="002D52A1" w:rsidRPr="002D52A1" w:rsidRDefault="002D52A1" w:rsidP="002D52A1">
      <w:pPr>
        <w:pStyle w:val="FootnoteText"/>
        <w:rPr>
          <w:rFonts w:eastAsia="Times New Roman"/>
          <w:color w:val="000000" w:themeColor="text1"/>
          <w:szCs w:val="24"/>
        </w:rPr>
      </w:pPr>
      <w:r w:rsidRPr="002D52A1">
        <w:rPr>
          <w:rStyle w:val="FootnoteReference"/>
        </w:rPr>
        <w:footnoteRef/>
      </w:r>
      <w:r w:rsidRPr="002D52A1">
        <w:tab/>
        <w:t>Skupinu veriteľov Ukrajiny tvoria Francúzsko</w:t>
      </w:r>
      <w:r w:rsidRPr="002D52A1">
        <w:rPr>
          <w:color w:val="000000" w:themeColor="text1"/>
        </w:rPr>
        <w:t>, Japonsko, Kanada, Nemecko, Spojené kráľovstvo</w:t>
      </w:r>
      <w:r>
        <w:rPr>
          <w:color w:val="000000" w:themeColor="text1"/>
        </w:rPr>
        <w:t xml:space="preserve"> a </w:t>
      </w:r>
      <w:r w:rsidRPr="002D52A1">
        <w:rPr>
          <w:color w:val="000000" w:themeColor="text1"/>
        </w:rPr>
        <w:t>Spojené štáty americké. Pozorovateľmi skupiny sú Austrália, Belgicko, Brazília, Dánsko, Fínsko, Holandsko, Írsko, Izrael, Kórea, Nórsko, Rakúsko, Španielsko, Švédsko, Švajčiarsko</w:t>
      </w:r>
      <w:r>
        <w:rPr>
          <w:color w:val="000000" w:themeColor="text1"/>
        </w:rPr>
        <w:t xml:space="preserve"> a </w:t>
      </w:r>
      <w:r w:rsidRPr="002D52A1">
        <w:rPr>
          <w:color w:val="000000" w:themeColor="text1"/>
        </w:rPr>
        <w:t>Taliansko.</w:t>
      </w:r>
    </w:p>
  </w:footnote>
  <w:footnote w:id="6">
    <w:p w14:paraId="3441728F" w14:textId="64FBAB16" w:rsidR="002D52A1" w:rsidRPr="002D52A1" w:rsidRDefault="002D52A1" w:rsidP="002D52A1">
      <w:pPr>
        <w:pStyle w:val="FootnoteText"/>
        <w:rPr>
          <w:spacing w:val="-4"/>
        </w:rPr>
      </w:pPr>
      <w:r w:rsidRPr="002D52A1">
        <w:rPr>
          <w:rStyle w:val="FootnoteReference"/>
        </w:rPr>
        <w:footnoteRef/>
      </w:r>
      <w:r w:rsidRPr="002D52A1">
        <w:tab/>
      </w:r>
      <w:r w:rsidRPr="002D52A1">
        <w:rPr>
          <w:spacing w:val="-4"/>
        </w:rPr>
        <w:t>Jedna splátka výnimočnej makrofinančnej pomoci vo výške 1 mld. EUR sa uskutočnila v dvoch tranžiach dva dni po sebe, aby sa optimalizovala priemerná úroková sadzba vypožičaných finančných prostriedkov.</w:t>
      </w:r>
    </w:p>
  </w:footnote>
  <w:footnote w:id="7">
    <w:p w14:paraId="4DD49F5B" w14:textId="0226C822" w:rsidR="002D52A1" w:rsidRPr="002D52A1" w:rsidRDefault="002D52A1" w:rsidP="002D52A1">
      <w:pPr>
        <w:pStyle w:val="FootnoteText"/>
      </w:pPr>
      <w:r w:rsidRPr="002D52A1">
        <w:rPr>
          <w:rStyle w:val="FootnoteReference"/>
        </w:rPr>
        <w:footnoteRef/>
      </w:r>
      <w:r w:rsidRPr="002D52A1">
        <w:tab/>
        <w:t>Ukrajinské ministerstvo financií spolu</w:t>
      </w:r>
      <w:r>
        <w:t xml:space="preserve"> s </w:t>
      </w:r>
      <w:r w:rsidRPr="002D52A1">
        <w:t>MMF očakáva, že rozpočtová podpora</w:t>
      </w:r>
      <w:r>
        <w:t xml:space="preserve"> v </w:t>
      </w:r>
      <w:r w:rsidRPr="002D52A1">
        <w:t>štvrtom štvrťroku je dostatočne zabezpečená pevnými záväzkami darcov, ktoré</w:t>
      </w:r>
      <w:r>
        <w:t xml:space="preserve"> o </w:t>
      </w:r>
      <w:r w:rsidRPr="002D52A1">
        <w:t>niečo presahujú sumu 2 mld. USD.</w:t>
      </w:r>
    </w:p>
  </w:footnote>
  <w:footnote w:id="8">
    <w:p w14:paraId="70F243DE" w14:textId="6CC93EB7" w:rsidR="002D52A1" w:rsidRPr="002D52A1" w:rsidRDefault="002D52A1" w:rsidP="002D52A1">
      <w:pPr>
        <w:pStyle w:val="FootnoteText"/>
        <w:rPr>
          <w:rStyle w:val="Hyperlink"/>
        </w:rPr>
      </w:pPr>
      <w:r w:rsidRPr="002D52A1">
        <w:rPr>
          <w:rStyle w:val="FootnoteReference"/>
        </w:rPr>
        <w:footnoteRef/>
      </w:r>
      <w:r w:rsidRPr="002D52A1">
        <w:tab/>
        <w:t xml:space="preserve">Prehľad zintenzívneného úsilia EÚ sa nachádza na webovom sídle </w:t>
      </w:r>
      <w:hyperlink r:id="rId1">
        <w:r w:rsidRPr="002D52A1">
          <w:rPr>
            <w:rStyle w:val="Hyperlink"/>
          </w:rPr>
          <w:t>https://eu-solidarity-ukraine.ec.europa.eu/eu-assistance-ukraine_sk</w:t>
        </w:r>
      </w:hyperlink>
      <w:r w:rsidRPr="002D52A1">
        <w:t xml:space="preserve">. </w:t>
      </w:r>
    </w:p>
  </w:footnote>
  <w:footnote w:id="9">
    <w:p w14:paraId="19228560" w14:textId="0E0411BC" w:rsidR="002D52A1" w:rsidRPr="002D52A1" w:rsidRDefault="002D52A1" w:rsidP="002D52A1">
      <w:pPr>
        <w:pStyle w:val="FootnoteText"/>
      </w:pPr>
      <w:r w:rsidRPr="002D52A1">
        <w:rPr>
          <w:rStyle w:val="FootnoteReference"/>
        </w:rPr>
        <w:footnoteRef/>
      </w:r>
      <w:r w:rsidRPr="002D52A1">
        <w:tab/>
        <w:t>Aj napriek tomu, že plneniu politických podmienok, ktoré sú súčasťou núdzovej makrofinančnej pomoci, bránia vojnové okolnosti, ukrajinským orgánom sa podarilo dosiahnuť pokrok pri plnení politických podmienok, ktoré sú súčasťou núdzovej makrofinančnej pomoci, ako je nedávne vymenovanie nového riaditeľa Špecializovanej protikorupčnej prokuratúry 28</w:t>
      </w:r>
      <w:r>
        <w:t>. júla</w:t>
      </w:r>
      <w:r w:rsidRPr="002D52A1">
        <w:t>.</w:t>
      </w:r>
    </w:p>
  </w:footnote>
  <w:footnote w:id="10">
    <w:p w14:paraId="5C6372BD" w14:textId="77777777" w:rsidR="002D52A1" w:rsidRPr="002D52A1" w:rsidRDefault="002D52A1" w:rsidP="002D52A1">
      <w:pPr>
        <w:pStyle w:val="FootnoteText"/>
      </w:pPr>
      <w:r w:rsidRPr="002D52A1">
        <w:rPr>
          <w:rStyle w:val="FootnoteReference"/>
        </w:rPr>
        <w:footnoteRef/>
      </w:r>
      <w:r w:rsidRPr="002D52A1">
        <w:tab/>
      </w:r>
      <w:hyperlink r:id="rId2" w:history="1">
        <w:r w:rsidRPr="002D52A1">
          <w:rPr>
            <w:rStyle w:val="Hyperlink"/>
          </w:rPr>
          <w:t>Rozhodnutie (EÚ) 2022/1201</w:t>
        </w:r>
      </w:hyperlink>
      <w:r w:rsidRPr="002D52A1">
        <w:t>.</w:t>
      </w:r>
    </w:p>
  </w:footnote>
  <w:footnote w:id="11">
    <w:p w14:paraId="776C67A6" w14:textId="72219517" w:rsidR="002D52A1" w:rsidRPr="002D52A1" w:rsidRDefault="002D52A1" w:rsidP="002D52A1">
      <w:pPr>
        <w:spacing w:before="0" w:after="0"/>
        <w:ind w:left="720" w:hanging="720"/>
        <w:rPr>
          <w:rFonts w:eastAsia="Calibri"/>
          <w:spacing w:val="-4"/>
          <w:sz w:val="20"/>
          <w:szCs w:val="20"/>
        </w:rPr>
      </w:pPr>
      <w:r w:rsidRPr="00CD70FE">
        <w:rPr>
          <w:rStyle w:val="FootnoteReference"/>
        </w:rPr>
        <w:footnoteRef/>
      </w:r>
      <w:r w:rsidRPr="002D52A1">
        <w:rPr>
          <w:sz w:val="20"/>
        </w:rPr>
        <w:tab/>
      </w:r>
      <w:r w:rsidRPr="002D52A1">
        <w:rPr>
          <w:spacing w:val="-4"/>
          <w:sz w:val="20"/>
        </w:rPr>
        <w:t xml:space="preserve">Nariadenie Rady (EÚ) 2020/672 z 19. mája 2020 o zriadení európskeho nástroja dočasnej podpory na zmiernenie rizík nezamestnanosti v núdzovej situácii (SURE) v dôsledku výskytu ochorenia COVID-19. </w:t>
      </w:r>
    </w:p>
  </w:footnote>
  <w:footnote w:id="12">
    <w:p w14:paraId="76E03225" w14:textId="3C180B60" w:rsidR="002D52A1" w:rsidRPr="002D52A1" w:rsidRDefault="002D52A1" w:rsidP="002D52A1">
      <w:pPr>
        <w:pStyle w:val="FootnoteText"/>
        <w:rPr>
          <w:rFonts w:eastAsia="Calibri"/>
        </w:rPr>
      </w:pPr>
      <w:r w:rsidRPr="002D52A1">
        <w:rPr>
          <w:rStyle w:val="FootnoteReference"/>
        </w:rPr>
        <w:footnoteRef/>
      </w:r>
      <w:r w:rsidRPr="002D52A1">
        <w:tab/>
        <w:t>Rozhodnutie Európskeho parlamentu</w:t>
      </w:r>
      <w:r>
        <w:t xml:space="preserve"> a </w:t>
      </w:r>
      <w:r w:rsidRPr="002D52A1">
        <w:t>Rady (EÚ) 2022/1201</w:t>
      </w:r>
      <w:r>
        <w:t xml:space="preserve"> z </w:t>
      </w:r>
      <w:r w:rsidRPr="002D52A1">
        <w:t>12</w:t>
      </w:r>
      <w:r>
        <w:t>. júla</w:t>
      </w:r>
      <w:r w:rsidRPr="002D52A1">
        <w:t xml:space="preserve"> 2022</w:t>
      </w:r>
      <w:r>
        <w:t xml:space="preserve"> o </w:t>
      </w:r>
      <w:r w:rsidRPr="002D52A1">
        <w:t>poskytnutí výnimočnej makrofinančnej pomoci Ukrajine (Ú. v. EÚ L 186, 13.7.2022, s. 1).</w:t>
      </w:r>
    </w:p>
  </w:footnote>
  <w:footnote w:id="13">
    <w:p w14:paraId="6E35A5B5" w14:textId="23F1A1C6" w:rsidR="002D52A1" w:rsidRPr="002D52A1" w:rsidRDefault="002D52A1" w:rsidP="002D52A1">
      <w:pPr>
        <w:pStyle w:val="FootnoteText"/>
      </w:pPr>
      <w:r w:rsidRPr="002D52A1">
        <w:rPr>
          <w:rStyle w:val="FootnoteReference"/>
        </w:rPr>
        <w:footnoteRef/>
      </w:r>
      <w:r w:rsidRPr="002D52A1">
        <w:tab/>
        <w:t>Rozhodnutie Európskeho parlamentu</w:t>
      </w:r>
      <w:r>
        <w:t xml:space="preserve"> a </w:t>
      </w:r>
      <w:r w:rsidRPr="002D52A1">
        <w:t>Rady (EÚ) 2022/1201</w:t>
      </w:r>
      <w:r>
        <w:t xml:space="preserve"> z </w:t>
      </w:r>
      <w:r w:rsidRPr="002D52A1">
        <w:t>12</w:t>
      </w:r>
      <w:r>
        <w:t>. júla</w:t>
      </w:r>
      <w:r w:rsidRPr="002D52A1">
        <w:t xml:space="preserve"> 2022</w:t>
      </w:r>
      <w:r>
        <w:t xml:space="preserve"> o </w:t>
      </w:r>
      <w:r w:rsidRPr="002D52A1">
        <w:t>poskytnutí výnimočnej makrofinančnej pomoci Ukrajine (Ú. v. EÚ L 186, 13.7.2022, s. 1).</w:t>
      </w:r>
    </w:p>
  </w:footnote>
  <w:footnote w:id="14">
    <w:p w14:paraId="1B2303EC" w14:textId="3BC8C1C3" w:rsidR="002D52A1" w:rsidRPr="002D52A1" w:rsidRDefault="002D52A1" w:rsidP="002D52A1">
      <w:pPr>
        <w:pStyle w:val="FootnoteText"/>
        <w:rPr>
          <w:rFonts w:eastAsia="Calibri"/>
        </w:rPr>
      </w:pPr>
      <w:r w:rsidRPr="002D52A1">
        <w:rPr>
          <w:rStyle w:val="FootnoteReference"/>
        </w:rPr>
        <w:footnoteRef/>
      </w:r>
      <w:r w:rsidRPr="002D52A1">
        <w:tab/>
        <w:t>Ako Európskej komisii potvrdil MMF</w:t>
      </w:r>
      <w:r>
        <w:t xml:space="preserve"> v </w:t>
      </w:r>
      <w:r w:rsidRPr="002D52A1">
        <w:t>liste</w:t>
      </w:r>
      <w:r>
        <w:t xml:space="preserve"> s </w:t>
      </w:r>
      <w:r w:rsidRPr="002D52A1">
        <w:t>posúdením doručenom</w:t>
      </w:r>
      <w:r>
        <w:t xml:space="preserve"> v </w:t>
      </w:r>
      <w:r w:rsidRPr="002D52A1">
        <w:t>júni 2022.</w:t>
      </w:r>
    </w:p>
  </w:footnote>
  <w:footnote w:id="15">
    <w:p w14:paraId="295A2F41" w14:textId="6A17A4FD" w:rsidR="002D52A1" w:rsidRPr="002D52A1" w:rsidRDefault="002D52A1" w:rsidP="002D52A1">
      <w:pPr>
        <w:pStyle w:val="FootnoteText"/>
        <w:rPr>
          <w:spacing w:val="-4"/>
        </w:rPr>
      </w:pPr>
      <w:r w:rsidRPr="002D52A1">
        <w:rPr>
          <w:rStyle w:val="FootnoteReference"/>
        </w:rPr>
        <w:footnoteRef/>
      </w:r>
      <w:r w:rsidRPr="002D52A1">
        <w:tab/>
      </w:r>
      <w:r w:rsidRPr="002D52A1">
        <w:rPr>
          <w:spacing w:val="-4"/>
        </w:rPr>
        <w:t>Záruka pre vonkajšiu činnosť sa vzťahuje na operácie EFSD+, na ktoré sa vzťahujú rozpočtové záruky, makrofinančná pomoc a úvery tretím krajinám uvedené v článku 10 ods. 2 nariadenia (Euratom) 2021/948. V článku 31 ods. 4 nariadenia o NDICI – Globálna Európa sa stanovuje maximálna výška operácií v rámci záruky pre vonkajšiu činnosť na 53 448 800 000 EUR a maximálna výška tvorby rezerv na 10 000 000 EUR.</w:t>
      </w:r>
    </w:p>
  </w:footnote>
  <w:footnote w:id="16">
    <w:p w14:paraId="03D3A523" w14:textId="2B673A79" w:rsidR="002D52A1" w:rsidRPr="002D52A1" w:rsidRDefault="002D52A1" w:rsidP="002D52A1">
      <w:pPr>
        <w:pStyle w:val="FootnoteText"/>
      </w:pPr>
      <w:r w:rsidRPr="002D52A1">
        <w:rPr>
          <w:rStyle w:val="FootnoteReference"/>
        </w:rPr>
        <w:footnoteRef/>
      </w:r>
      <w:r w:rsidRPr="002D52A1">
        <w:tab/>
      </w:r>
      <w:r w:rsidRPr="002D52A1">
        <w:rPr>
          <w:color w:val="000000"/>
          <w:shd w:val="clear" w:color="auto" w:fill="FFFFFF"/>
        </w:rPr>
        <w:t>Pozícia Európskeho parlamentu zo 16</w:t>
      </w:r>
      <w:r>
        <w:rPr>
          <w:color w:val="000000"/>
          <w:shd w:val="clear" w:color="auto" w:fill="FFFFFF"/>
        </w:rPr>
        <w:t>. februára</w:t>
      </w:r>
      <w:r w:rsidRPr="002D52A1">
        <w:rPr>
          <w:color w:val="000000"/>
          <w:shd w:val="clear" w:color="auto" w:fill="FFFFFF"/>
        </w:rPr>
        <w:t xml:space="preserve"> 2022 (zatiaľ neuverejnená</w:t>
      </w:r>
      <w:r>
        <w:rPr>
          <w:color w:val="000000"/>
          <w:shd w:val="clear" w:color="auto" w:fill="FFFFFF"/>
        </w:rPr>
        <w:t xml:space="preserve"> v </w:t>
      </w:r>
      <w:r w:rsidRPr="002D52A1">
        <w:rPr>
          <w:color w:val="000000"/>
          <w:shd w:val="clear" w:color="auto" w:fill="FFFFFF"/>
        </w:rPr>
        <w:t>úradnom vestníku)</w:t>
      </w:r>
      <w:r>
        <w:rPr>
          <w:color w:val="000000"/>
          <w:shd w:val="clear" w:color="auto" w:fill="FFFFFF"/>
        </w:rPr>
        <w:t xml:space="preserve"> a </w:t>
      </w:r>
      <w:r w:rsidRPr="002D52A1">
        <w:rPr>
          <w:color w:val="000000"/>
          <w:shd w:val="clear" w:color="auto" w:fill="FFFFFF"/>
        </w:rPr>
        <w:t>rozhodnutie Rady</w:t>
      </w:r>
      <w:r>
        <w:rPr>
          <w:color w:val="000000"/>
          <w:shd w:val="clear" w:color="auto" w:fill="FFFFFF"/>
        </w:rPr>
        <w:t xml:space="preserve"> z </w:t>
      </w:r>
      <w:r w:rsidRPr="002D52A1">
        <w:rPr>
          <w:color w:val="000000"/>
          <w:shd w:val="clear" w:color="auto" w:fill="FFFFFF"/>
        </w:rPr>
        <w:t>21</w:t>
      </w:r>
      <w:r>
        <w:rPr>
          <w:color w:val="000000"/>
          <w:shd w:val="clear" w:color="auto" w:fill="FFFFFF"/>
        </w:rPr>
        <w:t>. februára</w:t>
      </w:r>
      <w:r w:rsidRPr="002D52A1">
        <w:rPr>
          <w:color w:val="000000"/>
          <w:shd w:val="clear" w:color="auto" w:fill="FFFFFF"/>
        </w:rPr>
        <w:t xml:space="preserve"> 2022.</w:t>
      </w:r>
    </w:p>
  </w:footnote>
  <w:footnote w:id="17">
    <w:p w14:paraId="6972DEFE" w14:textId="52ABDB4F" w:rsidR="002D52A1" w:rsidRPr="002D52A1" w:rsidRDefault="002D52A1" w:rsidP="002D52A1">
      <w:pPr>
        <w:pStyle w:val="FootnoteText"/>
      </w:pPr>
      <w:r w:rsidRPr="002D52A1">
        <w:rPr>
          <w:rStyle w:val="FootnoteReference"/>
        </w:rPr>
        <w:footnoteRef/>
      </w:r>
      <w:r w:rsidRPr="002D52A1">
        <w:tab/>
      </w:r>
      <w:r w:rsidRPr="002D52A1">
        <w:rPr>
          <w:color w:val="000000"/>
          <w:shd w:val="clear" w:color="auto" w:fill="FFFFFF"/>
        </w:rPr>
        <w:t>Dohoda</w:t>
      </w:r>
      <w:r>
        <w:rPr>
          <w:color w:val="000000"/>
          <w:shd w:val="clear" w:color="auto" w:fill="FFFFFF"/>
        </w:rPr>
        <w:t xml:space="preserve"> o </w:t>
      </w:r>
      <w:r w:rsidRPr="002D52A1">
        <w:rPr>
          <w:color w:val="000000"/>
          <w:shd w:val="clear" w:color="auto" w:fill="FFFFFF"/>
        </w:rPr>
        <w:t>pridružení medzi Európskou úniou</w:t>
      </w:r>
      <w:r>
        <w:rPr>
          <w:color w:val="000000"/>
          <w:shd w:val="clear" w:color="auto" w:fill="FFFFFF"/>
        </w:rPr>
        <w:t xml:space="preserve"> a </w:t>
      </w:r>
      <w:r w:rsidRPr="002D52A1">
        <w:rPr>
          <w:color w:val="000000"/>
          <w:shd w:val="clear" w:color="auto" w:fill="FFFFFF"/>
        </w:rPr>
        <w:t>Európskym spoločenstvom pre atómovú energiu</w:t>
      </w:r>
      <w:r>
        <w:rPr>
          <w:color w:val="000000"/>
          <w:shd w:val="clear" w:color="auto" w:fill="FFFFFF"/>
        </w:rPr>
        <w:t xml:space="preserve"> a </w:t>
      </w:r>
      <w:r w:rsidRPr="002D52A1">
        <w:rPr>
          <w:color w:val="000000"/>
          <w:shd w:val="clear" w:color="auto" w:fill="FFFFFF"/>
        </w:rPr>
        <w:t>ich členskými štátmi na jednej strane</w:t>
      </w:r>
      <w:r>
        <w:rPr>
          <w:color w:val="000000"/>
          <w:shd w:val="clear" w:color="auto" w:fill="FFFFFF"/>
        </w:rPr>
        <w:t xml:space="preserve"> a </w:t>
      </w:r>
      <w:r w:rsidRPr="002D52A1">
        <w:rPr>
          <w:color w:val="000000"/>
          <w:shd w:val="clear" w:color="auto" w:fill="FFFFFF"/>
        </w:rPr>
        <w:t>Ukrajinou na strane druhej (</w:t>
      </w:r>
      <w:hyperlink r:id="rId3" w:history="1">
        <w:r w:rsidRPr="002D52A1">
          <w:rPr>
            <w:rStyle w:val="Hyperlink"/>
            <w:color w:val="337AB7"/>
            <w:shd w:val="clear" w:color="auto" w:fill="FFFFFF"/>
          </w:rPr>
          <w:t>Ú. v. EÚ L 161, 29.5.2014, s. 3</w:t>
        </w:r>
      </w:hyperlink>
      <w:r w:rsidRPr="002D52A1">
        <w:rPr>
          <w:color w:val="000000"/>
          <w:shd w:val="clear" w:color="auto" w:fill="FFFFFF"/>
        </w:rPr>
        <w:t>).</w:t>
      </w:r>
    </w:p>
  </w:footnote>
  <w:footnote w:id="18">
    <w:p w14:paraId="76E1A7B6" w14:textId="1E3CA068" w:rsidR="002D52A1" w:rsidRPr="002D52A1" w:rsidRDefault="002D52A1" w:rsidP="002D52A1">
      <w:pPr>
        <w:pStyle w:val="FootnoteText"/>
      </w:pPr>
      <w:r w:rsidRPr="002D52A1">
        <w:rPr>
          <w:rStyle w:val="FootnoteReference"/>
        </w:rPr>
        <w:footnoteRef/>
      </w:r>
      <w:r w:rsidRPr="002D52A1">
        <w:tab/>
      </w:r>
      <w:r w:rsidRPr="002D52A1">
        <w:rPr>
          <w:color w:val="000000"/>
          <w:shd w:val="clear" w:color="auto" w:fill="FFFFFF"/>
        </w:rPr>
        <w:t>Rozhodnutie Európskeho parlamentu</w:t>
      </w:r>
      <w:r>
        <w:rPr>
          <w:color w:val="000000"/>
          <w:shd w:val="clear" w:color="auto" w:fill="FFFFFF"/>
        </w:rPr>
        <w:t xml:space="preserve"> a </w:t>
      </w:r>
      <w:r w:rsidRPr="002D52A1">
        <w:rPr>
          <w:color w:val="000000"/>
          <w:shd w:val="clear" w:color="auto" w:fill="FFFFFF"/>
        </w:rPr>
        <w:t>Rady (EÚ) 2022/313</w:t>
      </w:r>
      <w:r>
        <w:rPr>
          <w:color w:val="000000"/>
          <w:shd w:val="clear" w:color="auto" w:fill="FFFFFF"/>
        </w:rPr>
        <w:t xml:space="preserve"> z </w:t>
      </w:r>
      <w:r w:rsidRPr="002D52A1">
        <w:rPr>
          <w:color w:val="000000"/>
          <w:shd w:val="clear" w:color="auto" w:fill="FFFFFF"/>
        </w:rPr>
        <w:t>24</w:t>
      </w:r>
      <w:r>
        <w:rPr>
          <w:color w:val="000000"/>
          <w:shd w:val="clear" w:color="auto" w:fill="FFFFFF"/>
        </w:rPr>
        <w:t>. februára</w:t>
      </w:r>
      <w:r w:rsidRPr="002D52A1">
        <w:rPr>
          <w:color w:val="000000"/>
          <w:shd w:val="clear" w:color="auto" w:fill="FFFFFF"/>
        </w:rPr>
        <w:t xml:space="preserve"> 2022</w:t>
      </w:r>
      <w:r>
        <w:rPr>
          <w:color w:val="000000"/>
          <w:shd w:val="clear" w:color="auto" w:fill="FFFFFF"/>
        </w:rPr>
        <w:t xml:space="preserve"> o </w:t>
      </w:r>
      <w:r w:rsidRPr="002D52A1">
        <w:rPr>
          <w:color w:val="000000"/>
          <w:shd w:val="clear" w:color="auto" w:fill="FFFFFF"/>
        </w:rPr>
        <w:t>poskytnutí makrofinančnej pomoci Ukrajine (</w:t>
      </w:r>
      <w:hyperlink r:id="rId4" w:history="1">
        <w:r w:rsidRPr="002D52A1">
          <w:rPr>
            <w:rStyle w:val="Hyperlink"/>
            <w:shd w:val="clear" w:color="auto" w:fill="FFFFFF"/>
          </w:rPr>
          <w:t>Ú. v. EÚ L 55, 28.2.2022, s. 4</w:t>
        </w:r>
      </w:hyperlink>
      <w:r w:rsidRPr="002D52A1">
        <w:rPr>
          <w:color w:val="000000"/>
          <w:shd w:val="clear" w:color="auto" w:fill="FFFFFF"/>
        </w:rPr>
        <w:t>).</w:t>
      </w:r>
    </w:p>
  </w:footnote>
  <w:footnote w:id="19">
    <w:p w14:paraId="49EBF178" w14:textId="0242FB86" w:rsidR="002D52A1" w:rsidRPr="002D52A1" w:rsidRDefault="002D52A1" w:rsidP="002D52A1">
      <w:pPr>
        <w:pStyle w:val="FootnoteText"/>
      </w:pPr>
      <w:r w:rsidRPr="002D52A1">
        <w:rPr>
          <w:rStyle w:val="FootnoteReference"/>
        </w:rPr>
        <w:footnoteRef/>
      </w:r>
      <w:r w:rsidRPr="002D52A1">
        <w:tab/>
        <w:t>Rozhodnutie Európskeho parlamentu</w:t>
      </w:r>
      <w:r>
        <w:t xml:space="preserve"> a </w:t>
      </w:r>
      <w:r w:rsidRPr="002D52A1">
        <w:t>Rady (EÚ) 2022/1201</w:t>
      </w:r>
      <w:r>
        <w:t xml:space="preserve"> z </w:t>
      </w:r>
      <w:r w:rsidRPr="002D52A1">
        <w:t>12</w:t>
      </w:r>
      <w:r>
        <w:t>. júla</w:t>
      </w:r>
      <w:r w:rsidRPr="002D52A1">
        <w:t xml:space="preserve"> 2022</w:t>
      </w:r>
      <w:r>
        <w:t xml:space="preserve"> o </w:t>
      </w:r>
      <w:r w:rsidRPr="002D52A1">
        <w:t>poskytnutí výnimočnej makrofinančnej pomoci Ukrajine (Ú. v. EÚ L 186, 13.7.2022, s. 1).</w:t>
      </w:r>
    </w:p>
  </w:footnote>
  <w:footnote w:id="20">
    <w:p w14:paraId="7B9B6846" w14:textId="4958D2D9" w:rsidR="002D52A1" w:rsidRPr="002D52A1" w:rsidRDefault="002D52A1" w:rsidP="002D52A1">
      <w:pPr>
        <w:pStyle w:val="FootnoteText"/>
      </w:pPr>
      <w:r w:rsidRPr="002D52A1">
        <w:rPr>
          <w:rStyle w:val="FootnoteReference"/>
        </w:rPr>
        <w:footnoteRef/>
      </w:r>
      <w:r w:rsidRPr="002D52A1">
        <w:tab/>
        <w:t>Nariadenie Európskeho parlamentu</w:t>
      </w:r>
      <w:r>
        <w:t xml:space="preserve"> a </w:t>
      </w:r>
      <w:r w:rsidRPr="002D52A1">
        <w:t xml:space="preserve">Rady (EÚ) </w:t>
      </w:r>
      <w:r>
        <w:t>č. </w:t>
      </w:r>
      <w:r w:rsidRPr="002D52A1">
        <w:t>182/2011 zo 16</w:t>
      </w:r>
      <w:r>
        <w:t>. februára</w:t>
      </w:r>
      <w:r w:rsidRPr="002D52A1">
        <w:t xml:space="preserve"> 2011, ktorým sa ustanovujú pravidlá</w:t>
      </w:r>
      <w:r>
        <w:t xml:space="preserve"> a </w:t>
      </w:r>
      <w:r w:rsidRPr="002D52A1">
        <w:t>všeobecné zásady mechanizmu, na základe ktorého členské štáty kontrolujú vykonávanie vykonávacích právomocí Komisie (Ú. v. EÚ L 55, 28.2.2011, s. 13).</w:t>
      </w:r>
    </w:p>
  </w:footnote>
  <w:footnote w:id="21">
    <w:p w14:paraId="13FC43E9" w14:textId="49464FB2" w:rsidR="002D52A1" w:rsidRPr="002D52A1" w:rsidRDefault="002D52A1" w:rsidP="002D52A1">
      <w:pPr>
        <w:pStyle w:val="FootnoteText"/>
      </w:pPr>
      <w:r w:rsidRPr="002D52A1">
        <w:rPr>
          <w:rStyle w:val="FootnoteReference"/>
        </w:rPr>
        <w:footnoteRef/>
      </w:r>
      <w:r w:rsidRPr="002D52A1">
        <w:tab/>
        <w:t>Nariadenie Európskeho parlamentu</w:t>
      </w:r>
      <w:r>
        <w:t xml:space="preserve"> a </w:t>
      </w:r>
      <w:r w:rsidRPr="002D52A1">
        <w:t>Rady (EÚ) 2021/947</w:t>
      </w:r>
      <w:r>
        <w:t xml:space="preserve"> z </w:t>
      </w:r>
      <w:r w:rsidRPr="002D52A1">
        <w:t>9</w:t>
      </w:r>
      <w:r>
        <w:t>. júna</w:t>
      </w:r>
      <w:r w:rsidRPr="002D52A1">
        <w:t xml:space="preserve"> 2021, ktorým sa zriaďuje Nástroj susedstva</w:t>
      </w:r>
      <w:r>
        <w:t xml:space="preserve"> a </w:t>
      </w:r>
      <w:r w:rsidRPr="002D52A1">
        <w:t>rozvojovej</w:t>
      </w:r>
      <w:r>
        <w:t xml:space="preserve"> a </w:t>
      </w:r>
      <w:r w:rsidRPr="002D52A1">
        <w:t>medzinárodnej spolupráce – Globálna Európa, mení</w:t>
      </w:r>
      <w:r>
        <w:t xml:space="preserve"> a </w:t>
      </w:r>
      <w:r w:rsidRPr="002D52A1">
        <w:t>zrušuje rozhodnutie Európskeho parlamentu</w:t>
      </w:r>
      <w:r>
        <w:t xml:space="preserve"> a </w:t>
      </w:r>
      <w:r w:rsidRPr="002D52A1">
        <w:t xml:space="preserve">Rady </w:t>
      </w:r>
      <w:r>
        <w:t>č. </w:t>
      </w:r>
      <w:r w:rsidRPr="002D52A1">
        <w:t>466/2014/EÚ</w:t>
      </w:r>
      <w:r>
        <w:t xml:space="preserve"> a </w:t>
      </w:r>
      <w:r w:rsidRPr="002D52A1">
        <w:t>zrušuje nariadenie Európskeho parlamentu</w:t>
      </w:r>
      <w:r>
        <w:t xml:space="preserve"> a </w:t>
      </w:r>
      <w:r w:rsidRPr="002D52A1">
        <w:t>Rady (EÚ) 2017/1601</w:t>
      </w:r>
      <w:r>
        <w:t xml:space="preserve"> a </w:t>
      </w:r>
      <w:r w:rsidRPr="002D52A1">
        <w:t xml:space="preserve">nariadenie Rady (ES, Euratom) </w:t>
      </w:r>
      <w:r>
        <w:t>č. </w:t>
      </w:r>
      <w:r w:rsidRPr="002D52A1">
        <w:t>480/2009 (Text</w:t>
      </w:r>
      <w:r>
        <w:t xml:space="preserve"> s </w:t>
      </w:r>
      <w:r w:rsidRPr="002D52A1">
        <w:t>významom pre EHP) (Ú. v. EÚ L 209, 14.6.2021, s. 1).</w:t>
      </w:r>
    </w:p>
  </w:footnote>
  <w:footnote w:id="22">
    <w:p w14:paraId="4FC60C7F" w14:textId="2E7D7571" w:rsidR="002D52A1" w:rsidRPr="002D52A1" w:rsidRDefault="002D52A1" w:rsidP="002D52A1">
      <w:pPr>
        <w:pStyle w:val="FootnoteText"/>
        <w:rPr>
          <w:b/>
          <w:bCs/>
        </w:rPr>
      </w:pPr>
      <w:r w:rsidRPr="002D52A1">
        <w:rPr>
          <w:rStyle w:val="FootnoteReference"/>
        </w:rPr>
        <w:footnoteRef/>
      </w:r>
      <w:r w:rsidRPr="002D52A1">
        <w:tab/>
        <w:t>Nariadenie Rady (EÚ, Euratom) 2020/2093 zo 17</w:t>
      </w:r>
      <w:r>
        <w:t>. decembra</w:t>
      </w:r>
      <w:r w:rsidRPr="002D52A1">
        <w:t xml:space="preserve"> 2020, ktorým sa stanovuje viacročný finančný rámec na roky 2021 až 2027 (</w:t>
      </w:r>
      <w:r w:rsidRPr="002D52A1">
        <w:rPr>
          <w:rStyle w:val="Emphasis"/>
          <w:i w:val="0"/>
          <w:color w:val="333333"/>
          <w:shd w:val="clear" w:color="auto" w:fill="FFFFFF"/>
        </w:rPr>
        <w:t>Ú. v. EÚ L 433I, 22.12.2020, s. 11).</w:t>
      </w:r>
    </w:p>
  </w:footnote>
  <w:footnote w:id="23">
    <w:p w14:paraId="7BDA4F95" w14:textId="70056DB2" w:rsidR="002D52A1" w:rsidRPr="002D52A1" w:rsidRDefault="002D52A1" w:rsidP="002D52A1">
      <w:pPr>
        <w:pStyle w:val="FootnoteText"/>
      </w:pPr>
      <w:r w:rsidRPr="002D52A1">
        <w:rPr>
          <w:rStyle w:val="FootnoteReference"/>
        </w:rPr>
        <w:footnoteRef/>
      </w:r>
      <w:r w:rsidRPr="002D52A1">
        <w:tab/>
        <w:t>Rozhodnutie Rady 2014/335/EÚ, Euratom</w:t>
      </w:r>
      <w:r>
        <w:t xml:space="preserve"> z </w:t>
      </w:r>
      <w:r w:rsidRPr="002D52A1">
        <w:t>26</w:t>
      </w:r>
      <w:r>
        <w:t>. mája</w:t>
      </w:r>
      <w:r w:rsidRPr="002D52A1">
        <w:t xml:space="preserve"> 2014</w:t>
      </w:r>
      <w:r>
        <w:t xml:space="preserve"> o </w:t>
      </w:r>
      <w:r w:rsidRPr="002D52A1">
        <w:t>systéme vlastných zdrojov Európskej únie (Ú. v. EÚ L 168, 7.6.2014, s. 105).</w:t>
      </w:r>
    </w:p>
  </w:footnote>
  <w:footnote w:id="24">
    <w:p w14:paraId="012BF31B" w14:textId="394B4B80" w:rsidR="002D52A1" w:rsidRPr="002D52A1" w:rsidRDefault="002D52A1" w:rsidP="002D52A1">
      <w:pPr>
        <w:pStyle w:val="FootnoteText"/>
      </w:pPr>
      <w:r w:rsidRPr="002D52A1">
        <w:rPr>
          <w:rStyle w:val="FootnoteReference"/>
        </w:rPr>
        <w:footnoteRef/>
      </w:r>
      <w:r w:rsidRPr="002D52A1">
        <w:tab/>
        <w:t>Rozhodnutie Európskeho parlamentu</w:t>
      </w:r>
      <w:r>
        <w:t xml:space="preserve"> a </w:t>
      </w:r>
      <w:r w:rsidRPr="002D52A1">
        <w:t xml:space="preserve">Rady </w:t>
      </w:r>
      <w:r>
        <w:t>č. </w:t>
      </w:r>
      <w:r w:rsidRPr="002D52A1">
        <w:t>466/2014/EÚ zo 16</w:t>
      </w:r>
      <w:r>
        <w:t>. apríla</w:t>
      </w:r>
      <w:r w:rsidRPr="002D52A1">
        <w:t xml:space="preserve"> 2014, ktorým sa Európskej investičnej banke poskytuje záruka EÚ za straty</w:t>
      </w:r>
      <w:r>
        <w:t xml:space="preserve"> z </w:t>
      </w:r>
      <w:r w:rsidRPr="002D52A1">
        <w:t>finančných operácií na podporu investičných projektov mimo Únie (Ú. v. EÚ L 135, 8.5.2014, s. 1).</w:t>
      </w:r>
    </w:p>
  </w:footnote>
  <w:footnote w:id="25">
    <w:p w14:paraId="5F8842A2" w14:textId="18FE55D5" w:rsidR="002D52A1" w:rsidRPr="002D52A1" w:rsidRDefault="002D52A1" w:rsidP="002D52A1">
      <w:pPr>
        <w:pStyle w:val="FootnoteText"/>
        <w:rPr>
          <w:rFonts w:eastAsia="Calibri"/>
        </w:rPr>
      </w:pPr>
      <w:r w:rsidRPr="002D52A1">
        <w:rPr>
          <w:rStyle w:val="FootnoteReference"/>
        </w:rPr>
        <w:footnoteRef/>
      </w:r>
      <w:r w:rsidRPr="002D52A1">
        <w:tab/>
        <w:t>Nariadenie Európskeho parlamentu</w:t>
      </w:r>
      <w:r>
        <w:t xml:space="preserve"> a </w:t>
      </w:r>
      <w:r w:rsidRPr="002D52A1">
        <w:t>Rady (EÚ) 2021/947</w:t>
      </w:r>
      <w:r>
        <w:t xml:space="preserve"> z </w:t>
      </w:r>
      <w:r w:rsidRPr="002D52A1">
        <w:t>9</w:t>
      </w:r>
      <w:r>
        <w:t>. júna</w:t>
      </w:r>
      <w:r w:rsidRPr="002D52A1">
        <w:t xml:space="preserve"> 2021, ktorým sa zriaďuje Nástroj susedstva</w:t>
      </w:r>
      <w:r>
        <w:t xml:space="preserve"> a </w:t>
      </w:r>
      <w:r w:rsidRPr="002D52A1">
        <w:t>rozvojovej</w:t>
      </w:r>
      <w:r>
        <w:t xml:space="preserve"> a </w:t>
      </w:r>
      <w:r w:rsidRPr="002D52A1">
        <w:t>medzinárodnej spolupráce – Globálna Európa, mení</w:t>
      </w:r>
      <w:r>
        <w:t xml:space="preserve"> a </w:t>
      </w:r>
      <w:r w:rsidRPr="002D52A1">
        <w:t xml:space="preserve">zrušuje rozhodnutie </w:t>
      </w:r>
      <w:r>
        <w:t>č. </w:t>
      </w:r>
      <w:r w:rsidRPr="002D52A1">
        <w:t>466/2014/EÚ</w:t>
      </w:r>
      <w:r>
        <w:t xml:space="preserve"> a </w:t>
      </w:r>
      <w:r w:rsidRPr="002D52A1">
        <w:t>zrušuje nariadenie Európskeho parlamentu</w:t>
      </w:r>
      <w:r>
        <w:t xml:space="preserve"> a </w:t>
      </w:r>
      <w:r w:rsidRPr="002D52A1">
        <w:t>Rady (EÚ) 2017/1601</w:t>
      </w:r>
      <w:r>
        <w:t xml:space="preserve"> a </w:t>
      </w:r>
      <w:r w:rsidRPr="002D52A1">
        <w:t xml:space="preserve">nariadenie Rady (ES, Euratom) </w:t>
      </w:r>
      <w:r>
        <w:t>č. </w:t>
      </w:r>
      <w:r w:rsidRPr="002D52A1">
        <w:t>480/2009 (Ú. v. EÚ L 209, 14.6.2021, s. 1).</w:t>
      </w:r>
    </w:p>
  </w:footnote>
  <w:footnote w:id="26">
    <w:p w14:paraId="0E19FC8C" w14:textId="52341F68" w:rsidR="002D52A1" w:rsidRPr="002D52A1" w:rsidRDefault="002D52A1" w:rsidP="002D52A1">
      <w:pPr>
        <w:pStyle w:val="FootnoteText"/>
      </w:pPr>
      <w:r w:rsidRPr="002D52A1">
        <w:rPr>
          <w:rStyle w:val="FootnoteReference"/>
        </w:rPr>
        <w:footnoteRef/>
      </w:r>
      <w:r w:rsidRPr="002D52A1">
        <w:tab/>
        <w:t>Rozhodnutie Rady 2010/427/EÚ</w:t>
      </w:r>
      <w:r>
        <w:t xml:space="preserve"> z </w:t>
      </w:r>
      <w:r w:rsidRPr="002D52A1">
        <w:t>26</w:t>
      </w:r>
      <w:r>
        <w:t>. júla</w:t>
      </w:r>
      <w:r w:rsidRPr="002D52A1">
        <w:t xml:space="preserve"> 2010</w:t>
      </w:r>
      <w:r>
        <w:t xml:space="preserve"> o </w:t>
      </w:r>
      <w:r w:rsidRPr="002D52A1">
        <w:t>organizácii</w:t>
      </w:r>
      <w:r>
        <w:t xml:space="preserve"> a </w:t>
      </w:r>
      <w:r w:rsidRPr="002D52A1">
        <w:t>fungovaní Európskej služby pre vonkajšiu činnosť (Ú. v. EÚ L 201, 3.8.2010, s. 30).</w:t>
      </w:r>
    </w:p>
  </w:footnote>
  <w:footnote w:id="27">
    <w:p w14:paraId="2DBF078F" w14:textId="77777777" w:rsidR="002D52A1" w:rsidRPr="002D52A1" w:rsidRDefault="002D52A1" w:rsidP="002D52A1">
      <w:pPr>
        <w:pStyle w:val="FootnoteText"/>
        <w:rPr>
          <w:szCs w:val="24"/>
        </w:rPr>
      </w:pPr>
      <w:r w:rsidRPr="002D52A1">
        <w:rPr>
          <w:rStyle w:val="FootnoteReference"/>
        </w:rPr>
        <w:footnoteRef/>
      </w:r>
      <w:r w:rsidRPr="002D52A1">
        <w:tab/>
        <w:t>ABM: riadenie podľa činností; ABB: zostavovanie rozpočtu podľa činností.</w:t>
      </w:r>
    </w:p>
  </w:footnote>
  <w:footnote w:id="28">
    <w:p w14:paraId="1491D44A" w14:textId="18CD8A94" w:rsidR="002D52A1" w:rsidRPr="002D52A1" w:rsidRDefault="002D52A1" w:rsidP="002D52A1">
      <w:pPr>
        <w:pStyle w:val="FootnoteText"/>
        <w:rPr>
          <w:szCs w:val="24"/>
        </w:rPr>
      </w:pPr>
      <w:r w:rsidRPr="002D52A1">
        <w:rPr>
          <w:rStyle w:val="FootnoteReference"/>
        </w:rPr>
        <w:footnoteRef/>
      </w:r>
      <w:r w:rsidRPr="002D52A1">
        <w:tab/>
        <w:t>Podľa článku 58 ods. 2 písm. a) alebo b) nariadenia</w:t>
      </w:r>
      <w:r>
        <w:t xml:space="preserve"> o </w:t>
      </w:r>
      <w:r w:rsidRPr="002D52A1">
        <w:t>rozpočtových pravidlách.</w:t>
      </w:r>
    </w:p>
  </w:footnote>
  <w:footnote w:id="29">
    <w:p w14:paraId="3989DE78" w14:textId="230C5C4B" w:rsidR="002D52A1" w:rsidRPr="002D52A1" w:rsidRDefault="002D52A1" w:rsidP="002D52A1">
      <w:pPr>
        <w:pStyle w:val="FootnoteText"/>
      </w:pPr>
      <w:r w:rsidRPr="002D52A1">
        <w:rPr>
          <w:rStyle w:val="FootnoteReference"/>
        </w:rPr>
        <w:footnoteRef/>
      </w:r>
      <w:r w:rsidRPr="002D52A1">
        <w:tab/>
        <w:t>Ako sa uvádza</w:t>
      </w:r>
      <w:r>
        <w:t xml:space="preserve"> v </w:t>
      </w:r>
      <w:r w:rsidRPr="002D52A1">
        <w:t>oznámení Komisie</w:t>
      </w:r>
      <w:r>
        <w:t xml:space="preserve"> z </w:t>
      </w:r>
      <w:r w:rsidRPr="002D52A1">
        <w:t>18</w:t>
      </w:r>
      <w:r>
        <w:t>. mája</w:t>
      </w:r>
      <w:r w:rsidRPr="002D52A1">
        <w:t xml:space="preserve"> </w:t>
      </w:r>
      <w:hyperlink r:id="rId5" w:history="1">
        <w:r w:rsidRPr="002D52A1">
          <w:rPr>
            <w:rStyle w:val="Hyperlink"/>
          </w:rPr>
          <w:t>https://ec.europa.eu/info/sites/default/files/ukraine-relief-reconstruction_en.pdf</w:t>
        </w:r>
      </w:hyperlink>
      <w:r w:rsidRPr="002D52A1">
        <w:t xml:space="preserve">. </w:t>
      </w:r>
    </w:p>
  </w:footnote>
  <w:footnote w:id="30">
    <w:p w14:paraId="20286D9A" w14:textId="77777777" w:rsidR="002D52A1" w:rsidRPr="002D52A1" w:rsidRDefault="002D52A1" w:rsidP="002D52A1">
      <w:pPr>
        <w:pStyle w:val="FootnoteText"/>
        <w:rPr>
          <w:szCs w:val="24"/>
        </w:rPr>
      </w:pPr>
      <w:r w:rsidRPr="002D52A1">
        <w:rPr>
          <w:rStyle w:val="FootnoteReference"/>
        </w:rPr>
        <w:footnoteRef/>
      </w:r>
      <w:r w:rsidRPr="002D52A1">
        <w:tab/>
        <w:t>DRP = diferencované rozpočtové prostriedky/NRP = nediferencované rozpočtové prostriedky.</w:t>
      </w:r>
    </w:p>
  </w:footnote>
  <w:footnote w:id="31">
    <w:p w14:paraId="4A017EFE" w14:textId="77777777" w:rsidR="002D52A1" w:rsidRPr="002D52A1" w:rsidRDefault="002D52A1" w:rsidP="002D52A1">
      <w:pPr>
        <w:pStyle w:val="FootnoteText"/>
        <w:rPr>
          <w:szCs w:val="24"/>
        </w:rPr>
      </w:pPr>
      <w:r w:rsidRPr="002D52A1">
        <w:rPr>
          <w:rStyle w:val="FootnoteReference"/>
        </w:rPr>
        <w:footnoteRef/>
      </w:r>
      <w:r w:rsidRPr="002D52A1">
        <w:tab/>
        <w:t xml:space="preserve">EZVO: Európske združenie voľného obchodu. </w:t>
      </w:r>
    </w:p>
  </w:footnote>
  <w:footnote w:id="32">
    <w:p w14:paraId="3671AC24" w14:textId="0729F60F" w:rsidR="002D52A1" w:rsidRPr="002D52A1" w:rsidRDefault="002D52A1" w:rsidP="002D52A1">
      <w:pPr>
        <w:pStyle w:val="FootnoteText"/>
        <w:rPr>
          <w:szCs w:val="24"/>
        </w:rPr>
      </w:pPr>
      <w:r w:rsidRPr="002D52A1">
        <w:rPr>
          <w:rStyle w:val="FootnoteReference"/>
        </w:rPr>
        <w:footnoteRef/>
      </w:r>
      <w:r w:rsidRPr="002D52A1">
        <w:tab/>
        <w:t>Kandidátske krajiny</w:t>
      </w:r>
      <w:r>
        <w:t xml:space="preserve"> a </w:t>
      </w:r>
      <w:r w:rsidRPr="002D52A1">
        <w:t>prípadne potenciálne kandidátske krajiny západného Balkánu.</w:t>
      </w:r>
    </w:p>
  </w:footnote>
  <w:footnote w:id="33">
    <w:p w14:paraId="41E5C110" w14:textId="77777777" w:rsidR="002D52A1" w:rsidRPr="002D52A1" w:rsidRDefault="002D52A1" w:rsidP="002D52A1">
      <w:pPr>
        <w:pStyle w:val="FootnoteText"/>
      </w:pPr>
      <w:r w:rsidRPr="002D52A1">
        <w:rPr>
          <w:rStyle w:val="FootnoteReference"/>
        </w:rPr>
        <w:footnoteRef/>
      </w:r>
      <w:r w:rsidRPr="002D52A1">
        <w:tab/>
        <w:t>Rozhodnutie (EÚ) 2022/1201.</w:t>
      </w:r>
    </w:p>
  </w:footnote>
  <w:footnote w:id="34">
    <w:p w14:paraId="262C5071" w14:textId="77777777" w:rsidR="002D52A1" w:rsidRPr="002D52A1" w:rsidRDefault="002D52A1" w:rsidP="002D52A1">
      <w:pPr>
        <w:pStyle w:val="FootnoteText"/>
        <w:rPr>
          <w:szCs w:val="18"/>
        </w:rPr>
      </w:pPr>
      <w:r w:rsidRPr="002D52A1">
        <w:rPr>
          <w:rStyle w:val="FootnoteReference"/>
        </w:rPr>
        <w:footnoteRef/>
      </w:r>
      <w:r w:rsidRPr="002D52A1">
        <w:tab/>
        <w:t>Podľa oficiálnej rozpočtovej nomenklatúry.</w:t>
      </w:r>
    </w:p>
  </w:footnote>
  <w:footnote w:id="35">
    <w:p w14:paraId="0D16B96C" w14:textId="4F1143A0" w:rsidR="002D52A1" w:rsidRPr="002D52A1" w:rsidRDefault="002D52A1" w:rsidP="002D52A1">
      <w:pPr>
        <w:pStyle w:val="FootnoteText"/>
        <w:rPr>
          <w:szCs w:val="18"/>
        </w:rPr>
      </w:pPr>
      <w:r w:rsidRPr="002D52A1">
        <w:rPr>
          <w:rStyle w:val="FootnoteReference"/>
        </w:rPr>
        <w:footnoteRef/>
      </w:r>
      <w:r w:rsidRPr="002D52A1">
        <w:tab/>
        <w:t>Posilní sa</w:t>
      </w:r>
      <w:r>
        <w:t xml:space="preserve"> z </w:t>
      </w:r>
      <w:r w:rsidRPr="002D52A1">
        <w:t>rozpočtového riadka 14 02 04 NDICI – Rezerva na vznikajúce výzvy</w:t>
      </w:r>
      <w:r>
        <w:t xml:space="preserve"> a </w:t>
      </w:r>
      <w:r w:rsidRPr="002D52A1">
        <w:t>priority.</w:t>
      </w:r>
    </w:p>
  </w:footnote>
  <w:footnote w:id="36">
    <w:p w14:paraId="3BD42AD1" w14:textId="428C6D80" w:rsidR="002D52A1" w:rsidRPr="002D52A1" w:rsidRDefault="002D52A1" w:rsidP="002D52A1">
      <w:pPr>
        <w:pStyle w:val="FootnoteText"/>
        <w:rPr>
          <w:szCs w:val="18"/>
        </w:rPr>
      </w:pPr>
      <w:r w:rsidRPr="002D52A1">
        <w:rPr>
          <w:rStyle w:val="FootnoteReference"/>
        </w:rPr>
        <w:footnoteRef/>
      </w:r>
      <w:r w:rsidRPr="002D52A1">
        <w:tab/>
        <w:t>Posilní sa</w:t>
      </w:r>
      <w:r>
        <w:t xml:space="preserve"> z </w:t>
      </w:r>
      <w:r w:rsidRPr="002D52A1">
        <w:t>rozpočtového riadka 14 02 04 NDICI – Rezerva na vznikajúce výzvy</w:t>
      </w:r>
      <w:r>
        <w:t xml:space="preserve"> a </w:t>
      </w:r>
      <w:r w:rsidRPr="002D52A1">
        <w:t>priority.</w:t>
      </w:r>
    </w:p>
  </w:footnote>
  <w:footnote w:id="37">
    <w:p w14:paraId="557B71CF" w14:textId="77B58C1E" w:rsidR="002D52A1" w:rsidRPr="002D52A1" w:rsidRDefault="002D52A1" w:rsidP="002D52A1">
      <w:pPr>
        <w:pStyle w:val="FootnoteText"/>
        <w:rPr>
          <w:szCs w:val="18"/>
        </w:rPr>
      </w:pPr>
      <w:r w:rsidRPr="002D52A1">
        <w:rPr>
          <w:rStyle w:val="FootnoteReference"/>
        </w:rPr>
        <w:footnoteRef/>
      </w:r>
      <w:r w:rsidRPr="002D52A1">
        <w:tab/>
        <w:t>Posilní sa</w:t>
      </w:r>
      <w:r>
        <w:t xml:space="preserve"> z </w:t>
      </w:r>
      <w:r w:rsidRPr="002D52A1">
        <w:t>rozpočtového riadka 14 02 04 NDICI – Rezerva na vznikajúce výzvy</w:t>
      </w:r>
      <w:r>
        <w:t xml:space="preserve"> a </w:t>
      </w:r>
      <w:r w:rsidRPr="002D52A1">
        <w:t>priority.</w:t>
      </w:r>
    </w:p>
  </w:footnote>
  <w:footnote w:id="38">
    <w:p w14:paraId="7BCA02E3" w14:textId="332EEA65" w:rsidR="002D52A1" w:rsidRPr="002D52A1" w:rsidRDefault="002D52A1" w:rsidP="002D52A1">
      <w:pPr>
        <w:pStyle w:val="FootnoteText"/>
      </w:pPr>
      <w:r w:rsidRPr="002D52A1">
        <w:rPr>
          <w:rStyle w:val="FootnoteReference"/>
        </w:rPr>
        <w:footnoteRef/>
      </w:r>
      <w:r w:rsidRPr="002D52A1">
        <w:tab/>
        <w:t>Suma tvorby rezerv na úvery</w:t>
      </w:r>
      <w:r>
        <w:t xml:space="preserve"> v </w:t>
      </w:r>
      <w:r w:rsidRPr="002D52A1">
        <w:t>rámci makrofinančnej pomoci (9</w:t>
      </w:r>
      <w:r>
        <w:t> %</w:t>
      </w:r>
      <w:r w:rsidRPr="002D52A1">
        <w:t>), ktorá sa má vyčleniť</w:t>
      </w:r>
      <w:r>
        <w:t xml:space="preserve"> a </w:t>
      </w:r>
      <w:r w:rsidRPr="002D52A1">
        <w:t>zaplatiť do spoločného rezervného fondu</w:t>
      </w:r>
      <w:r>
        <w:t xml:space="preserve"> v </w:t>
      </w:r>
      <w:r w:rsidRPr="002D52A1">
        <w:t>období 2021 – 2027, na základe prijatia ročných rozpočtov.</w:t>
      </w:r>
    </w:p>
  </w:footnote>
  <w:footnote w:id="39">
    <w:p w14:paraId="0FDDC5DD" w14:textId="015D3AD6" w:rsidR="002D52A1" w:rsidRPr="002D52A1" w:rsidRDefault="002D52A1" w:rsidP="002D52A1">
      <w:pPr>
        <w:pStyle w:val="FootnoteText"/>
      </w:pPr>
      <w:r w:rsidRPr="002D52A1">
        <w:rPr>
          <w:rStyle w:val="FootnoteReference"/>
        </w:rPr>
        <w:footnoteRef/>
      </w:r>
      <w:r w:rsidRPr="002D52A1">
        <w:tab/>
        <w:t>Suma tvorby rezerv na úvery</w:t>
      </w:r>
      <w:r>
        <w:t xml:space="preserve"> v </w:t>
      </w:r>
      <w:r w:rsidRPr="002D52A1">
        <w:t>rámci makrofinančnej pomoci (9</w:t>
      </w:r>
      <w:r>
        <w:t> %</w:t>
      </w:r>
      <w:r w:rsidRPr="002D52A1">
        <w:t>), ktorá sa má vyčleniť</w:t>
      </w:r>
      <w:r>
        <w:t xml:space="preserve"> a </w:t>
      </w:r>
      <w:r w:rsidRPr="002D52A1">
        <w:t>zaplatiť do spoločného rezervného fondu</w:t>
      </w:r>
      <w:r>
        <w:t xml:space="preserve"> v </w:t>
      </w:r>
      <w:r w:rsidRPr="002D52A1">
        <w:t>období 2021 – 2027, na základe prijatia ročných rozpočtov.</w:t>
      </w:r>
    </w:p>
  </w:footnote>
  <w:footnote w:id="40">
    <w:p w14:paraId="49FC6B74" w14:textId="65C1110E" w:rsidR="002D52A1" w:rsidRPr="002D52A1" w:rsidRDefault="002D52A1" w:rsidP="002D52A1">
      <w:pPr>
        <w:pStyle w:val="FootnoteText"/>
        <w:rPr>
          <w:szCs w:val="24"/>
        </w:rPr>
      </w:pPr>
      <w:r w:rsidRPr="002D52A1">
        <w:rPr>
          <w:rStyle w:val="FootnoteReference"/>
        </w:rPr>
        <w:footnoteRef/>
      </w:r>
      <w:r w:rsidRPr="002D52A1">
        <w:tab/>
        <w:t>Technická a/alebo administratívna pomoc</w:t>
      </w:r>
      <w:r>
        <w:t xml:space="preserve"> a </w:t>
      </w:r>
      <w:r w:rsidRPr="002D52A1">
        <w:t>výdavky na podporu vykonávania programov a/alebo akcií EÚ (pôvodné rozpočtové riadky „BA“), nepriamy výskum, priamy výskum.</w:t>
      </w:r>
    </w:p>
  </w:footnote>
  <w:footnote w:id="41">
    <w:p w14:paraId="73B31582" w14:textId="45574824" w:rsidR="002D52A1" w:rsidRPr="002D52A1" w:rsidRDefault="002D52A1" w:rsidP="002D52A1">
      <w:pPr>
        <w:pStyle w:val="FootnoteText"/>
        <w:rPr>
          <w:szCs w:val="24"/>
        </w:rPr>
      </w:pPr>
      <w:r w:rsidRPr="002D52A1">
        <w:rPr>
          <w:rStyle w:val="FootnoteReference"/>
        </w:rPr>
        <w:footnoteRef/>
      </w:r>
      <w:r w:rsidRPr="002D52A1">
        <w:tab/>
        <w:t>Výstupy znamenajú dodané produkty</w:t>
      </w:r>
      <w:r>
        <w:t xml:space="preserve"> a </w:t>
      </w:r>
      <w:r w:rsidRPr="002D52A1">
        <w:t>služby (napr.: počet financovaných výmen študentov, vybudované cesty</w:t>
      </w:r>
      <w:r>
        <w:t xml:space="preserve"> v </w:t>
      </w:r>
      <w:r w:rsidRPr="002D52A1">
        <w:t>km atď.).</w:t>
      </w:r>
    </w:p>
  </w:footnote>
  <w:footnote w:id="42">
    <w:p w14:paraId="384D0A4C" w14:textId="375E8697" w:rsidR="002D52A1" w:rsidRPr="002D52A1" w:rsidRDefault="002D52A1" w:rsidP="002D52A1">
      <w:pPr>
        <w:pStyle w:val="FootnoteText"/>
        <w:rPr>
          <w:szCs w:val="24"/>
        </w:rPr>
      </w:pPr>
      <w:r w:rsidRPr="002D52A1">
        <w:rPr>
          <w:rStyle w:val="FootnoteReference"/>
        </w:rPr>
        <w:footnoteRef/>
      </w:r>
      <w:r w:rsidRPr="002D52A1">
        <w:tab/>
        <w:t>Ako je uvedené</w:t>
      </w:r>
      <w:r>
        <w:t xml:space="preserve"> v </w:t>
      </w:r>
      <w:r w:rsidRPr="002D52A1">
        <w:t xml:space="preserve">bode 1.4.2. Špecifické ciele… </w:t>
      </w:r>
    </w:p>
  </w:footnote>
  <w:footnote w:id="43">
    <w:p w14:paraId="7E90D900" w14:textId="42157BA0" w:rsidR="002D52A1" w:rsidRPr="002D52A1" w:rsidRDefault="002D52A1" w:rsidP="002D52A1">
      <w:pPr>
        <w:pStyle w:val="FootnoteText"/>
        <w:rPr>
          <w:szCs w:val="24"/>
        </w:rPr>
      </w:pPr>
      <w:r w:rsidRPr="002D52A1">
        <w:rPr>
          <w:rStyle w:val="FootnoteReference"/>
        </w:rPr>
        <w:footnoteRef/>
      </w:r>
      <w:r w:rsidRPr="002D52A1">
        <w:tab/>
        <w:t>Technická a/alebo administratívna pomoc</w:t>
      </w:r>
      <w:r>
        <w:t xml:space="preserve"> a </w:t>
      </w:r>
      <w:r w:rsidRPr="002D52A1">
        <w:t>výdavky na podporu vykonávania programov a/alebo akcií EÚ (pôvodné rozpočtové riadky „BA“), nepriamy výskum, priamy výskum.</w:t>
      </w:r>
    </w:p>
  </w:footnote>
  <w:footnote w:id="44">
    <w:p w14:paraId="15E1DB93" w14:textId="76F8AA15" w:rsidR="002D52A1" w:rsidRPr="002D52A1" w:rsidRDefault="002D52A1" w:rsidP="002D52A1">
      <w:pPr>
        <w:pStyle w:val="FootnoteText"/>
        <w:rPr>
          <w:szCs w:val="24"/>
        </w:rPr>
      </w:pPr>
      <w:r w:rsidRPr="002D52A1">
        <w:rPr>
          <w:rStyle w:val="FootnoteReference"/>
        </w:rPr>
        <w:footnoteRef/>
      </w:r>
      <w:r w:rsidRPr="002D52A1">
        <w:tab/>
        <w:t>ZZ = zmluvný zamestnanec; MZ = miestny zamestnanec; VNE = vyslaný národný expert; DAZ = dočasný agentúrny zamestnanec; PED = pomocný expert</w:t>
      </w:r>
      <w:r>
        <w:t xml:space="preserve"> v </w:t>
      </w:r>
      <w:r w:rsidRPr="002D52A1">
        <w:t xml:space="preserve">delegácii. </w:t>
      </w:r>
    </w:p>
  </w:footnote>
  <w:footnote w:id="45">
    <w:p w14:paraId="14B15293" w14:textId="3D7F94F4" w:rsidR="002D52A1" w:rsidRPr="002D52A1" w:rsidRDefault="002D52A1" w:rsidP="002D52A1">
      <w:pPr>
        <w:pStyle w:val="FootnoteText"/>
        <w:rPr>
          <w:szCs w:val="24"/>
        </w:rPr>
      </w:pPr>
      <w:r w:rsidRPr="002D52A1">
        <w:rPr>
          <w:rStyle w:val="FootnoteReference"/>
        </w:rPr>
        <w:footnoteRef/>
      </w:r>
      <w:r w:rsidRPr="002D52A1">
        <w:tab/>
        <w:t>Čiastkový strop pre externých zamestnancov financovaných</w:t>
      </w:r>
      <w:r>
        <w:t xml:space="preserve"> z </w:t>
      </w:r>
      <w:r w:rsidRPr="002D52A1">
        <w:t>operačných rozpočtových prostriedkov (pôvodné rozpočtové riadky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1EFA" w14:textId="77777777" w:rsidR="00A6081D" w:rsidRPr="00A6081D" w:rsidRDefault="00A6081D" w:rsidP="00A6081D">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9097" w14:textId="77777777" w:rsidR="00A6081D" w:rsidRPr="00A6081D" w:rsidRDefault="00A6081D" w:rsidP="00A6081D">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DDEA" w14:textId="77777777" w:rsidR="00AD77F1" w:rsidRPr="00AD77F1" w:rsidRDefault="00AD77F1" w:rsidP="00A60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7512" w14:textId="77777777" w:rsidR="00A6081D" w:rsidRPr="00A6081D" w:rsidRDefault="00A6081D" w:rsidP="00A6081D">
    <w:pPr>
      <w:pStyle w:val="Header"/>
    </w:pPr>
  </w:p>
</w:hdr>
</file>

<file path=word/intelligence2.xml><?xml version="1.0" encoding="utf-8"?>
<int2:intelligence xmlns:int2="http://schemas.microsoft.com/office/intelligence/2020/intelligence">
  <int2:observations>
    <int2:bookmark int2:bookmarkName="_Int_K9Gb3ihU" int2:invalidationBookmarkName="" int2:hashCode="rJBW+tPzLalLBP" int2:id="qdaytlJR">
      <int2:state int2:type="WordDesignerDefaultAnnotation" int2:value="Rejected"/>
    </int2:bookmark>
    <int2:bookmark int2:bookmarkName="_Int_n3TIBRq2" int2:invalidationBookmarkName="" int2:hashCode="OcaRiU9nDSqNxe" int2:id="Xij35hwO">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293CE3"/>
    <w:multiLevelType w:val="multilevel"/>
    <w:tmpl w:val="C9429CD6"/>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15:restartNumberingAfterBreak="0">
    <w:nsid w:val="75A05E35"/>
    <w:multiLevelType w:val="hybridMultilevel"/>
    <w:tmpl w:val="E5D47A88"/>
    <w:lvl w:ilvl="0" w:tplc="1A0ED898">
      <w:start w:val="1"/>
      <w:numFmt w:val="lowerLetter"/>
      <w:pStyle w:val="LegalNumPa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lvlOverride w:ilvl="0">
      <w:startOverride w:val="1"/>
    </w:lvlOverride>
  </w:num>
  <w:num w:numId="2">
    <w:abstractNumId w:val="0"/>
  </w:num>
  <w:num w:numId="3">
    <w:abstractNumId w:val="20"/>
  </w:num>
  <w:num w:numId="4">
    <w:abstractNumId w:val="8"/>
  </w:num>
  <w:num w:numId="5">
    <w:abstractNumId w:val="17"/>
  </w:num>
  <w:num w:numId="6">
    <w:abstractNumId w:val="16"/>
  </w:num>
  <w:num w:numId="7">
    <w:abstractNumId w:val="27"/>
  </w:num>
  <w:num w:numId="8">
    <w:abstractNumId w:val="24"/>
  </w:num>
  <w:num w:numId="9">
    <w:abstractNumId w:val="28"/>
  </w:num>
  <w:num w:numId="10">
    <w:abstractNumId w:val="30"/>
  </w:num>
  <w:num w:numId="11">
    <w:abstractNumId w:val="1"/>
  </w:num>
  <w:num w:numId="12">
    <w:abstractNumId w:val="10"/>
  </w:num>
  <w:num w:numId="13">
    <w:abstractNumId w:val="2"/>
  </w:num>
  <w:num w:numId="14">
    <w:abstractNumId w:val="11"/>
  </w:num>
  <w:num w:numId="15">
    <w:abstractNumId w:val="9"/>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12"/>
  </w:num>
  <w:num w:numId="38">
    <w:abstractNumId w:val="26"/>
  </w:num>
  <w:num w:numId="39">
    <w:abstractNumId w:val="6"/>
  </w:num>
  <w:num w:numId="40">
    <w:abstractNumId w:val="13"/>
  </w:num>
  <w:num w:numId="41">
    <w:abstractNumId w:val="14"/>
  </w:num>
  <w:num w:numId="42">
    <w:abstractNumId w:val="4"/>
  </w:num>
  <w:num w:numId="43">
    <w:abstractNumId w:val="25"/>
  </w:num>
  <w:num w:numId="44">
    <w:abstractNumId w:val="3"/>
  </w:num>
  <w:num w:numId="45">
    <w:abstractNumId w:val="15"/>
  </w:num>
  <w:num w:numId="46">
    <w:abstractNumId w:val="21"/>
  </w:num>
  <w:num w:numId="47">
    <w:abstractNumId w:val="22"/>
  </w:num>
  <w:num w:numId="48">
    <w:abstractNumId w:val="5"/>
  </w:num>
  <w:num w:numId="49">
    <w:abstractNumId w:val="1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09-08 16:03:54"/>
    <w:docVar w:name="DQCNUMB_10" w:val="253"/>
    <w:docVar w:name="DQCNUMB_11" w:val="254"/>
    <w:docVar w:name="DQCNUMB_12" w:val="255"/>
    <w:docVar w:name="DQCNUMB_13" w:val="256"/>
    <w:docVar w:name="DQCNUMB_14" w:val="257"/>
    <w:docVar w:name="DQCNUMB_15" w:val="258"/>
    <w:docVar w:name="DQCNUMB_4" w:val="233"/>
    <w:docVar w:name="DQCNUMB_5" w:val="239"/>
    <w:docVar w:name="DQCNUMB_6" w:val="240"/>
    <w:docVar w:name="DQCNUMB_7" w:val="241"/>
    <w:docVar w:name="DQCNUMB_8" w:val="244"/>
    <w:docVar w:name="DQCNUMB_9" w:val="24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C92B453E-DCA6-4CAE-870E-4A40BFB1CC22"/>
    <w:docVar w:name="LW_COVERPAGE_TYPE" w:val="1"/>
    <w:docVar w:name="LW_CROSSREFERENCE" w:val="&lt;UNUSED&gt;"/>
    <w:docVar w:name="LW_DocType" w:val="COM"/>
    <w:docVar w:name="LW_EMISSION" w:val="7. 9. 2022"/>
    <w:docVar w:name="LW_EMISSION_ISODATE" w:val="2022-09-07"/>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81"/>
    <w:docVar w:name="LW_REF.II.NEW.CP_YEAR" w:val="2022"/>
    <w:docVar w:name="LW_REF.INST.NEW" w:val="COM"/>
    <w:docVar w:name="LW_REF.INST.NEW_ADOPTED" w:val="final"/>
    <w:docVar w:name="LW_REF.INST.NEW_TEXT" w:val="(2022) 5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poskytuje výnimočná makrofinančná pomoc Ukrajine, posilňuje spoločný rezervný fond zárukami členských štátov a osobitnou tvorbou rezerv na niektoré finančné záväzky týkajúce sa Ukrajiny zaručené podľa rozhodnutia č. 466/2014/EÚ a ktorým sa mení rozhodnutie (EÚ) 2022/1201"/>
    <w:docVar w:name="LW_TYPE.DOC.CP" w:val="ROZHODNUTIE EURÓPSKEHO PARLAMENTU A RADY,"/>
    <w:docVar w:name="LwApiVersions" w:val="LW4CoDe 1.23.2.0; LW 8.0, Build 20211117"/>
  </w:docVars>
  <w:rsids>
    <w:rsidRoot w:val="00F152DC"/>
    <w:rsid w:val="000019D8"/>
    <w:rsid w:val="00003B26"/>
    <w:rsid w:val="00005F72"/>
    <w:rsid w:val="00007A31"/>
    <w:rsid w:val="000107EC"/>
    <w:rsid w:val="00010CED"/>
    <w:rsid w:val="00013A2D"/>
    <w:rsid w:val="00013C77"/>
    <w:rsid w:val="000147A2"/>
    <w:rsid w:val="000159F4"/>
    <w:rsid w:val="00016A3F"/>
    <w:rsid w:val="00016E27"/>
    <w:rsid w:val="00017029"/>
    <w:rsid w:val="000212B1"/>
    <w:rsid w:val="00021900"/>
    <w:rsid w:val="00024F99"/>
    <w:rsid w:val="00027756"/>
    <w:rsid w:val="000315A9"/>
    <w:rsid w:val="00032112"/>
    <w:rsid w:val="00032575"/>
    <w:rsid w:val="00033187"/>
    <w:rsid w:val="000355EB"/>
    <w:rsid w:val="00035C38"/>
    <w:rsid w:val="00036817"/>
    <w:rsid w:val="00036ED9"/>
    <w:rsid w:val="00037B03"/>
    <w:rsid w:val="00041A1E"/>
    <w:rsid w:val="00041C52"/>
    <w:rsid w:val="0004268A"/>
    <w:rsid w:val="00045529"/>
    <w:rsid w:val="00045F25"/>
    <w:rsid w:val="00046C1A"/>
    <w:rsid w:val="000473A2"/>
    <w:rsid w:val="000502C4"/>
    <w:rsid w:val="000515B5"/>
    <w:rsid w:val="00054FA9"/>
    <w:rsid w:val="000556FA"/>
    <w:rsid w:val="000560FF"/>
    <w:rsid w:val="00057BDB"/>
    <w:rsid w:val="000580A5"/>
    <w:rsid w:val="0006056D"/>
    <w:rsid w:val="00061862"/>
    <w:rsid w:val="00064188"/>
    <w:rsid w:val="00064BF6"/>
    <w:rsid w:val="00064E53"/>
    <w:rsid w:val="000665E3"/>
    <w:rsid w:val="000701D9"/>
    <w:rsid w:val="00073612"/>
    <w:rsid w:val="00075604"/>
    <w:rsid w:val="0008198D"/>
    <w:rsid w:val="0008267F"/>
    <w:rsid w:val="000826EB"/>
    <w:rsid w:val="00083866"/>
    <w:rsid w:val="000879D1"/>
    <w:rsid w:val="00090079"/>
    <w:rsid w:val="00092586"/>
    <w:rsid w:val="0009399D"/>
    <w:rsid w:val="00097364"/>
    <w:rsid w:val="00097CD1"/>
    <w:rsid w:val="000A07DF"/>
    <w:rsid w:val="000A1D88"/>
    <w:rsid w:val="000A1DD0"/>
    <w:rsid w:val="000A301D"/>
    <w:rsid w:val="000A6575"/>
    <w:rsid w:val="000A6A3B"/>
    <w:rsid w:val="000B1B8F"/>
    <w:rsid w:val="000B1D09"/>
    <w:rsid w:val="000B24D7"/>
    <w:rsid w:val="000B3E19"/>
    <w:rsid w:val="000B4EBA"/>
    <w:rsid w:val="000B5099"/>
    <w:rsid w:val="000B5F06"/>
    <w:rsid w:val="000B66F2"/>
    <w:rsid w:val="000B7A7D"/>
    <w:rsid w:val="000C2104"/>
    <w:rsid w:val="000C635A"/>
    <w:rsid w:val="000D11E1"/>
    <w:rsid w:val="000D7962"/>
    <w:rsid w:val="000E245F"/>
    <w:rsid w:val="000E581E"/>
    <w:rsid w:val="000E5EC9"/>
    <w:rsid w:val="000E65AB"/>
    <w:rsid w:val="000E690C"/>
    <w:rsid w:val="000E6A56"/>
    <w:rsid w:val="000E6FED"/>
    <w:rsid w:val="000E71E5"/>
    <w:rsid w:val="000E7CBC"/>
    <w:rsid w:val="000F0F85"/>
    <w:rsid w:val="000F13FA"/>
    <w:rsid w:val="000F2A80"/>
    <w:rsid w:val="000F3E69"/>
    <w:rsid w:val="000F5981"/>
    <w:rsid w:val="000F61CE"/>
    <w:rsid w:val="000F6CD0"/>
    <w:rsid w:val="00100104"/>
    <w:rsid w:val="001015FB"/>
    <w:rsid w:val="00101661"/>
    <w:rsid w:val="001021EE"/>
    <w:rsid w:val="001025ED"/>
    <w:rsid w:val="0010263F"/>
    <w:rsid w:val="00103018"/>
    <w:rsid w:val="00111129"/>
    <w:rsid w:val="00112C28"/>
    <w:rsid w:val="00114D81"/>
    <w:rsid w:val="00115C90"/>
    <w:rsid w:val="00116866"/>
    <w:rsid w:val="00120E6B"/>
    <w:rsid w:val="00122292"/>
    <w:rsid w:val="001236CE"/>
    <w:rsid w:val="00126520"/>
    <w:rsid w:val="0012696A"/>
    <w:rsid w:val="001279FD"/>
    <w:rsid w:val="00127E82"/>
    <w:rsid w:val="00131E1E"/>
    <w:rsid w:val="0013292D"/>
    <w:rsid w:val="00135D4F"/>
    <w:rsid w:val="00137255"/>
    <w:rsid w:val="0013780B"/>
    <w:rsid w:val="00141BCA"/>
    <w:rsid w:val="00142360"/>
    <w:rsid w:val="001441FE"/>
    <w:rsid w:val="00144E9A"/>
    <w:rsid w:val="0014583F"/>
    <w:rsid w:val="0014598F"/>
    <w:rsid w:val="0014719D"/>
    <w:rsid w:val="001475A3"/>
    <w:rsid w:val="00150A78"/>
    <w:rsid w:val="0015128E"/>
    <w:rsid w:val="0015185E"/>
    <w:rsid w:val="001524A1"/>
    <w:rsid w:val="00152894"/>
    <w:rsid w:val="0015334A"/>
    <w:rsid w:val="00162012"/>
    <w:rsid w:val="00162546"/>
    <w:rsid w:val="00162D3B"/>
    <w:rsid w:val="00162E12"/>
    <w:rsid w:val="0016309C"/>
    <w:rsid w:val="00165BF6"/>
    <w:rsid w:val="0016785C"/>
    <w:rsid w:val="00171553"/>
    <w:rsid w:val="001736C4"/>
    <w:rsid w:val="001740D3"/>
    <w:rsid w:val="001754EB"/>
    <w:rsid w:val="0018004B"/>
    <w:rsid w:val="0018144D"/>
    <w:rsid w:val="0018313D"/>
    <w:rsid w:val="00184248"/>
    <w:rsid w:val="00185A82"/>
    <w:rsid w:val="00187889"/>
    <w:rsid w:val="00190DCD"/>
    <w:rsid w:val="0019104B"/>
    <w:rsid w:val="001919D2"/>
    <w:rsid w:val="00192260"/>
    <w:rsid w:val="00192AA4"/>
    <w:rsid w:val="001937A0"/>
    <w:rsid w:val="00195FA0"/>
    <w:rsid w:val="00196E4A"/>
    <w:rsid w:val="001A1C5C"/>
    <w:rsid w:val="001A420A"/>
    <w:rsid w:val="001A45F6"/>
    <w:rsid w:val="001A74EC"/>
    <w:rsid w:val="001B1772"/>
    <w:rsid w:val="001B18C0"/>
    <w:rsid w:val="001B23A8"/>
    <w:rsid w:val="001B263A"/>
    <w:rsid w:val="001B32BC"/>
    <w:rsid w:val="001B50E3"/>
    <w:rsid w:val="001C23DB"/>
    <w:rsid w:val="001C7191"/>
    <w:rsid w:val="001D05FE"/>
    <w:rsid w:val="001D0609"/>
    <w:rsid w:val="001D1360"/>
    <w:rsid w:val="001D2BE7"/>
    <w:rsid w:val="001D4B63"/>
    <w:rsid w:val="001D6902"/>
    <w:rsid w:val="001E2B64"/>
    <w:rsid w:val="001E6B0E"/>
    <w:rsid w:val="001E721F"/>
    <w:rsid w:val="001E7C27"/>
    <w:rsid w:val="001F0B97"/>
    <w:rsid w:val="001F12D1"/>
    <w:rsid w:val="001F1738"/>
    <w:rsid w:val="001F3553"/>
    <w:rsid w:val="001F3B66"/>
    <w:rsid w:val="001F4036"/>
    <w:rsid w:val="001F7B2E"/>
    <w:rsid w:val="00200AC3"/>
    <w:rsid w:val="00201A2E"/>
    <w:rsid w:val="00202F6A"/>
    <w:rsid w:val="00206CEE"/>
    <w:rsid w:val="00210312"/>
    <w:rsid w:val="002120C3"/>
    <w:rsid w:val="00212E7F"/>
    <w:rsid w:val="00217211"/>
    <w:rsid w:val="00217213"/>
    <w:rsid w:val="00217399"/>
    <w:rsid w:val="00217F0D"/>
    <w:rsid w:val="0022128E"/>
    <w:rsid w:val="00221DFE"/>
    <w:rsid w:val="00223288"/>
    <w:rsid w:val="00223510"/>
    <w:rsid w:val="00226E79"/>
    <w:rsid w:val="00227554"/>
    <w:rsid w:val="00230172"/>
    <w:rsid w:val="00230BE2"/>
    <w:rsid w:val="00243123"/>
    <w:rsid w:val="002443E2"/>
    <w:rsid w:val="002449B2"/>
    <w:rsid w:val="0024536C"/>
    <w:rsid w:val="002457B2"/>
    <w:rsid w:val="0024682D"/>
    <w:rsid w:val="00246BFD"/>
    <w:rsid w:val="002475B2"/>
    <w:rsid w:val="00247C0A"/>
    <w:rsid w:val="00247F8C"/>
    <w:rsid w:val="0025013A"/>
    <w:rsid w:val="00251160"/>
    <w:rsid w:val="002525E1"/>
    <w:rsid w:val="002538E9"/>
    <w:rsid w:val="00255002"/>
    <w:rsid w:val="002558D2"/>
    <w:rsid w:val="00255952"/>
    <w:rsid w:val="00257649"/>
    <w:rsid w:val="00261E05"/>
    <w:rsid w:val="0026260F"/>
    <w:rsid w:val="00263DD2"/>
    <w:rsid w:val="00264263"/>
    <w:rsid w:val="00264A02"/>
    <w:rsid w:val="0026676D"/>
    <w:rsid w:val="00270149"/>
    <w:rsid w:val="00271FB3"/>
    <w:rsid w:val="00274BB3"/>
    <w:rsid w:val="00274C32"/>
    <w:rsid w:val="00275444"/>
    <w:rsid w:val="0027553E"/>
    <w:rsid w:val="002808EB"/>
    <w:rsid w:val="00281462"/>
    <w:rsid w:val="00281812"/>
    <w:rsid w:val="00281960"/>
    <w:rsid w:val="00282932"/>
    <w:rsid w:val="0028421A"/>
    <w:rsid w:val="00285437"/>
    <w:rsid w:val="002903B8"/>
    <w:rsid w:val="002916B8"/>
    <w:rsid w:val="0029419E"/>
    <w:rsid w:val="0029424D"/>
    <w:rsid w:val="00295191"/>
    <w:rsid w:val="0029E51D"/>
    <w:rsid w:val="002A2E2B"/>
    <w:rsid w:val="002A3D00"/>
    <w:rsid w:val="002A4225"/>
    <w:rsid w:val="002A72A9"/>
    <w:rsid w:val="002B697A"/>
    <w:rsid w:val="002B6B2F"/>
    <w:rsid w:val="002B6D48"/>
    <w:rsid w:val="002B706E"/>
    <w:rsid w:val="002C0E5A"/>
    <w:rsid w:val="002C23D2"/>
    <w:rsid w:val="002C2D5A"/>
    <w:rsid w:val="002C5B2D"/>
    <w:rsid w:val="002C7274"/>
    <w:rsid w:val="002D3372"/>
    <w:rsid w:val="002D4B7A"/>
    <w:rsid w:val="002D52A1"/>
    <w:rsid w:val="002D669C"/>
    <w:rsid w:val="002D74BC"/>
    <w:rsid w:val="002E2CAB"/>
    <w:rsid w:val="002E357D"/>
    <w:rsid w:val="002E45B3"/>
    <w:rsid w:val="002F430E"/>
    <w:rsid w:val="002F5416"/>
    <w:rsid w:val="002F61DF"/>
    <w:rsid w:val="002F7399"/>
    <w:rsid w:val="00305446"/>
    <w:rsid w:val="00306670"/>
    <w:rsid w:val="00307866"/>
    <w:rsid w:val="00307F26"/>
    <w:rsid w:val="00312348"/>
    <w:rsid w:val="00313AFA"/>
    <w:rsid w:val="00313DF1"/>
    <w:rsid w:val="0031590D"/>
    <w:rsid w:val="003159F5"/>
    <w:rsid w:val="00320A2E"/>
    <w:rsid w:val="003232B1"/>
    <w:rsid w:val="00326366"/>
    <w:rsid w:val="003263BE"/>
    <w:rsid w:val="00332729"/>
    <w:rsid w:val="00334363"/>
    <w:rsid w:val="003352B5"/>
    <w:rsid w:val="00337E8D"/>
    <w:rsid w:val="003425BB"/>
    <w:rsid w:val="00342A80"/>
    <w:rsid w:val="00344AA4"/>
    <w:rsid w:val="00345974"/>
    <w:rsid w:val="00351DD2"/>
    <w:rsid w:val="00356738"/>
    <w:rsid w:val="00356BEB"/>
    <w:rsid w:val="00356DDE"/>
    <w:rsid w:val="0035724B"/>
    <w:rsid w:val="0036292A"/>
    <w:rsid w:val="00362E6C"/>
    <w:rsid w:val="003634B7"/>
    <w:rsid w:val="00363584"/>
    <w:rsid w:val="00363770"/>
    <w:rsid w:val="00363BF2"/>
    <w:rsid w:val="00363D66"/>
    <w:rsid w:val="00371238"/>
    <w:rsid w:val="00373D40"/>
    <w:rsid w:val="0037462F"/>
    <w:rsid w:val="00381B44"/>
    <w:rsid w:val="00383888"/>
    <w:rsid w:val="0038556C"/>
    <w:rsid w:val="003877B3"/>
    <w:rsid w:val="00390DA4"/>
    <w:rsid w:val="0039458D"/>
    <w:rsid w:val="003964DB"/>
    <w:rsid w:val="00396ACD"/>
    <w:rsid w:val="0039771E"/>
    <w:rsid w:val="00397FC6"/>
    <w:rsid w:val="003A16DE"/>
    <w:rsid w:val="003A3BC1"/>
    <w:rsid w:val="003A3D0E"/>
    <w:rsid w:val="003A6FD1"/>
    <w:rsid w:val="003AAD2B"/>
    <w:rsid w:val="003B6770"/>
    <w:rsid w:val="003C18E9"/>
    <w:rsid w:val="003C2EA2"/>
    <w:rsid w:val="003C38B9"/>
    <w:rsid w:val="003C45F0"/>
    <w:rsid w:val="003C554B"/>
    <w:rsid w:val="003C63BF"/>
    <w:rsid w:val="003D3455"/>
    <w:rsid w:val="003D3E67"/>
    <w:rsid w:val="003D43D1"/>
    <w:rsid w:val="003D4BDF"/>
    <w:rsid w:val="003D63C6"/>
    <w:rsid w:val="003D6506"/>
    <w:rsid w:val="003D7E22"/>
    <w:rsid w:val="003E17BC"/>
    <w:rsid w:val="003E19E9"/>
    <w:rsid w:val="003E3ADD"/>
    <w:rsid w:val="003E4053"/>
    <w:rsid w:val="003E4A69"/>
    <w:rsid w:val="00401CDA"/>
    <w:rsid w:val="004029A4"/>
    <w:rsid w:val="00403E8C"/>
    <w:rsid w:val="00404213"/>
    <w:rsid w:val="004046FC"/>
    <w:rsid w:val="00405AC3"/>
    <w:rsid w:val="00405F3D"/>
    <w:rsid w:val="004072CB"/>
    <w:rsid w:val="00412D3E"/>
    <w:rsid w:val="00413A17"/>
    <w:rsid w:val="00413FF9"/>
    <w:rsid w:val="004151DB"/>
    <w:rsid w:val="00425B4B"/>
    <w:rsid w:val="00427FD0"/>
    <w:rsid w:val="00431866"/>
    <w:rsid w:val="0043411C"/>
    <w:rsid w:val="00434727"/>
    <w:rsid w:val="00437AA5"/>
    <w:rsid w:val="00440F2F"/>
    <w:rsid w:val="00443F7D"/>
    <w:rsid w:val="00445D5E"/>
    <w:rsid w:val="004473F3"/>
    <w:rsid w:val="00447E0D"/>
    <w:rsid w:val="0045096B"/>
    <w:rsid w:val="00453F01"/>
    <w:rsid w:val="004552A8"/>
    <w:rsid w:val="00461AA0"/>
    <w:rsid w:val="00463144"/>
    <w:rsid w:val="0046438F"/>
    <w:rsid w:val="00465DD8"/>
    <w:rsid w:val="0046630B"/>
    <w:rsid w:val="00470DC7"/>
    <w:rsid w:val="00472A5D"/>
    <w:rsid w:val="00474AAC"/>
    <w:rsid w:val="004755A7"/>
    <w:rsid w:val="00480505"/>
    <w:rsid w:val="00481301"/>
    <w:rsid w:val="00481F22"/>
    <w:rsid w:val="00486530"/>
    <w:rsid w:val="004878E8"/>
    <w:rsid w:val="004912ED"/>
    <w:rsid w:val="00491766"/>
    <w:rsid w:val="00492396"/>
    <w:rsid w:val="00494FCE"/>
    <w:rsid w:val="00495E3B"/>
    <w:rsid w:val="00497902"/>
    <w:rsid w:val="004A007B"/>
    <w:rsid w:val="004A1C65"/>
    <w:rsid w:val="004A1F1F"/>
    <w:rsid w:val="004A45BB"/>
    <w:rsid w:val="004A63F5"/>
    <w:rsid w:val="004A6D58"/>
    <w:rsid w:val="004A7222"/>
    <w:rsid w:val="004A78B1"/>
    <w:rsid w:val="004A795D"/>
    <w:rsid w:val="004AE753"/>
    <w:rsid w:val="004B15F4"/>
    <w:rsid w:val="004B28C5"/>
    <w:rsid w:val="004B4811"/>
    <w:rsid w:val="004B4891"/>
    <w:rsid w:val="004B58BF"/>
    <w:rsid w:val="004B663B"/>
    <w:rsid w:val="004C0E40"/>
    <w:rsid w:val="004C2521"/>
    <w:rsid w:val="004C2C81"/>
    <w:rsid w:val="004C2F52"/>
    <w:rsid w:val="004C4A61"/>
    <w:rsid w:val="004C4BDE"/>
    <w:rsid w:val="004C4CE7"/>
    <w:rsid w:val="004C5A11"/>
    <w:rsid w:val="004C5BBE"/>
    <w:rsid w:val="004C6910"/>
    <w:rsid w:val="004D1FE6"/>
    <w:rsid w:val="004D2CA9"/>
    <w:rsid w:val="004D332E"/>
    <w:rsid w:val="004D3464"/>
    <w:rsid w:val="004D50A5"/>
    <w:rsid w:val="004D53A5"/>
    <w:rsid w:val="004D643E"/>
    <w:rsid w:val="004D67C0"/>
    <w:rsid w:val="004E0459"/>
    <w:rsid w:val="004E19F9"/>
    <w:rsid w:val="004E24D1"/>
    <w:rsid w:val="004E2E1D"/>
    <w:rsid w:val="004E30F4"/>
    <w:rsid w:val="004E5EAD"/>
    <w:rsid w:val="004F221F"/>
    <w:rsid w:val="004F2AAF"/>
    <w:rsid w:val="004F505C"/>
    <w:rsid w:val="0050105F"/>
    <w:rsid w:val="0050434D"/>
    <w:rsid w:val="005067A7"/>
    <w:rsid w:val="00510989"/>
    <w:rsid w:val="00512DDF"/>
    <w:rsid w:val="00512FB3"/>
    <w:rsid w:val="005138A0"/>
    <w:rsid w:val="00514F01"/>
    <w:rsid w:val="00517205"/>
    <w:rsid w:val="00521743"/>
    <w:rsid w:val="005219B5"/>
    <w:rsid w:val="00521C42"/>
    <w:rsid w:val="005243BB"/>
    <w:rsid w:val="00524A37"/>
    <w:rsid w:val="005252E6"/>
    <w:rsid w:val="005255BE"/>
    <w:rsid w:val="00525742"/>
    <w:rsid w:val="00525DD7"/>
    <w:rsid w:val="005264A0"/>
    <w:rsid w:val="0052769D"/>
    <w:rsid w:val="00530130"/>
    <w:rsid w:val="00530560"/>
    <w:rsid w:val="005315FF"/>
    <w:rsid w:val="0053252C"/>
    <w:rsid w:val="005409D4"/>
    <w:rsid w:val="00542487"/>
    <w:rsid w:val="00543906"/>
    <w:rsid w:val="00543BF1"/>
    <w:rsid w:val="00545633"/>
    <w:rsid w:val="0054763C"/>
    <w:rsid w:val="0054765B"/>
    <w:rsid w:val="00547BA6"/>
    <w:rsid w:val="0055085C"/>
    <w:rsid w:val="00550A01"/>
    <w:rsid w:val="00551AAB"/>
    <w:rsid w:val="00552271"/>
    <w:rsid w:val="00553B0C"/>
    <w:rsid w:val="005543D7"/>
    <w:rsid w:val="00554A41"/>
    <w:rsid w:val="005551C4"/>
    <w:rsid w:val="00555D6B"/>
    <w:rsid w:val="0055655B"/>
    <w:rsid w:val="005572D1"/>
    <w:rsid w:val="00557A3C"/>
    <w:rsid w:val="005617A5"/>
    <w:rsid w:val="0056521A"/>
    <w:rsid w:val="005707C4"/>
    <w:rsid w:val="00572963"/>
    <w:rsid w:val="00574470"/>
    <w:rsid w:val="005747FA"/>
    <w:rsid w:val="00575863"/>
    <w:rsid w:val="00577722"/>
    <w:rsid w:val="00580A03"/>
    <w:rsid w:val="005820EC"/>
    <w:rsid w:val="00582810"/>
    <w:rsid w:val="005840C7"/>
    <w:rsid w:val="00584656"/>
    <w:rsid w:val="005849AF"/>
    <w:rsid w:val="005853C9"/>
    <w:rsid w:val="00586D72"/>
    <w:rsid w:val="00593EB8"/>
    <w:rsid w:val="00594A6E"/>
    <w:rsid w:val="00595540"/>
    <w:rsid w:val="00596B06"/>
    <w:rsid w:val="005A0085"/>
    <w:rsid w:val="005A0E10"/>
    <w:rsid w:val="005A187B"/>
    <w:rsid w:val="005A3BBB"/>
    <w:rsid w:val="005A7B51"/>
    <w:rsid w:val="005B118A"/>
    <w:rsid w:val="005B20D6"/>
    <w:rsid w:val="005B34C3"/>
    <w:rsid w:val="005B5FA6"/>
    <w:rsid w:val="005C20C9"/>
    <w:rsid w:val="005C4376"/>
    <w:rsid w:val="005C58B5"/>
    <w:rsid w:val="005C5B19"/>
    <w:rsid w:val="005C607E"/>
    <w:rsid w:val="005C686D"/>
    <w:rsid w:val="005C6E81"/>
    <w:rsid w:val="005C7190"/>
    <w:rsid w:val="005D06D7"/>
    <w:rsid w:val="005D0DD8"/>
    <w:rsid w:val="005D274D"/>
    <w:rsid w:val="005D28EE"/>
    <w:rsid w:val="005D471B"/>
    <w:rsid w:val="005D58A7"/>
    <w:rsid w:val="005E12C1"/>
    <w:rsid w:val="005E312A"/>
    <w:rsid w:val="005E4E45"/>
    <w:rsid w:val="005E6585"/>
    <w:rsid w:val="005F542D"/>
    <w:rsid w:val="005F69DD"/>
    <w:rsid w:val="005F7069"/>
    <w:rsid w:val="005F720F"/>
    <w:rsid w:val="0060410B"/>
    <w:rsid w:val="0060468A"/>
    <w:rsid w:val="00604E2B"/>
    <w:rsid w:val="006061FD"/>
    <w:rsid w:val="00606791"/>
    <w:rsid w:val="006071A4"/>
    <w:rsid w:val="006077DD"/>
    <w:rsid w:val="00610279"/>
    <w:rsid w:val="0061380B"/>
    <w:rsid w:val="00613DFE"/>
    <w:rsid w:val="0061469A"/>
    <w:rsid w:val="00615E99"/>
    <w:rsid w:val="00616974"/>
    <w:rsid w:val="00617E3F"/>
    <w:rsid w:val="00620770"/>
    <w:rsid w:val="00620E4A"/>
    <w:rsid w:val="006216E0"/>
    <w:rsid w:val="00621DFF"/>
    <w:rsid w:val="0062231F"/>
    <w:rsid w:val="00625E4E"/>
    <w:rsid w:val="00625E88"/>
    <w:rsid w:val="00627CAD"/>
    <w:rsid w:val="00630F7C"/>
    <w:rsid w:val="006352EE"/>
    <w:rsid w:val="00635716"/>
    <w:rsid w:val="00641331"/>
    <w:rsid w:val="006423C2"/>
    <w:rsid w:val="006430EB"/>
    <w:rsid w:val="006450A2"/>
    <w:rsid w:val="006456C0"/>
    <w:rsid w:val="00646128"/>
    <w:rsid w:val="006470F9"/>
    <w:rsid w:val="00650CCE"/>
    <w:rsid w:val="00654978"/>
    <w:rsid w:val="00654D12"/>
    <w:rsid w:val="0065524B"/>
    <w:rsid w:val="006615AB"/>
    <w:rsid w:val="00662700"/>
    <w:rsid w:val="006637F5"/>
    <w:rsid w:val="00663C7E"/>
    <w:rsid w:val="006650C5"/>
    <w:rsid w:val="006654AB"/>
    <w:rsid w:val="006674EC"/>
    <w:rsid w:val="0066A5AE"/>
    <w:rsid w:val="00672201"/>
    <w:rsid w:val="006745B7"/>
    <w:rsid w:val="00674840"/>
    <w:rsid w:val="00675681"/>
    <w:rsid w:val="006757A3"/>
    <w:rsid w:val="00676F87"/>
    <w:rsid w:val="006770EF"/>
    <w:rsid w:val="00677465"/>
    <w:rsid w:val="00677629"/>
    <w:rsid w:val="006776BB"/>
    <w:rsid w:val="0067781C"/>
    <w:rsid w:val="00681971"/>
    <w:rsid w:val="00681F10"/>
    <w:rsid w:val="00682939"/>
    <w:rsid w:val="00683924"/>
    <w:rsid w:val="00685B02"/>
    <w:rsid w:val="006871E8"/>
    <w:rsid w:val="00687347"/>
    <w:rsid w:val="00687C0A"/>
    <w:rsid w:val="00690710"/>
    <w:rsid w:val="00691BE7"/>
    <w:rsid w:val="00693A27"/>
    <w:rsid w:val="0069421D"/>
    <w:rsid w:val="006961A2"/>
    <w:rsid w:val="006A0ED9"/>
    <w:rsid w:val="006A3547"/>
    <w:rsid w:val="006A4628"/>
    <w:rsid w:val="006A5722"/>
    <w:rsid w:val="006A5E5E"/>
    <w:rsid w:val="006A7AAF"/>
    <w:rsid w:val="006B0B00"/>
    <w:rsid w:val="006B1A7C"/>
    <w:rsid w:val="006B34D1"/>
    <w:rsid w:val="006B361B"/>
    <w:rsid w:val="006B472A"/>
    <w:rsid w:val="006B71AD"/>
    <w:rsid w:val="006C4161"/>
    <w:rsid w:val="006C5566"/>
    <w:rsid w:val="006C70E2"/>
    <w:rsid w:val="006D01AB"/>
    <w:rsid w:val="006D346F"/>
    <w:rsid w:val="006D4104"/>
    <w:rsid w:val="006D4172"/>
    <w:rsid w:val="006D4446"/>
    <w:rsid w:val="006D4EE3"/>
    <w:rsid w:val="006D5AB3"/>
    <w:rsid w:val="006D68EB"/>
    <w:rsid w:val="006D7C8B"/>
    <w:rsid w:val="006DD45A"/>
    <w:rsid w:val="006E0DC1"/>
    <w:rsid w:val="006E20AB"/>
    <w:rsid w:val="006E2B67"/>
    <w:rsid w:val="006E3240"/>
    <w:rsid w:val="006E3B44"/>
    <w:rsid w:val="006E5331"/>
    <w:rsid w:val="006E5337"/>
    <w:rsid w:val="006E7603"/>
    <w:rsid w:val="006F0C56"/>
    <w:rsid w:val="006F3594"/>
    <w:rsid w:val="006F3E47"/>
    <w:rsid w:val="006F7BF8"/>
    <w:rsid w:val="006F7EFE"/>
    <w:rsid w:val="00703837"/>
    <w:rsid w:val="007049A7"/>
    <w:rsid w:val="00705678"/>
    <w:rsid w:val="00706459"/>
    <w:rsid w:val="00713421"/>
    <w:rsid w:val="00723045"/>
    <w:rsid w:val="0072315B"/>
    <w:rsid w:val="007261B3"/>
    <w:rsid w:val="007269D1"/>
    <w:rsid w:val="007271EB"/>
    <w:rsid w:val="00727481"/>
    <w:rsid w:val="00732224"/>
    <w:rsid w:val="00732FD3"/>
    <w:rsid w:val="00734BC5"/>
    <w:rsid w:val="00736746"/>
    <w:rsid w:val="00740761"/>
    <w:rsid w:val="00742766"/>
    <w:rsid w:val="007440D5"/>
    <w:rsid w:val="0074434F"/>
    <w:rsid w:val="00745A5B"/>
    <w:rsid w:val="00746F08"/>
    <w:rsid w:val="00750687"/>
    <w:rsid w:val="00751969"/>
    <w:rsid w:val="00751B94"/>
    <w:rsid w:val="00755155"/>
    <w:rsid w:val="00763AC0"/>
    <w:rsid w:val="0076439C"/>
    <w:rsid w:val="007649C9"/>
    <w:rsid w:val="00767D20"/>
    <w:rsid w:val="0076DCFD"/>
    <w:rsid w:val="00770F3B"/>
    <w:rsid w:val="00770FF6"/>
    <w:rsid w:val="0077208C"/>
    <w:rsid w:val="00773F69"/>
    <w:rsid w:val="00774243"/>
    <w:rsid w:val="00777C05"/>
    <w:rsid w:val="00783374"/>
    <w:rsid w:val="00784845"/>
    <w:rsid w:val="00786116"/>
    <w:rsid w:val="00787177"/>
    <w:rsid w:val="00787E68"/>
    <w:rsid w:val="00790E61"/>
    <w:rsid w:val="0079148B"/>
    <w:rsid w:val="007934CC"/>
    <w:rsid w:val="007936FC"/>
    <w:rsid w:val="00794604"/>
    <w:rsid w:val="0079522F"/>
    <w:rsid w:val="007973E0"/>
    <w:rsid w:val="0079CF9E"/>
    <w:rsid w:val="007A2C65"/>
    <w:rsid w:val="007A499E"/>
    <w:rsid w:val="007A6C9C"/>
    <w:rsid w:val="007A73C0"/>
    <w:rsid w:val="007A7EA3"/>
    <w:rsid w:val="007B22E3"/>
    <w:rsid w:val="007B7AFC"/>
    <w:rsid w:val="007B7D6F"/>
    <w:rsid w:val="007B7E57"/>
    <w:rsid w:val="007C02FB"/>
    <w:rsid w:val="007C0BB6"/>
    <w:rsid w:val="007C118B"/>
    <w:rsid w:val="007C2722"/>
    <w:rsid w:val="007C40F7"/>
    <w:rsid w:val="007C4B02"/>
    <w:rsid w:val="007C558A"/>
    <w:rsid w:val="007C5A3C"/>
    <w:rsid w:val="007D0861"/>
    <w:rsid w:val="007D0910"/>
    <w:rsid w:val="007D1B46"/>
    <w:rsid w:val="007D6519"/>
    <w:rsid w:val="007E010B"/>
    <w:rsid w:val="007E0999"/>
    <w:rsid w:val="007E13FA"/>
    <w:rsid w:val="007E2A12"/>
    <w:rsid w:val="007E2F24"/>
    <w:rsid w:val="007E70C4"/>
    <w:rsid w:val="007F0B43"/>
    <w:rsid w:val="007F1976"/>
    <w:rsid w:val="007F3958"/>
    <w:rsid w:val="007F4051"/>
    <w:rsid w:val="007F6AA8"/>
    <w:rsid w:val="007F6F8C"/>
    <w:rsid w:val="008022AB"/>
    <w:rsid w:val="00802FC2"/>
    <w:rsid w:val="00803CDF"/>
    <w:rsid w:val="0080611F"/>
    <w:rsid w:val="0080697C"/>
    <w:rsid w:val="00807C2C"/>
    <w:rsid w:val="00807D6C"/>
    <w:rsid w:val="0080FB13"/>
    <w:rsid w:val="00812840"/>
    <w:rsid w:val="00815046"/>
    <w:rsid w:val="00816326"/>
    <w:rsid w:val="00817468"/>
    <w:rsid w:val="00821003"/>
    <w:rsid w:val="00823353"/>
    <w:rsid w:val="00830162"/>
    <w:rsid w:val="008337F4"/>
    <w:rsid w:val="00844392"/>
    <w:rsid w:val="00844615"/>
    <w:rsid w:val="008447BD"/>
    <w:rsid w:val="00847049"/>
    <w:rsid w:val="008470ED"/>
    <w:rsid w:val="00847598"/>
    <w:rsid w:val="00851AA5"/>
    <w:rsid w:val="00851D24"/>
    <w:rsid w:val="00851EFB"/>
    <w:rsid w:val="00852DCE"/>
    <w:rsid w:val="008536C6"/>
    <w:rsid w:val="00853CA7"/>
    <w:rsid w:val="0085453A"/>
    <w:rsid w:val="0085519E"/>
    <w:rsid w:val="00860965"/>
    <w:rsid w:val="00860E18"/>
    <w:rsid w:val="00860E34"/>
    <w:rsid w:val="00861F90"/>
    <w:rsid w:val="00864E5E"/>
    <w:rsid w:val="008654BA"/>
    <w:rsid w:val="00865C7A"/>
    <w:rsid w:val="00865F32"/>
    <w:rsid w:val="008700A1"/>
    <w:rsid w:val="00870921"/>
    <w:rsid w:val="00871372"/>
    <w:rsid w:val="0087343B"/>
    <w:rsid w:val="0087395A"/>
    <w:rsid w:val="00874B0A"/>
    <w:rsid w:val="0088094E"/>
    <w:rsid w:val="00882875"/>
    <w:rsid w:val="00882A1A"/>
    <w:rsid w:val="0088355F"/>
    <w:rsid w:val="008872C1"/>
    <w:rsid w:val="00892178"/>
    <w:rsid w:val="00893CBE"/>
    <w:rsid w:val="00895960"/>
    <w:rsid w:val="008A1282"/>
    <w:rsid w:val="008A6D6F"/>
    <w:rsid w:val="008B0CEA"/>
    <w:rsid w:val="008B1CED"/>
    <w:rsid w:val="008B207A"/>
    <w:rsid w:val="008B3A48"/>
    <w:rsid w:val="008B4A4A"/>
    <w:rsid w:val="008B5502"/>
    <w:rsid w:val="008B645F"/>
    <w:rsid w:val="008B6C89"/>
    <w:rsid w:val="008B7242"/>
    <w:rsid w:val="008B79A2"/>
    <w:rsid w:val="008B7E21"/>
    <w:rsid w:val="008C06F4"/>
    <w:rsid w:val="008C1C54"/>
    <w:rsid w:val="008C424D"/>
    <w:rsid w:val="008C44BF"/>
    <w:rsid w:val="008C4FA0"/>
    <w:rsid w:val="008C6C4C"/>
    <w:rsid w:val="008C7AF5"/>
    <w:rsid w:val="008D1CBB"/>
    <w:rsid w:val="008D39E7"/>
    <w:rsid w:val="008D4466"/>
    <w:rsid w:val="008D5FB1"/>
    <w:rsid w:val="008D78F2"/>
    <w:rsid w:val="008E11B9"/>
    <w:rsid w:val="008E18EE"/>
    <w:rsid w:val="008E2694"/>
    <w:rsid w:val="008E2786"/>
    <w:rsid w:val="008E5EDE"/>
    <w:rsid w:val="008E74FE"/>
    <w:rsid w:val="008F4B16"/>
    <w:rsid w:val="008F6942"/>
    <w:rsid w:val="008F7972"/>
    <w:rsid w:val="008F7D60"/>
    <w:rsid w:val="008F7DB0"/>
    <w:rsid w:val="009014D1"/>
    <w:rsid w:val="00901D95"/>
    <w:rsid w:val="00903232"/>
    <w:rsid w:val="00903CD6"/>
    <w:rsid w:val="009044EA"/>
    <w:rsid w:val="00904641"/>
    <w:rsid w:val="00904C9E"/>
    <w:rsid w:val="009115F2"/>
    <w:rsid w:val="00913FD4"/>
    <w:rsid w:val="0091675A"/>
    <w:rsid w:val="00917643"/>
    <w:rsid w:val="009209E1"/>
    <w:rsid w:val="00920BBA"/>
    <w:rsid w:val="009219A4"/>
    <w:rsid w:val="00921C2E"/>
    <w:rsid w:val="009229A6"/>
    <w:rsid w:val="0092499C"/>
    <w:rsid w:val="00927A10"/>
    <w:rsid w:val="00927B68"/>
    <w:rsid w:val="009340A0"/>
    <w:rsid w:val="00934124"/>
    <w:rsid w:val="009344BB"/>
    <w:rsid w:val="00935C62"/>
    <w:rsid w:val="00935ECF"/>
    <w:rsid w:val="00936EFF"/>
    <w:rsid w:val="009405C2"/>
    <w:rsid w:val="00940731"/>
    <w:rsid w:val="009407C4"/>
    <w:rsid w:val="00941BF2"/>
    <w:rsid w:val="00950382"/>
    <w:rsid w:val="009517BC"/>
    <w:rsid w:val="00951A14"/>
    <w:rsid w:val="009530ED"/>
    <w:rsid w:val="00953240"/>
    <w:rsid w:val="00956BB4"/>
    <w:rsid w:val="00956DA2"/>
    <w:rsid w:val="00961EA0"/>
    <w:rsid w:val="00966F3A"/>
    <w:rsid w:val="00967B46"/>
    <w:rsid w:val="009724AE"/>
    <w:rsid w:val="00972CAC"/>
    <w:rsid w:val="00973461"/>
    <w:rsid w:val="009767F0"/>
    <w:rsid w:val="00976BDB"/>
    <w:rsid w:val="00977488"/>
    <w:rsid w:val="0098012F"/>
    <w:rsid w:val="009804E9"/>
    <w:rsid w:val="009827ED"/>
    <w:rsid w:val="009947CC"/>
    <w:rsid w:val="009957C5"/>
    <w:rsid w:val="00996C33"/>
    <w:rsid w:val="00997A7F"/>
    <w:rsid w:val="009A127F"/>
    <w:rsid w:val="009A137E"/>
    <w:rsid w:val="009A17EC"/>
    <w:rsid w:val="009A530A"/>
    <w:rsid w:val="009A5B64"/>
    <w:rsid w:val="009A6559"/>
    <w:rsid w:val="009A71DF"/>
    <w:rsid w:val="009B0409"/>
    <w:rsid w:val="009B1C12"/>
    <w:rsid w:val="009B5993"/>
    <w:rsid w:val="009B70B8"/>
    <w:rsid w:val="009B7220"/>
    <w:rsid w:val="009B7736"/>
    <w:rsid w:val="009C0CFB"/>
    <w:rsid w:val="009C4734"/>
    <w:rsid w:val="009D02E7"/>
    <w:rsid w:val="009D2967"/>
    <w:rsid w:val="009D348B"/>
    <w:rsid w:val="009D57E5"/>
    <w:rsid w:val="009D59F2"/>
    <w:rsid w:val="009D6163"/>
    <w:rsid w:val="009D7112"/>
    <w:rsid w:val="009E0135"/>
    <w:rsid w:val="009E01E8"/>
    <w:rsid w:val="009E255E"/>
    <w:rsid w:val="009E34CD"/>
    <w:rsid w:val="009E37E2"/>
    <w:rsid w:val="009E3998"/>
    <w:rsid w:val="009E4B74"/>
    <w:rsid w:val="009EF469"/>
    <w:rsid w:val="009F003D"/>
    <w:rsid w:val="009F0637"/>
    <w:rsid w:val="009F1260"/>
    <w:rsid w:val="009F262B"/>
    <w:rsid w:val="009F5546"/>
    <w:rsid w:val="009F5AC0"/>
    <w:rsid w:val="009F6C03"/>
    <w:rsid w:val="009F75F0"/>
    <w:rsid w:val="00A03A50"/>
    <w:rsid w:val="00A111E5"/>
    <w:rsid w:val="00A15756"/>
    <w:rsid w:val="00A1623E"/>
    <w:rsid w:val="00A163A4"/>
    <w:rsid w:val="00A20C4B"/>
    <w:rsid w:val="00A20C9B"/>
    <w:rsid w:val="00A217B7"/>
    <w:rsid w:val="00A25359"/>
    <w:rsid w:val="00A26C4D"/>
    <w:rsid w:val="00A27715"/>
    <w:rsid w:val="00A31412"/>
    <w:rsid w:val="00A329F9"/>
    <w:rsid w:val="00A32A62"/>
    <w:rsid w:val="00A3543A"/>
    <w:rsid w:val="00A376B5"/>
    <w:rsid w:val="00A5317C"/>
    <w:rsid w:val="00A5323B"/>
    <w:rsid w:val="00A53548"/>
    <w:rsid w:val="00A54BD1"/>
    <w:rsid w:val="00A55609"/>
    <w:rsid w:val="00A565C7"/>
    <w:rsid w:val="00A56CB5"/>
    <w:rsid w:val="00A57BAD"/>
    <w:rsid w:val="00A6081D"/>
    <w:rsid w:val="00A61EB7"/>
    <w:rsid w:val="00A65225"/>
    <w:rsid w:val="00A65AD8"/>
    <w:rsid w:val="00A70556"/>
    <w:rsid w:val="00A71DD7"/>
    <w:rsid w:val="00A71E52"/>
    <w:rsid w:val="00A73112"/>
    <w:rsid w:val="00A73711"/>
    <w:rsid w:val="00A743D9"/>
    <w:rsid w:val="00A7671E"/>
    <w:rsid w:val="00A77E8C"/>
    <w:rsid w:val="00A82EE3"/>
    <w:rsid w:val="00A8522B"/>
    <w:rsid w:val="00A85E77"/>
    <w:rsid w:val="00A86BD6"/>
    <w:rsid w:val="00A901C5"/>
    <w:rsid w:val="00A9488D"/>
    <w:rsid w:val="00A94D36"/>
    <w:rsid w:val="00A95029"/>
    <w:rsid w:val="00AA0805"/>
    <w:rsid w:val="00AA3C71"/>
    <w:rsid w:val="00AA6104"/>
    <w:rsid w:val="00AA633C"/>
    <w:rsid w:val="00AA6A05"/>
    <w:rsid w:val="00AA6FD5"/>
    <w:rsid w:val="00AAFC12"/>
    <w:rsid w:val="00AB380C"/>
    <w:rsid w:val="00AB394F"/>
    <w:rsid w:val="00AB3C91"/>
    <w:rsid w:val="00AB590D"/>
    <w:rsid w:val="00AB6E45"/>
    <w:rsid w:val="00AD056C"/>
    <w:rsid w:val="00AD211C"/>
    <w:rsid w:val="00AD2B75"/>
    <w:rsid w:val="00AD77F1"/>
    <w:rsid w:val="00AE0170"/>
    <w:rsid w:val="00AE0359"/>
    <w:rsid w:val="00AE2289"/>
    <w:rsid w:val="00AE3870"/>
    <w:rsid w:val="00AE388F"/>
    <w:rsid w:val="00AE71CD"/>
    <w:rsid w:val="00AF0284"/>
    <w:rsid w:val="00AF6F3B"/>
    <w:rsid w:val="00B00FA6"/>
    <w:rsid w:val="00B0173F"/>
    <w:rsid w:val="00B04B79"/>
    <w:rsid w:val="00B06803"/>
    <w:rsid w:val="00B07A84"/>
    <w:rsid w:val="00B106D1"/>
    <w:rsid w:val="00B174E2"/>
    <w:rsid w:val="00B22316"/>
    <w:rsid w:val="00B23B87"/>
    <w:rsid w:val="00B23BA1"/>
    <w:rsid w:val="00B23FA0"/>
    <w:rsid w:val="00B2532F"/>
    <w:rsid w:val="00B2550B"/>
    <w:rsid w:val="00B2614B"/>
    <w:rsid w:val="00B30C97"/>
    <w:rsid w:val="00B34C39"/>
    <w:rsid w:val="00B4168C"/>
    <w:rsid w:val="00B4359F"/>
    <w:rsid w:val="00B4401B"/>
    <w:rsid w:val="00B50CD9"/>
    <w:rsid w:val="00B51EB5"/>
    <w:rsid w:val="00B53926"/>
    <w:rsid w:val="00B554F8"/>
    <w:rsid w:val="00B6005E"/>
    <w:rsid w:val="00B60B97"/>
    <w:rsid w:val="00B6118F"/>
    <w:rsid w:val="00B63C25"/>
    <w:rsid w:val="00B64312"/>
    <w:rsid w:val="00B644AA"/>
    <w:rsid w:val="00B65F2D"/>
    <w:rsid w:val="00B661B5"/>
    <w:rsid w:val="00B703F7"/>
    <w:rsid w:val="00B70536"/>
    <w:rsid w:val="00B73555"/>
    <w:rsid w:val="00B7786D"/>
    <w:rsid w:val="00B81F26"/>
    <w:rsid w:val="00B8542F"/>
    <w:rsid w:val="00B8685D"/>
    <w:rsid w:val="00B86BE2"/>
    <w:rsid w:val="00B879FC"/>
    <w:rsid w:val="00B9051E"/>
    <w:rsid w:val="00B93486"/>
    <w:rsid w:val="00B93597"/>
    <w:rsid w:val="00B94C89"/>
    <w:rsid w:val="00B95A23"/>
    <w:rsid w:val="00B96231"/>
    <w:rsid w:val="00B96762"/>
    <w:rsid w:val="00B972F9"/>
    <w:rsid w:val="00B977C2"/>
    <w:rsid w:val="00BA02C2"/>
    <w:rsid w:val="00BA08DC"/>
    <w:rsid w:val="00BA18B0"/>
    <w:rsid w:val="00BA2468"/>
    <w:rsid w:val="00BA468B"/>
    <w:rsid w:val="00BA4C1F"/>
    <w:rsid w:val="00BA64D1"/>
    <w:rsid w:val="00BB0AF7"/>
    <w:rsid w:val="00BC3349"/>
    <w:rsid w:val="00BC4CE9"/>
    <w:rsid w:val="00BC6E7F"/>
    <w:rsid w:val="00BD2E4D"/>
    <w:rsid w:val="00BD31D7"/>
    <w:rsid w:val="00BD4D50"/>
    <w:rsid w:val="00BD4E7C"/>
    <w:rsid w:val="00BD504C"/>
    <w:rsid w:val="00BD60EA"/>
    <w:rsid w:val="00BE07D3"/>
    <w:rsid w:val="00BE225D"/>
    <w:rsid w:val="00BE3516"/>
    <w:rsid w:val="00BE38AF"/>
    <w:rsid w:val="00BE5BDD"/>
    <w:rsid w:val="00BE71FA"/>
    <w:rsid w:val="00BF0135"/>
    <w:rsid w:val="00BF19F7"/>
    <w:rsid w:val="00BF30FC"/>
    <w:rsid w:val="00BF3AB9"/>
    <w:rsid w:val="00BF5A97"/>
    <w:rsid w:val="00BF5BD8"/>
    <w:rsid w:val="00BF7262"/>
    <w:rsid w:val="00BF7B71"/>
    <w:rsid w:val="00BF9AD2"/>
    <w:rsid w:val="00C0206C"/>
    <w:rsid w:val="00C029D9"/>
    <w:rsid w:val="00C06DC8"/>
    <w:rsid w:val="00C12AFE"/>
    <w:rsid w:val="00C1406D"/>
    <w:rsid w:val="00C143D1"/>
    <w:rsid w:val="00C17193"/>
    <w:rsid w:val="00C2166A"/>
    <w:rsid w:val="00C21D71"/>
    <w:rsid w:val="00C22EAE"/>
    <w:rsid w:val="00C23C3D"/>
    <w:rsid w:val="00C24133"/>
    <w:rsid w:val="00C2772B"/>
    <w:rsid w:val="00C27770"/>
    <w:rsid w:val="00C35784"/>
    <w:rsid w:val="00C366A0"/>
    <w:rsid w:val="00C36B54"/>
    <w:rsid w:val="00C3731F"/>
    <w:rsid w:val="00C3C487"/>
    <w:rsid w:val="00C40849"/>
    <w:rsid w:val="00C42293"/>
    <w:rsid w:val="00C42401"/>
    <w:rsid w:val="00C4329A"/>
    <w:rsid w:val="00C436D0"/>
    <w:rsid w:val="00C45B0D"/>
    <w:rsid w:val="00C4624A"/>
    <w:rsid w:val="00C46710"/>
    <w:rsid w:val="00C46CDD"/>
    <w:rsid w:val="00C46F32"/>
    <w:rsid w:val="00C46F9A"/>
    <w:rsid w:val="00C47D58"/>
    <w:rsid w:val="00C4F694"/>
    <w:rsid w:val="00C520EF"/>
    <w:rsid w:val="00C56BC0"/>
    <w:rsid w:val="00C60819"/>
    <w:rsid w:val="00C60CE2"/>
    <w:rsid w:val="00C61F4D"/>
    <w:rsid w:val="00C62257"/>
    <w:rsid w:val="00C63954"/>
    <w:rsid w:val="00C63E38"/>
    <w:rsid w:val="00C63F4C"/>
    <w:rsid w:val="00C6469B"/>
    <w:rsid w:val="00C64BC7"/>
    <w:rsid w:val="00C65BB1"/>
    <w:rsid w:val="00C677DC"/>
    <w:rsid w:val="00C7057E"/>
    <w:rsid w:val="00C706FE"/>
    <w:rsid w:val="00C71DE2"/>
    <w:rsid w:val="00C73DE1"/>
    <w:rsid w:val="00C76088"/>
    <w:rsid w:val="00C77790"/>
    <w:rsid w:val="00C827A1"/>
    <w:rsid w:val="00C83D6E"/>
    <w:rsid w:val="00C865AF"/>
    <w:rsid w:val="00C8709A"/>
    <w:rsid w:val="00C9331A"/>
    <w:rsid w:val="00C9428C"/>
    <w:rsid w:val="00C94923"/>
    <w:rsid w:val="00C95A34"/>
    <w:rsid w:val="00C964DA"/>
    <w:rsid w:val="00C97A26"/>
    <w:rsid w:val="00CA23C3"/>
    <w:rsid w:val="00CA284C"/>
    <w:rsid w:val="00CA294F"/>
    <w:rsid w:val="00CA5AB4"/>
    <w:rsid w:val="00CB07DB"/>
    <w:rsid w:val="00CB29FB"/>
    <w:rsid w:val="00CB344F"/>
    <w:rsid w:val="00CB39E5"/>
    <w:rsid w:val="00CB3F01"/>
    <w:rsid w:val="00CB427E"/>
    <w:rsid w:val="00CB4670"/>
    <w:rsid w:val="00CB4F2E"/>
    <w:rsid w:val="00CB4FC3"/>
    <w:rsid w:val="00CB5FF1"/>
    <w:rsid w:val="00CB739B"/>
    <w:rsid w:val="00CB7C77"/>
    <w:rsid w:val="00CB7F78"/>
    <w:rsid w:val="00CC66E6"/>
    <w:rsid w:val="00CC7910"/>
    <w:rsid w:val="00CD02AA"/>
    <w:rsid w:val="00CD06CC"/>
    <w:rsid w:val="00CD0967"/>
    <w:rsid w:val="00CD4311"/>
    <w:rsid w:val="00CD6872"/>
    <w:rsid w:val="00CD70FE"/>
    <w:rsid w:val="00CE0339"/>
    <w:rsid w:val="00CE14DF"/>
    <w:rsid w:val="00CE42BE"/>
    <w:rsid w:val="00CE4BB4"/>
    <w:rsid w:val="00CE582B"/>
    <w:rsid w:val="00CE59B3"/>
    <w:rsid w:val="00CE5F24"/>
    <w:rsid w:val="00CE606C"/>
    <w:rsid w:val="00CE686D"/>
    <w:rsid w:val="00CE75E0"/>
    <w:rsid w:val="00CF2346"/>
    <w:rsid w:val="00CF688F"/>
    <w:rsid w:val="00D01A87"/>
    <w:rsid w:val="00D045D9"/>
    <w:rsid w:val="00D046F9"/>
    <w:rsid w:val="00D05784"/>
    <w:rsid w:val="00D0759B"/>
    <w:rsid w:val="00D07EE5"/>
    <w:rsid w:val="00D10749"/>
    <w:rsid w:val="00D10E1C"/>
    <w:rsid w:val="00D118FB"/>
    <w:rsid w:val="00D16ED3"/>
    <w:rsid w:val="00D215D2"/>
    <w:rsid w:val="00D21915"/>
    <w:rsid w:val="00D223C6"/>
    <w:rsid w:val="00D238AB"/>
    <w:rsid w:val="00D24BBA"/>
    <w:rsid w:val="00D252D6"/>
    <w:rsid w:val="00D26085"/>
    <w:rsid w:val="00D26531"/>
    <w:rsid w:val="00D279F8"/>
    <w:rsid w:val="00D31A30"/>
    <w:rsid w:val="00D33B34"/>
    <w:rsid w:val="00D33FD2"/>
    <w:rsid w:val="00D36B33"/>
    <w:rsid w:val="00D422FE"/>
    <w:rsid w:val="00D426E2"/>
    <w:rsid w:val="00D4401F"/>
    <w:rsid w:val="00D45297"/>
    <w:rsid w:val="00D473E9"/>
    <w:rsid w:val="00D478E8"/>
    <w:rsid w:val="00D518F3"/>
    <w:rsid w:val="00D53C2C"/>
    <w:rsid w:val="00D541A8"/>
    <w:rsid w:val="00D55915"/>
    <w:rsid w:val="00D56C60"/>
    <w:rsid w:val="00D57651"/>
    <w:rsid w:val="00D578EE"/>
    <w:rsid w:val="00D57AD3"/>
    <w:rsid w:val="00D6015A"/>
    <w:rsid w:val="00D60BC7"/>
    <w:rsid w:val="00D613E1"/>
    <w:rsid w:val="00D617EA"/>
    <w:rsid w:val="00D61B1B"/>
    <w:rsid w:val="00D623AE"/>
    <w:rsid w:val="00D62436"/>
    <w:rsid w:val="00D64512"/>
    <w:rsid w:val="00D652C6"/>
    <w:rsid w:val="00D664C1"/>
    <w:rsid w:val="00D702C7"/>
    <w:rsid w:val="00D707CC"/>
    <w:rsid w:val="00D708DC"/>
    <w:rsid w:val="00D71532"/>
    <w:rsid w:val="00D71C86"/>
    <w:rsid w:val="00D71EA8"/>
    <w:rsid w:val="00D7331A"/>
    <w:rsid w:val="00D74633"/>
    <w:rsid w:val="00D75A9C"/>
    <w:rsid w:val="00D86A08"/>
    <w:rsid w:val="00D9121C"/>
    <w:rsid w:val="00D91815"/>
    <w:rsid w:val="00D95034"/>
    <w:rsid w:val="00D95B26"/>
    <w:rsid w:val="00DA2382"/>
    <w:rsid w:val="00DA27D9"/>
    <w:rsid w:val="00DA344B"/>
    <w:rsid w:val="00DA583C"/>
    <w:rsid w:val="00DA697E"/>
    <w:rsid w:val="00DA6B52"/>
    <w:rsid w:val="00DA7535"/>
    <w:rsid w:val="00DA7F25"/>
    <w:rsid w:val="00DB3D7A"/>
    <w:rsid w:val="00DB4B20"/>
    <w:rsid w:val="00DB50CF"/>
    <w:rsid w:val="00DB7EE4"/>
    <w:rsid w:val="00DC1B41"/>
    <w:rsid w:val="00DC2D2C"/>
    <w:rsid w:val="00DC41EB"/>
    <w:rsid w:val="00DC7362"/>
    <w:rsid w:val="00DD2126"/>
    <w:rsid w:val="00DD29FE"/>
    <w:rsid w:val="00DD5433"/>
    <w:rsid w:val="00DD6809"/>
    <w:rsid w:val="00DE0E51"/>
    <w:rsid w:val="00DE1B07"/>
    <w:rsid w:val="00DE1B22"/>
    <w:rsid w:val="00DE6CD2"/>
    <w:rsid w:val="00DE6FAA"/>
    <w:rsid w:val="00DE7FD3"/>
    <w:rsid w:val="00DF4D55"/>
    <w:rsid w:val="00DF5B1B"/>
    <w:rsid w:val="00DF72DA"/>
    <w:rsid w:val="00E004E6"/>
    <w:rsid w:val="00E03070"/>
    <w:rsid w:val="00E035CC"/>
    <w:rsid w:val="00E07235"/>
    <w:rsid w:val="00E110DD"/>
    <w:rsid w:val="00E1314B"/>
    <w:rsid w:val="00E1AF89"/>
    <w:rsid w:val="00E206E6"/>
    <w:rsid w:val="00E226B3"/>
    <w:rsid w:val="00E2432E"/>
    <w:rsid w:val="00E259A8"/>
    <w:rsid w:val="00E25DD4"/>
    <w:rsid w:val="00E274B6"/>
    <w:rsid w:val="00E27D84"/>
    <w:rsid w:val="00E29E84"/>
    <w:rsid w:val="00E31EF6"/>
    <w:rsid w:val="00E32EED"/>
    <w:rsid w:val="00E33156"/>
    <w:rsid w:val="00E338FB"/>
    <w:rsid w:val="00E33C9F"/>
    <w:rsid w:val="00E34702"/>
    <w:rsid w:val="00E3532C"/>
    <w:rsid w:val="00E409A7"/>
    <w:rsid w:val="00E4146C"/>
    <w:rsid w:val="00E41FF1"/>
    <w:rsid w:val="00E45CD9"/>
    <w:rsid w:val="00E4703F"/>
    <w:rsid w:val="00E50FAD"/>
    <w:rsid w:val="00E5243A"/>
    <w:rsid w:val="00E53739"/>
    <w:rsid w:val="00E5380D"/>
    <w:rsid w:val="00E53B16"/>
    <w:rsid w:val="00E57B74"/>
    <w:rsid w:val="00E5F1A8"/>
    <w:rsid w:val="00E61750"/>
    <w:rsid w:val="00E61E28"/>
    <w:rsid w:val="00E62BB7"/>
    <w:rsid w:val="00E632E4"/>
    <w:rsid w:val="00E63F25"/>
    <w:rsid w:val="00E65806"/>
    <w:rsid w:val="00E66717"/>
    <w:rsid w:val="00E74526"/>
    <w:rsid w:val="00E80345"/>
    <w:rsid w:val="00E82818"/>
    <w:rsid w:val="00E828ED"/>
    <w:rsid w:val="00E8598D"/>
    <w:rsid w:val="00E86605"/>
    <w:rsid w:val="00E86C8B"/>
    <w:rsid w:val="00E86FB9"/>
    <w:rsid w:val="00E87084"/>
    <w:rsid w:val="00E87BDC"/>
    <w:rsid w:val="00E902E8"/>
    <w:rsid w:val="00E90694"/>
    <w:rsid w:val="00E9135C"/>
    <w:rsid w:val="00E92A47"/>
    <w:rsid w:val="00E9439D"/>
    <w:rsid w:val="00E94423"/>
    <w:rsid w:val="00E979AB"/>
    <w:rsid w:val="00EA0347"/>
    <w:rsid w:val="00EA23AC"/>
    <w:rsid w:val="00EA282E"/>
    <w:rsid w:val="00EA3175"/>
    <w:rsid w:val="00EA3E47"/>
    <w:rsid w:val="00EA601E"/>
    <w:rsid w:val="00EA783C"/>
    <w:rsid w:val="00EB03A9"/>
    <w:rsid w:val="00EB10DE"/>
    <w:rsid w:val="00EB116C"/>
    <w:rsid w:val="00EB1FCC"/>
    <w:rsid w:val="00EB30D3"/>
    <w:rsid w:val="00EB3854"/>
    <w:rsid w:val="00EB51B2"/>
    <w:rsid w:val="00EB5A43"/>
    <w:rsid w:val="00EB5CE2"/>
    <w:rsid w:val="00EB5F01"/>
    <w:rsid w:val="00EB65E7"/>
    <w:rsid w:val="00EB78A8"/>
    <w:rsid w:val="00EB78FA"/>
    <w:rsid w:val="00EC0E98"/>
    <w:rsid w:val="00EC39BC"/>
    <w:rsid w:val="00EC42D0"/>
    <w:rsid w:val="00ED1BB6"/>
    <w:rsid w:val="00ED2B40"/>
    <w:rsid w:val="00ED2CB7"/>
    <w:rsid w:val="00ED5788"/>
    <w:rsid w:val="00ED58F9"/>
    <w:rsid w:val="00ED5D74"/>
    <w:rsid w:val="00EE05BE"/>
    <w:rsid w:val="00EE06CA"/>
    <w:rsid w:val="00EE140B"/>
    <w:rsid w:val="00EE1DF0"/>
    <w:rsid w:val="00EE5F93"/>
    <w:rsid w:val="00EE673A"/>
    <w:rsid w:val="00EF1325"/>
    <w:rsid w:val="00EF1629"/>
    <w:rsid w:val="00EF1640"/>
    <w:rsid w:val="00EF16D8"/>
    <w:rsid w:val="00EF2B0F"/>
    <w:rsid w:val="00EF3B56"/>
    <w:rsid w:val="00EF54CB"/>
    <w:rsid w:val="00EF550B"/>
    <w:rsid w:val="00EF6D73"/>
    <w:rsid w:val="00EF6DB3"/>
    <w:rsid w:val="00F003FC"/>
    <w:rsid w:val="00F00A25"/>
    <w:rsid w:val="00F01358"/>
    <w:rsid w:val="00F03094"/>
    <w:rsid w:val="00F03CAA"/>
    <w:rsid w:val="00F05DD4"/>
    <w:rsid w:val="00F0749D"/>
    <w:rsid w:val="00F10C94"/>
    <w:rsid w:val="00F10ECA"/>
    <w:rsid w:val="00F12B09"/>
    <w:rsid w:val="00F1359D"/>
    <w:rsid w:val="00F1410B"/>
    <w:rsid w:val="00F152DC"/>
    <w:rsid w:val="00F155C5"/>
    <w:rsid w:val="00F16804"/>
    <w:rsid w:val="00F222F2"/>
    <w:rsid w:val="00F23746"/>
    <w:rsid w:val="00F25323"/>
    <w:rsid w:val="00F26B4C"/>
    <w:rsid w:val="00F27088"/>
    <w:rsid w:val="00F3143D"/>
    <w:rsid w:val="00F33082"/>
    <w:rsid w:val="00F3332B"/>
    <w:rsid w:val="00F3407F"/>
    <w:rsid w:val="00F34198"/>
    <w:rsid w:val="00F352C2"/>
    <w:rsid w:val="00F364F0"/>
    <w:rsid w:val="00F36FE5"/>
    <w:rsid w:val="00F401D2"/>
    <w:rsid w:val="00F40F79"/>
    <w:rsid w:val="00F41C94"/>
    <w:rsid w:val="00F41F4C"/>
    <w:rsid w:val="00F44048"/>
    <w:rsid w:val="00F44C80"/>
    <w:rsid w:val="00F452EF"/>
    <w:rsid w:val="00F461FE"/>
    <w:rsid w:val="00F47629"/>
    <w:rsid w:val="00F50875"/>
    <w:rsid w:val="00F5305D"/>
    <w:rsid w:val="00F53324"/>
    <w:rsid w:val="00F547E5"/>
    <w:rsid w:val="00F5711E"/>
    <w:rsid w:val="00F576B4"/>
    <w:rsid w:val="00F57C99"/>
    <w:rsid w:val="00F5E2B0"/>
    <w:rsid w:val="00F61F29"/>
    <w:rsid w:val="00F62191"/>
    <w:rsid w:val="00F64330"/>
    <w:rsid w:val="00F644BF"/>
    <w:rsid w:val="00F703F3"/>
    <w:rsid w:val="00F71640"/>
    <w:rsid w:val="00F724F6"/>
    <w:rsid w:val="00F73C5F"/>
    <w:rsid w:val="00F756F9"/>
    <w:rsid w:val="00F759F0"/>
    <w:rsid w:val="00F75A95"/>
    <w:rsid w:val="00F77BE1"/>
    <w:rsid w:val="00F81A61"/>
    <w:rsid w:val="00F82E8E"/>
    <w:rsid w:val="00F83E92"/>
    <w:rsid w:val="00F858B5"/>
    <w:rsid w:val="00F97BDC"/>
    <w:rsid w:val="00FA1E28"/>
    <w:rsid w:val="00FA2380"/>
    <w:rsid w:val="00FA3093"/>
    <w:rsid w:val="00FA3261"/>
    <w:rsid w:val="00FA4466"/>
    <w:rsid w:val="00FA4D8F"/>
    <w:rsid w:val="00FA50C2"/>
    <w:rsid w:val="00FA57E3"/>
    <w:rsid w:val="00FA71A0"/>
    <w:rsid w:val="00FB26BC"/>
    <w:rsid w:val="00FB4251"/>
    <w:rsid w:val="00FB5222"/>
    <w:rsid w:val="00FB6550"/>
    <w:rsid w:val="00FC0E7E"/>
    <w:rsid w:val="00FC2396"/>
    <w:rsid w:val="00FC3686"/>
    <w:rsid w:val="00FC434B"/>
    <w:rsid w:val="00FC6082"/>
    <w:rsid w:val="00FC6A8B"/>
    <w:rsid w:val="00FD0AB6"/>
    <w:rsid w:val="00FD0BD8"/>
    <w:rsid w:val="00FD157A"/>
    <w:rsid w:val="00FD2B4D"/>
    <w:rsid w:val="00FD3E1B"/>
    <w:rsid w:val="00FE0ABE"/>
    <w:rsid w:val="00FE33B8"/>
    <w:rsid w:val="00FE3AD5"/>
    <w:rsid w:val="00FE405A"/>
    <w:rsid w:val="00FE5014"/>
    <w:rsid w:val="00FE7545"/>
    <w:rsid w:val="00FF409B"/>
    <w:rsid w:val="00FF5E68"/>
    <w:rsid w:val="00FF627D"/>
    <w:rsid w:val="01033B93"/>
    <w:rsid w:val="010441B4"/>
    <w:rsid w:val="010FE29C"/>
    <w:rsid w:val="0110C8D0"/>
    <w:rsid w:val="01272414"/>
    <w:rsid w:val="012FD761"/>
    <w:rsid w:val="01330338"/>
    <w:rsid w:val="0135CAEA"/>
    <w:rsid w:val="013D9012"/>
    <w:rsid w:val="013E7E54"/>
    <w:rsid w:val="013EFE2E"/>
    <w:rsid w:val="014AB3C5"/>
    <w:rsid w:val="01599BB3"/>
    <w:rsid w:val="015F62CC"/>
    <w:rsid w:val="016023E8"/>
    <w:rsid w:val="01714EF5"/>
    <w:rsid w:val="01718F9F"/>
    <w:rsid w:val="0172D224"/>
    <w:rsid w:val="017598B8"/>
    <w:rsid w:val="0183F728"/>
    <w:rsid w:val="018A9AF1"/>
    <w:rsid w:val="01A11FB8"/>
    <w:rsid w:val="01AB4901"/>
    <w:rsid w:val="01AB94B7"/>
    <w:rsid w:val="01B216D5"/>
    <w:rsid w:val="01BA6172"/>
    <w:rsid w:val="01C612B7"/>
    <w:rsid w:val="01C699EF"/>
    <w:rsid w:val="01CB11E6"/>
    <w:rsid w:val="01D42631"/>
    <w:rsid w:val="01E3EB98"/>
    <w:rsid w:val="01E70D2F"/>
    <w:rsid w:val="01EFDA0E"/>
    <w:rsid w:val="01FA8DBF"/>
    <w:rsid w:val="0209AB15"/>
    <w:rsid w:val="021177C5"/>
    <w:rsid w:val="0216F2DC"/>
    <w:rsid w:val="021C9A3E"/>
    <w:rsid w:val="022609AE"/>
    <w:rsid w:val="024EC49B"/>
    <w:rsid w:val="0250B45C"/>
    <w:rsid w:val="0251856F"/>
    <w:rsid w:val="025397A6"/>
    <w:rsid w:val="025A89ED"/>
    <w:rsid w:val="025B0308"/>
    <w:rsid w:val="0260C715"/>
    <w:rsid w:val="02610531"/>
    <w:rsid w:val="0269BFEB"/>
    <w:rsid w:val="0273B498"/>
    <w:rsid w:val="02861C44"/>
    <w:rsid w:val="0289D4CE"/>
    <w:rsid w:val="028EEC04"/>
    <w:rsid w:val="0291253B"/>
    <w:rsid w:val="02AA0D10"/>
    <w:rsid w:val="02B02863"/>
    <w:rsid w:val="02B37BBB"/>
    <w:rsid w:val="02B7E2AE"/>
    <w:rsid w:val="02D4CCA1"/>
    <w:rsid w:val="02F61F94"/>
    <w:rsid w:val="02F69B51"/>
    <w:rsid w:val="0304F8A3"/>
    <w:rsid w:val="030C148E"/>
    <w:rsid w:val="030C7DDB"/>
    <w:rsid w:val="03108F2E"/>
    <w:rsid w:val="031300DE"/>
    <w:rsid w:val="031C3349"/>
    <w:rsid w:val="03219DAA"/>
    <w:rsid w:val="032CBFED"/>
    <w:rsid w:val="032DF105"/>
    <w:rsid w:val="033A688D"/>
    <w:rsid w:val="03464FB4"/>
    <w:rsid w:val="03471962"/>
    <w:rsid w:val="034A9543"/>
    <w:rsid w:val="0350D686"/>
    <w:rsid w:val="035F23A2"/>
    <w:rsid w:val="035F71A0"/>
    <w:rsid w:val="0362A90F"/>
    <w:rsid w:val="0362D175"/>
    <w:rsid w:val="0377F609"/>
    <w:rsid w:val="037926D2"/>
    <w:rsid w:val="037CC477"/>
    <w:rsid w:val="037DB635"/>
    <w:rsid w:val="0381CC18"/>
    <w:rsid w:val="03A5751C"/>
    <w:rsid w:val="03B56C23"/>
    <w:rsid w:val="03B63AB0"/>
    <w:rsid w:val="03B791CD"/>
    <w:rsid w:val="03B9DB6E"/>
    <w:rsid w:val="03C1F314"/>
    <w:rsid w:val="03C5292D"/>
    <w:rsid w:val="03C9621A"/>
    <w:rsid w:val="03CC8ADE"/>
    <w:rsid w:val="03CE080C"/>
    <w:rsid w:val="03D12020"/>
    <w:rsid w:val="03D1905A"/>
    <w:rsid w:val="03D4DFBC"/>
    <w:rsid w:val="03F39922"/>
    <w:rsid w:val="03F8EF29"/>
    <w:rsid w:val="03FC9776"/>
    <w:rsid w:val="04034C00"/>
    <w:rsid w:val="0405D7D1"/>
    <w:rsid w:val="040DF512"/>
    <w:rsid w:val="0411D0C2"/>
    <w:rsid w:val="04146785"/>
    <w:rsid w:val="041F002E"/>
    <w:rsid w:val="0420B2CC"/>
    <w:rsid w:val="0425A52F"/>
    <w:rsid w:val="04351C98"/>
    <w:rsid w:val="043C0876"/>
    <w:rsid w:val="045FD7DF"/>
    <w:rsid w:val="046338C2"/>
    <w:rsid w:val="0468FF39"/>
    <w:rsid w:val="04696793"/>
    <w:rsid w:val="047E30ED"/>
    <w:rsid w:val="04802898"/>
    <w:rsid w:val="0481ED8B"/>
    <w:rsid w:val="048368AA"/>
    <w:rsid w:val="04954917"/>
    <w:rsid w:val="049AE069"/>
    <w:rsid w:val="049DF94F"/>
    <w:rsid w:val="04A4A2AD"/>
    <w:rsid w:val="04A5DB0B"/>
    <w:rsid w:val="04A79524"/>
    <w:rsid w:val="04ADABE2"/>
    <w:rsid w:val="04C6C3ED"/>
    <w:rsid w:val="04C9C166"/>
    <w:rsid w:val="04D36C79"/>
    <w:rsid w:val="04DC2EDD"/>
    <w:rsid w:val="04DEAF58"/>
    <w:rsid w:val="04E0CF50"/>
    <w:rsid w:val="04E1EFDA"/>
    <w:rsid w:val="04E785CA"/>
    <w:rsid w:val="04EAFE87"/>
    <w:rsid w:val="04F07DB4"/>
    <w:rsid w:val="04F432E2"/>
    <w:rsid w:val="04F89DEF"/>
    <w:rsid w:val="04F9A04B"/>
    <w:rsid w:val="04FF9A96"/>
    <w:rsid w:val="0504C499"/>
    <w:rsid w:val="0508F853"/>
    <w:rsid w:val="052FD438"/>
    <w:rsid w:val="05308E0B"/>
    <w:rsid w:val="0536E652"/>
    <w:rsid w:val="053DFC5C"/>
    <w:rsid w:val="053F2B68"/>
    <w:rsid w:val="05413D86"/>
    <w:rsid w:val="0541D8DF"/>
    <w:rsid w:val="0541E0A6"/>
    <w:rsid w:val="054C1D6F"/>
    <w:rsid w:val="0551B967"/>
    <w:rsid w:val="0553FACF"/>
    <w:rsid w:val="05639290"/>
    <w:rsid w:val="056478EE"/>
    <w:rsid w:val="05734C9F"/>
    <w:rsid w:val="05736548"/>
    <w:rsid w:val="05775D5D"/>
    <w:rsid w:val="0586D24F"/>
    <w:rsid w:val="0591CBFE"/>
    <w:rsid w:val="0598A5F3"/>
    <w:rsid w:val="059E6DC7"/>
    <w:rsid w:val="05A32582"/>
    <w:rsid w:val="05B8BF30"/>
    <w:rsid w:val="05CB63D9"/>
    <w:rsid w:val="05D02379"/>
    <w:rsid w:val="05D04E7A"/>
    <w:rsid w:val="05DA3DC5"/>
    <w:rsid w:val="05F77B7F"/>
    <w:rsid w:val="06001BC2"/>
    <w:rsid w:val="0603E840"/>
    <w:rsid w:val="0606C793"/>
    <w:rsid w:val="060E70E1"/>
    <w:rsid w:val="06158C4A"/>
    <w:rsid w:val="061C648C"/>
    <w:rsid w:val="06216DA1"/>
    <w:rsid w:val="0629A7E1"/>
    <w:rsid w:val="062C7AA6"/>
    <w:rsid w:val="0635D56E"/>
    <w:rsid w:val="0636B0CA"/>
    <w:rsid w:val="0646B71F"/>
    <w:rsid w:val="06497D7D"/>
    <w:rsid w:val="06499F0D"/>
    <w:rsid w:val="066591C7"/>
    <w:rsid w:val="06682193"/>
    <w:rsid w:val="06749905"/>
    <w:rsid w:val="06779DA2"/>
    <w:rsid w:val="067B163B"/>
    <w:rsid w:val="067E8253"/>
    <w:rsid w:val="0691C5BB"/>
    <w:rsid w:val="06A0CF52"/>
    <w:rsid w:val="06A26CA6"/>
    <w:rsid w:val="06A39A09"/>
    <w:rsid w:val="06A84689"/>
    <w:rsid w:val="06B94DB2"/>
    <w:rsid w:val="06C6330D"/>
    <w:rsid w:val="06C732B4"/>
    <w:rsid w:val="06C7F51C"/>
    <w:rsid w:val="06D9D39F"/>
    <w:rsid w:val="06DC903A"/>
    <w:rsid w:val="06DD3335"/>
    <w:rsid w:val="06F791B3"/>
    <w:rsid w:val="0703A0F0"/>
    <w:rsid w:val="07050FD4"/>
    <w:rsid w:val="071D0D88"/>
    <w:rsid w:val="071FF220"/>
    <w:rsid w:val="072785AD"/>
    <w:rsid w:val="072D6689"/>
    <w:rsid w:val="072EDC56"/>
    <w:rsid w:val="072F062C"/>
    <w:rsid w:val="072FD26A"/>
    <w:rsid w:val="07358E57"/>
    <w:rsid w:val="073BE399"/>
    <w:rsid w:val="074A7B7E"/>
    <w:rsid w:val="07591B84"/>
    <w:rsid w:val="07597BF8"/>
    <w:rsid w:val="075B87E1"/>
    <w:rsid w:val="076164FE"/>
    <w:rsid w:val="0764C4D5"/>
    <w:rsid w:val="07682C87"/>
    <w:rsid w:val="0779AC72"/>
    <w:rsid w:val="0784FC0E"/>
    <w:rsid w:val="07861C85"/>
    <w:rsid w:val="079A766E"/>
    <w:rsid w:val="07A1379A"/>
    <w:rsid w:val="07A1B9B1"/>
    <w:rsid w:val="07A50C6E"/>
    <w:rsid w:val="07B20134"/>
    <w:rsid w:val="07BBC929"/>
    <w:rsid w:val="07C2539B"/>
    <w:rsid w:val="07D17684"/>
    <w:rsid w:val="07D623CA"/>
    <w:rsid w:val="07DF85B1"/>
    <w:rsid w:val="07DFF3B2"/>
    <w:rsid w:val="07E4B989"/>
    <w:rsid w:val="07EBFE12"/>
    <w:rsid w:val="07F57A6F"/>
    <w:rsid w:val="07F97B3E"/>
    <w:rsid w:val="07FA4F7D"/>
    <w:rsid w:val="08048C56"/>
    <w:rsid w:val="081AB1C3"/>
    <w:rsid w:val="081D8079"/>
    <w:rsid w:val="083045E2"/>
    <w:rsid w:val="0831326A"/>
    <w:rsid w:val="083402CD"/>
    <w:rsid w:val="0847E216"/>
    <w:rsid w:val="085BF387"/>
    <w:rsid w:val="086D2714"/>
    <w:rsid w:val="086FBBE0"/>
    <w:rsid w:val="0873F86C"/>
    <w:rsid w:val="0877395D"/>
    <w:rsid w:val="087D58C3"/>
    <w:rsid w:val="0880DFAE"/>
    <w:rsid w:val="08834BE3"/>
    <w:rsid w:val="089AA54A"/>
    <w:rsid w:val="08C33F44"/>
    <w:rsid w:val="08C69C7C"/>
    <w:rsid w:val="08C69CC6"/>
    <w:rsid w:val="08CC4092"/>
    <w:rsid w:val="08CC6C0F"/>
    <w:rsid w:val="08CEA978"/>
    <w:rsid w:val="08D948F4"/>
    <w:rsid w:val="08DBCE98"/>
    <w:rsid w:val="08E31BFD"/>
    <w:rsid w:val="0904DFBF"/>
    <w:rsid w:val="090994E2"/>
    <w:rsid w:val="091085AA"/>
    <w:rsid w:val="091A2974"/>
    <w:rsid w:val="0928251E"/>
    <w:rsid w:val="092FE454"/>
    <w:rsid w:val="0939D7D9"/>
    <w:rsid w:val="09456B20"/>
    <w:rsid w:val="094816DE"/>
    <w:rsid w:val="0955CD9D"/>
    <w:rsid w:val="096148A3"/>
    <w:rsid w:val="09636546"/>
    <w:rsid w:val="096804AA"/>
    <w:rsid w:val="096B7EEE"/>
    <w:rsid w:val="096CA3C2"/>
    <w:rsid w:val="09710742"/>
    <w:rsid w:val="0974BD91"/>
    <w:rsid w:val="09762541"/>
    <w:rsid w:val="098121DE"/>
    <w:rsid w:val="0981D970"/>
    <w:rsid w:val="09857874"/>
    <w:rsid w:val="0993877F"/>
    <w:rsid w:val="099632F1"/>
    <w:rsid w:val="099AA2BC"/>
    <w:rsid w:val="09AC14E7"/>
    <w:rsid w:val="09D37871"/>
    <w:rsid w:val="09EB7C80"/>
    <w:rsid w:val="09EE098F"/>
    <w:rsid w:val="09FCE6CB"/>
    <w:rsid w:val="09FDAC6F"/>
    <w:rsid w:val="0A08F775"/>
    <w:rsid w:val="0A0F4750"/>
    <w:rsid w:val="0A1D41D9"/>
    <w:rsid w:val="0A240939"/>
    <w:rsid w:val="0A2510E4"/>
    <w:rsid w:val="0A2BAB5E"/>
    <w:rsid w:val="0A42E0FA"/>
    <w:rsid w:val="0A479D4E"/>
    <w:rsid w:val="0A5181F9"/>
    <w:rsid w:val="0A5280C3"/>
    <w:rsid w:val="0A5B1269"/>
    <w:rsid w:val="0A62F550"/>
    <w:rsid w:val="0A665DA1"/>
    <w:rsid w:val="0A667D18"/>
    <w:rsid w:val="0A6866CE"/>
    <w:rsid w:val="0A79088B"/>
    <w:rsid w:val="0A82F83F"/>
    <w:rsid w:val="0A8AAF10"/>
    <w:rsid w:val="0AA4A6DB"/>
    <w:rsid w:val="0AAA1DD9"/>
    <w:rsid w:val="0AC18392"/>
    <w:rsid w:val="0AC6A285"/>
    <w:rsid w:val="0ACFCBF3"/>
    <w:rsid w:val="0AE85098"/>
    <w:rsid w:val="0AECD771"/>
    <w:rsid w:val="0AEF825C"/>
    <w:rsid w:val="0AF0955F"/>
    <w:rsid w:val="0AF0B25A"/>
    <w:rsid w:val="0AF369EB"/>
    <w:rsid w:val="0AF943F3"/>
    <w:rsid w:val="0AF9DAE5"/>
    <w:rsid w:val="0B16DA8D"/>
    <w:rsid w:val="0B1A7410"/>
    <w:rsid w:val="0B1A9644"/>
    <w:rsid w:val="0B1B0C03"/>
    <w:rsid w:val="0B213F16"/>
    <w:rsid w:val="0B2658EF"/>
    <w:rsid w:val="0B2ED9A1"/>
    <w:rsid w:val="0B44C9A4"/>
    <w:rsid w:val="0B4B6972"/>
    <w:rsid w:val="0B54BAFD"/>
    <w:rsid w:val="0B5BB15C"/>
    <w:rsid w:val="0B5F47F5"/>
    <w:rsid w:val="0B630CCA"/>
    <w:rsid w:val="0B645359"/>
    <w:rsid w:val="0B6D8BB2"/>
    <w:rsid w:val="0B73282F"/>
    <w:rsid w:val="0B7AE9A7"/>
    <w:rsid w:val="0B7FD7D6"/>
    <w:rsid w:val="0B896BA9"/>
    <w:rsid w:val="0B8FFBD8"/>
    <w:rsid w:val="0B95C32F"/>
    <w:rsid w:val="0B9E18F3"/>
    <w:rsid w:val="0B9FEA94"/>
    <w:rsid w:val="0BA7CDF7"/>
    <w:rsid w:val="0BA94659"/>
    <w:rsid w:val="0BAB17B1"/>
    <w:rsid w:val="0BB1D4F8"/>
    <w:rsid w:val="0BB717B7"/>
    <w:rsid w:val="0BC3733F"/>
    <w:rsid w:val="0BD804AA"/>
    <w:rsid w:val="0BDCEE06"/>
    <w:rsid w:val="0BDFE7C5"/>
    <w:rsid w:val="0BE619F1"/>
    <w:rsid w:val="0BE6508F"/>
    <w:rsid w:val="0BE82523"/>
    <w:rsid w:val="0BF501F0"/>
    <w:rsid w:val="0BFD24AB"/>
    <w:rsid w:val="0C199E7F"/>
    <w:rsid w:val="0C1B5F9A"/>
    <w:rsid w:val="0C28128D"/>
    <w:rsid w:val="0C28E0B5"/>
    <w:rsid w:val="0C30F98F"/>
    <w:rsid w:val="0C34E4F6"/>
    <w:rsid w:val="0C40906A"/>
    <w:rsid w:val="0C47C6D8"/>
    <w:rsid w:val="0C4D7044"/>
    <w:rsid w:val="0C502BD2"/>
    <w:rsid w:val="0C523120"/>
    <w:rsid w:val="0C52BBBD"/>
    <w:rsid w:val="0C53EF0C"/>
    <w:rsid w:val="0C588686"/>
    <w:rsid w:val="0C5A2098"/>
    <w:rsid w:val="0C5E3448"/>
    <w:rsid w:val="0C666805"/>
    <w:rsid w:val="0C6769A3"/>
    <w:rsid w:val="0C692CA8"/>
    <w:rsid w:val="0C711836"/>
    <w:rsid w:val="0C833394"/>
    <w:rsid w:val="0C8F4ABA"/>
    <w:rsid w:val="0C96B038"/>
    <w:rsid w:val="0C97CAFE"/>
    <w:rsid w:val="0C9ABF4C"/>
    <w:rsid w:val="0CB051E6"/>
    <w:rsid w:val="0CB628BE"/>
    <w:rsid w:val="0CBC2A6B"/>
    <w:rsid w:val="0CC14ACD"/>
    <w:rsid w:val="0CC624DA"/>
    <w:rsid w:val="0CC8CA07"/>
    <w:rsid w:val="0CC95BE6"/>
    <w:rsid w:val="0CCA3A8C"/>
    <w:rsid w:val="0CCEFCC5"/>
    <w:rsid w:val="0CD3B494"/>
    <w:rsid w:val="0CE1F0E4"/>
    <w:rsid w:val="0CEB6D6A"/>
    <w:rsid w:val="0CFA986C"/>
    <w:rsid w:val="0CFDB2C1"/>
    <w:rsid w:val="0D0543C2"/>
    <w:rsid w:val="0D104165"/>
    <w:rsid w:val="0D11F860"/>
    <w:rsid w:val="0D13A6D9"/>
    <w:rsid w:val="0D302329"/>
    <w:rsid w:val="0D32EE6C"/>
    <w:rsid w:val="0D3E01B2"/>
    <w:rsid w:val="0D42A3FB"/>
    <w:rsid w:val="0D444E38"/>
    <w:rsid w:val="0D466CC5"/>
    <w:rsid w:val="0D46E812"/>
    <w:rsid w:val="0D49F50F"/>
    <w:rsid w:val="0D4F464F"/>
    <w:rsid w:val="0D56260F"/>
    <w:rsid w:val="0D569F74"/>
    <w:rsid w:val="0D6727A6"/>
    <w:rsid w:val="0D6946E5"/>
    <w:rsid w:val="0D6A7DBE"/>
    <w:rsid w:val="0D741E82"/>
    <w:rsid w:val="0D7A81BC"/>
    <w:rsid w:val="0D7F313A"/>
    <w:rsid w:val="0D8135E4"/>
    <w:rsid w:val="0D826F42"/>
    <w:rsid w:val="0D8E3FB5"/>
    <w:rsid w:val="0D9113A2"/>
    <w:rsid w:val="0D9B8C36"/>
    <w:rsid w:val="0D9E0835"/>
    <w:rsid w:val="0D9E1DDA"/>
    <w:rsid w:val="0DACBA17"/>
    <w:rsid w:val="0DAF3761"/>
    <w:rsid w:val="0DC12227"/>
    <w:rsid w:val="0DD2E5EE"/>
    <w:rsid w:val="0DD4D596"/>
    <w:rsid w:val="0DE41034"/>
    <w:rsid w:val="0DE5122B"/>
    <w:rsid w:val="0DEC8AE3"/>
    <w:rsid w:val="0DED002A"/>
    <w:rsid w:val="0DF5CF11"/>
    <w:rsid w:val="0DFBA163"/>
    <w:rsid w:val="0E00A81F"/>
    <w:rsid w:val="0E265686"/>
    <w:rsid w:val="0E2C65E4"/>
    <w:rsid w:val="0E38D23B"/>
    <w:rsid w:val="0E3A30A0"/>
    <w:rsid w:val="0E701D6F"/>
    <w:rsid w:val="0E7625EF"/>
    <w:rsid w:val="0E7EC911"/>
    <w:rsid w:val="0E90CFA0"/>
    <w:rsid w:val="0E958AC6"/>
    <w:rsid w:val="0E988F84"/>
    <w:rsid w:val="0E98FBC1"/>
    <w:rsid w:val="0EBA2544"/>
    <w:rsid w:val="0EBBB179"/>
    <w:rsid w:val="0EC048B5"/>
    <w:rsid w:val="0EC1269E"/>
    <w:rsid w:val="0ECE5EC1"/>
    <w:rsid w:val="0EDC9E7E"/>
    <w:rsid w:val="0EE2B873"/>
    <w:rsid w:val="0EE63E34"/>
    <w:rsid w:val="0EE76BAE"/>
    <w:rsid w:val="0EE7D522"/>
    <w:rsid w:val="0EE8F5B6"/>
    <w:rsid w:val="0EF0E2D5"/>
    <w:rsid w:val="0EF6D085"/>
    <w:rsid w:val="0EFD7EFF"/>
    <w:rsid w:val="0F07B801"/>
    <w:rsid w:val="0F0811D5"/>
    <w:rsid w:val="0F124896"/>
    <w:rsid w:val="0F148EC8"/>
    <w:rsid w:val="0F19FA98"/>
    <w:rsid w:val="0F1ECDA0"/>
    <w:rsid w:val="0F1F9883"/>
    <w:rsid w:val="0F34A448"/>
    <w:rsid w:val="0F36F2EE"/>
    <w:rsid w:val="0F5D9CA5"/>
    <w:rsid w:val="0F617500"/>
    <w:rsid w:val="0F67324F"/>
    <w:rsid w:val="0F70FFAD"/>
    <w:rsid w:val="0F77D734"/>
    <w:rsid w:val="0F784B2E"/>
    <w:rsid w:val="0F7B337E"/>
    <w:rsid w:val="0F7C5A77"/>
    <w:rsid w:val="0F7ED07D"/>
    <w:rsid w:val="0F82ADF5"/>
    <w:rsid w:val="0F87D739"/>
    <w:rsid w:val="0F905C26"/>
    <w:rsid w:val="0F97FB79"/>
    <w:rsid w:val="0FA07279"/>
    <w:rsid w:val="0FA4B32D"/>
    <w:rsid w:val="0FA985CE"/>
    <w:rsid w:val="0FB574E2"/>
    <w:rsid w:val="0FC36F59"/>
    <w:rsid w:val="0FCB98FA"/>
    <w:rsid w:val="0FD4A29C"/>
    <w:rsid w:val="0FE05012"/>
    <w:rsid w:val="0FEC1E96"/>
    <w:rsid w:val="0FEE21B3"/>
    <w:rsid w:val="0FF03B0C"/>
    <w:rsid w:val="0FF2CD5A"/>
    <w:rsid w:val="0FF8CDF3"/>
    <w:rsid w:val="0FF9381F"/>
    <w:rsid w:val="0FFE3DB9"/>
    <w:rsid w:val="1000BC56"/>
    <w:rsid w:val="1004105A"/>
    <w:rsid w:val="1008D50D"/>
    <w:rsid w:val="1021BDEA"/>
    <w:rsid w:val="10264CF4"/>
    <w:rsid w:val="10288D76"/>
    <w:rsid w:val="102A1D76"/>
    <w:rsid w:val="102B424F"/>
    <w:rsid w:val="1035FEE8"/>
    <w:rsid w:val="10381AA7"/>
    <w:rsid w:val="1038CF73"/>
    <w:rsid w:val="103DF008"/>
    <w:rsid w:val="104452C5"/>
    <w:rsid w:val="106210D2"/>
    <w:rsid w:val="106DE685"/>
    <w:rsid w:val="10709142"/>
    <w:rsid w:val="107ACCAC"/>
    <w:rsid w:val="107CDAC5"/>
    <w:rsid w:val="10837D29"/>
    <w:rsid w:val="1093A087"/>
    <w:rsid w:val="10994F60"/>
    <w:rsid w:val="1099E7E7"/>
    <w:rsid w:val="1099F27F"/>
    <w:rsid w:val="109EAA2A"/>
    <w:rsid w:val="10A284A7"/>
    <w:rsid w:val="10A4F464"/>
    <w:rsid w:val="10A76B6F"/>
    <w:rsid w:val="10A8A891"/>
    <w:rsid w:val="10B61114"/>
    <w:rsid w:val="10B8B960"/>
    <w:rsid w:val="10C12C6F"/>
    <w:rsid w:val="10C16D0A"/>
    <w:rsid w:val="10C2E27A"/>
    <w:rsid w:val="10C3CD8F"/>
    <w:rsid w:val="10D4C993"/>
    <w:rsid w:val="10D5BE9C"/>
    <w:rsid w:val="10DEC663"/>
    <w:rsid w:val="10E24CF6"/>
    <w:rsid w:val="10ECF9C1"/>
    <w:rsid w:val="11066483"/>
    <w:rsid w:val="11100898"/>
    <w:rsid w:val="111A0EA6"/>
    <w:rsid w:val="111F866B"/>
    <w:rsid w:val="111FFFE5"/>
    <w:rsid w:val="1128CCF8"/>
    <w:rsid w:val="112910B3"/>
    <w:rsid w:val="112C65E9"/>
    <w:rsid w:val="11333703"/>
    <w:rsid w:val="113693DC"/>
    <w:rsid w:val="1141F555"/>
    <w:rsid w:val="1145E61C"/>
    <w:rsid w:val="1146411A"/>
    <w:rsid w:val="1147506B"/>
    <w:rsid w:val="1156085F"/>
    <w:rsid w:val="1159BC9F"/>
    <w:rsid w:val="115C31D6"/>
    <w:rsid w:val="11622027"/>
    <w:rsid w:val="116303EA"/>
    <w:rsid w:val="116A0E2D"/>
    <w:rsid w:val="117875DD"/>
    <w:rsid w:val="11807AE5"/>
    <w:rsid w:val="118AF9BF"/>
    <w:rsid w:val="11944DA4"/>
    <w:rsid w:val="1196895A"/>
    <w:rsid w:val="119A7E6D"/>
    <w:rsid w:val="119E1B25"/>
    <w:rsid w:val="11A0AD0D"/>
    <w:rsid w:val="11A109AF"/>
    <w:rsid w:val="11A590A4"/>
    <w:rsid w:val="11ACFF41"/>
    <w:rsid w:val="11ADF0BA"/>
    <w:rsid w:val="11B9AD6E"/>
    <w:rsid w:val="11BB7022"/>
    <w:rsid w:val="11C078A3"/>
    <w:rsid w:val="11C2937F"/>
    <w:rsid w:val="11C4CD68"/>
    <w:rsid w:val="11DDBDF8"/>
    <w:rsid w:val="11EC6219"/>
    <w:rsid w:val="11F48D53"/>
    <w:rsid w:val="120D2750"/>
    <w:rsid w:val="1212AA41"/>
    <w:rsid w:val="121665B2"/>
    <w:rsid w:val="121FF4AC"/>
    <w:rsid w:val="1227B60B"/>
    <w:rsid w:val="1231506C"/>
    <w:rsid w:val="12359DC1"/>
    <w:rsid w:val="12369061"/>
    <w:rsid w:val="123DD9CA"/>
    <w:rsid w:val="123E8A3E"/>
    <w:rsid w:val="1252F360"/>
    <w:rsid w:val="125479DD"/>
    <w:rsid w:val="1255E065"/>
    <w:rsid w:val="125720AB"/>
    <w:rsid w:val="125B7F9C"/>
    <w:rsid w:val="1262BB71"/>
    <w:rsid w:val="12789079"/>
    <w:rsid w:val="12802B3A"/>
    <w:rsid w:val="1281853B"/>
    <w:rsid w:val="128948E9"/>
    <w:rsid w:val="128B07AB"/>
    <w:rsid w:val="12906395"/>
    <w:rsid w:val="1293357C"/>
    <w:rsid w:val="12969539"/>
    <w:rsid w:val="12BBD046"/>
    <w:rsid w:val="12BE55F4"/>
    <w:rsid w:val="12C46A12"/>
    <w:rsid w:val="12D86DAF"/>
    <w:rsid w:val="12E320CC"/>
    <w:rsid w:val="12EECCBC"/>
    <w:rsid w:val="12EF09F1"/>
    <w:rsid w:val="12F2F6EA"/>
    <w:rsid w:val="130E1C28"/>
    <w:rsid w:val="130EC403"/>
    <w:rsid w:val="13152462"/>
    <w:rsid w:val="133768F2"/>
    <w:rsid w:val="134CB000"/>
    <w:rsid w:val="13540B86"/>
    <w:rsid w:val="13645541"/>
    <w:rsid w:val="13654DA4"/>
    <w:rsid w:val="137C0B6E"/>
    <w:rsid w:val="137DA29C"/>
    <w:rsid w:val="13890699"/>
    <w:rsid w:val="1393B301"/>
    <w:rsid w:val="1393BEB9"/>
    <w:rsid w:val="13946C22"/>
    <w:rsid w:val="13B69F1D"/>
    <w:rsid w:val="13B6C291"/>
    <w:rsid w:val="13B7992D"/>
    <w:rsid w:val="13D0F022"/>
    <w:rsid w:val="13D359A7"/>
    <w:rsid w:val="13D4C143"/>
    <w:rsid w:val="13D7D793"/>
    <w:rsid w:val="13D7E15A"/>
    <w:rsid w:val="13D98767"/>
    <w:rsid w:val="13F6793E"/>
    <w:rsid w:val="13FAA406"/>
    <w:rsid w:val="140A7A5E"/>
    <w:rsid w:val="140BDF9F"/>
    <w:rsid w:val="14226272"/>
    <w:rsid w:val="142AC05A"/>
    <w:rsid w:val="142C0662"/>
    <w:rsid w:val="142ECCAD"/>
    <w:rsid w:val="1437E260"/>
    <w:rsid w:val="143D6662"/>
    <w:rsid w:val="143FE98D"/>
    <w:rsid w:val="1452D332"/>
    <w:rsid w:val="146110C5"/>
    <w:rsid w:val="146B6C9C"/>
    <w:rsid w:val="146CCB41"/>
    <w:rsid w:val="14745CEE"/>
    <w:rsid w:val="147C8E18"/>
    <w:rsid w:val="14871937"/>
    <w:rsid w:val="148F8668"/>
    <w:rsid w:val="14A02639"/>
    <w:rsid w:val="14A2030C"/>
    <w:rsid w:val="14AAE2D5"/>
    <w:rsid w:val="14AB94FA"/>
    <w:rsid w:val="14B20CA9"/>
    <w:rsid w:val="14B3E4DD"/>
    <w:rsid w:val="14C1788A"/>
    <w:rsid w:val="14C5F5B6"/>
    <w:rsid w:val="14CC0E1D"/>
    <w:rsid w:val="14CC69DB"/>
    <w:rsid w:val="14DB06DD"/>
    <w:rsid w:val="14DCB8AF"/>
    <w:rsid w:val="14DD3166"/>
    <w:rsid w:val="14E8C5B1"/>
    <w:rsid w:val="14FBDAD4"/>
    <w:rsid w:val="150135E7"/>
    <w:rsid w:val="150EA2B5"/>
    <w:rsid w:val="151E41D2"/>
    <w:rsid w:val="152778DD"/>
    <w:rsid w:val="152DF131"/>
    <w:rsid w:val="153820E4"/>
    <w:rsid w:val="153E3F38"/>
    <w:rsid w:val="1548C5B6"/>
    <w:rsid w:val="1555675C"/>
    <w:rsid w:val="1558A3EF"/>
    <w:rsid w:val="15666A9D"/>
    <w:rsid w:val="15739B63"/>
    <w:rsid w:val="1573A723"/>
    <w:rsid w:val="158A50E1"/>
    <w:rsid w:val="158EEF7E"/>
    <w:rsid w:val="15909975"/>
    <w:rsid w:val="159309F0"/>
    <w:rsid w:val="159B519C"/>
    <w:rsid w:val="15A522B1"/>
    <w:rsid w:val="15AE6FEE"/>
    <w:rsid w:val="15AF8C8A"/>
    <w:rsid w:val="15C7D6C3"/>
    <w:rsid w:val="15C9DF89"/>
    <w:rsid w:val="15C9F36E"/>
    <w:rsid w:val="15CD3FAE"/>
    <w:rsid w:val="15F4E0F8"/>
    <w:rsid w:val="15FBB6F2"/>
    <w:rsid w:val="15FE1879"/>
    <w:rsid w:val="16116F4F"/>
    <w:rsid w:val="1622CD47"/>
    <w:rsid w:val="162B5F62"/>
    <w:rsid w:val="162C8929"/>
    <w:rsid w:val="1631D99F"/>
    <w:rsid w:val="16438EDE"/>
    <w:rsid w:val="16440D5E"/>
    <w:rsid w:val="164A8927"/>
    <w:rsid w:val="16540A3D"/>
    <w:rsid w:val="16583970"/>
    <w:rsid w:val="165E1F1B"/>
    <w:rsid w:val="1665152B"/>
    <w:rsid w:val="167A7306"/>
    <w:rsid w:val="1683A317"/>
    <w:rsid w:val="1689D17E"/>
    <w:rsid w:val="168FE49F"/>
    <w:rsid w:val="169B7E76"/>
    <w:rsid w:val="169DFFDA"/>
    <w:rsid w:val="16A2CDBA"/>
    <w:rsid w:val="16B55272"/>
    <w:rsid w:val="16C34988"/>
    <w:rsid w:val="16C5E795"/>
    <w:rsid w:val="16E3B3A6"/>
    <w:rsid w:val="16E5B253"/>
    <w:rsid w:val="16EA35D8"/>
    <w:rsid w:val="16F55A96"/>
    <w:rsid w:val="170A36C6"/>
    <w:rsid w:val="1710292B"/>
    <w:rsid w:val="17284445"/>
    <w:rsid w:val="17323E4F"/>
    <w:rsid w:val="1734B221"/>
    <w:rsid w:val="173E6208"/>
    <w:rsid w:val="174A5C02"/>
    <w:rsid w:val="1750529E"/>
    <w:rsid w:val="17523DA0"/>
    <w:rsid w:val="17614A01"/>
    <w:rsid w:val="176DECB7"/>
    <w:rsid w:val="178C712A"/>
    <w:rsid w:val="17947A7C"/>
    <w:rsid w:val="17978753"/>
    <w:rsid w:val="17996032"/>
    <w:rsid w:val="179F51E2"/>
    <w:rsid w:val="17BE8018"/>
    <w:rsid w:val="17CEDB9C"/>
    <w:rsid w:val="17D77070"/>
    <w:rsid w:val="17E279A9"/>
    <w:rsid w:val="17EB35A5"/>
    <w:rsid w:val="17F05B02"/>
    <w:rsid w:val="17F62D14"/>
    <w:rsid w:val="17F99150"/>
    <w:rsid w:val="17FD66E2"/>
    <w:rsid w:val="18111780"/>
    <w:rsid w:val="18126686"/>
    <w:rsid w:val="1816E39C"/>
    <w:rsid w:val="181FCECE"/>
    <w:rsid w:val="18245E70"/>
    <w:rsid w:val="18273202"/>
    <w:rsid w:val="182E36F3"/>
    <w:rsid w:val="1832A437"/>
    <w:rsid w:val="18371FAB"/>
    <w:rsid w:val="183925CC"/>
    <w:rsid w:val="1849C7C8"/>
    <w:rsid w:val="185653A1"/>
    <w:rsid w:val="185EF339"/>
    <w:rsid w:val="185F02EC"/>
    <w:rsid w:val="18640B26"/>
    <w:rsid w:val="186CFD71"/>
    <w:rsid w:val="186D22B7"/>
    <w:rsid w:val="1872F0A7"/>
    <w:rsid w:val="1883B7CC"/>
    <w:rsid w:val="18888D1A"/>
    <w:rsid w:val="18915AC8"/>
    <w:rsid w:val="1895B5B1"/>
    <w:rsid w:val="18A032D4"/>
    <w:rsid w:val="18A126BA"/>
    <w:rsid w:val="18A425B4"/>
    <w:rsid w:val="18B8A332"/>
    <w:rsid w:val="18C22E87"/>
    <w:rsid w:val="18C6A4EE"/>
    <w:rsid w:val="18CE0A93"/>
    <w:rsid w:val="18DDAF7C"/>
    <w:rsid w:val="18E95236"/>
    <w:rsid w:val="18EB9C9F"/>
    <w:rsid w:val="18ED0CFF"/>
    <w:rsid w:val="18F8D8A2"/>
    <w:rsid w:val="19282A7B"/>
    <w:rsid w:val="19286331"/>
    <w:rsid w:val="192960DD"/>
    <w:rsid w:val="192AD345"/>
    <w:rsid w:val="1933DEDD"/>
    <w:rsid w:val="193BCC63"/>
    <w:rsid w:val="19446E47"/>
    <w:rsid w:val="194735AC"/>
    <w:rsid w:val="195E8248"/>
    <w:rsid w:val="197CE347"/>
    <w:rsid w:val="198B8780"/>
    <w:rsid w:val="199646E6"/>
    <w:rsid w:val="1999A9F3"/>
    <w:rsid w:val="199E8321"/>
    <w:rsid w:val="199F2B03"/>
    <w:rsid w:val="19CCA5EE"/>
    <w:rsid w:val="19D08110"/>
    <w:rsid w:val="19D21CF5"/>
    <w:rsid w:val="19DA121B"/>
    <w:rsid w:val="19E4128B"/>
    <w:rsid w:val="19E55B8E"/>
    <w:rsid w:val="19E71E12"/>
    <w:rsid w:val="19FAEA4A"/>
    <w:rsid w:val="1A0BAF94"/>
    <w:rsid w:val="1A0D313F"/>
    <w:rsid w:val="1A1337BB"/>
    <w:rsid w:val="1A28F802"/>
    <w:rsid w:val="1A39DBC0"/>
    <w:rsid w:val="1A3D30A7"/>
    <w:rsid w:val="1A3EAFB7"/>
    <w:rsid w:val="1A46BCCB"/>
    <w:rsid w:val="1A54B332"/>
    <w:rsid w:val="1A60F24A"/>
    <w:rsid w:val="1A6E5664"/>
    <w:rsid w:val="1A7225BC"/>
    <w:rsid w:val="1A78C651"/>
    <w:rsid w:val="1A7F2D03"/>
    <w:rsid w:val="1A855B0A"/>
    <w:rsid w:val="1A96C3AF"/>
    <w:rsid w:val="1AA845EB"/>
    <w:rsid w:val="1AC36D4D"/>
    <w:rsid w:val="1AC95196"/>
    <w:rsid w:val="1AC97349"/>
    <w:rsid w:val="1ACCD483"/>
    <w:rsid w:val="1AD0A5AB"/>
    <w:rsid w:val="1AD6A00F"/>
    <w:rsid w:val="1AEA80F2"/>
    <w:rsid w:val="1AF92037"/>
    <w:rsid w:val="1AFD9784"/>
    <w:rsid w:val="1B0E7763"/>
    <w:rsid w:val="1B111ECD"/>
    <w:rsid w:val="1B1A4469"/>
    <w:rsid w:val="1B1DE148"/>
    <w:rsid w:val="1B3435BC"/>
    <w:rsid w:val="1B3537C3"/>
    <w:rsid w:val="1B435554"/>
    <w:rsid w:val="1B44E5C4"/>
    <w:rsid w:val="1B4A596D"/>
    <w:rsid w:val="1B5138CD"/>
    <w:rsid w:val="1B660903"/>
    <w:rsid w:val="1B6B1E0E"/>
    <w:rsid w:val="1B6DF4F6"/>
    <w:rsid w:val="1B7256EA"/>
    <w:rsid w:val="1B73838D"/>
    <w:rsid w:val="1B78A546"/>
    <w:rsid w:val="1B7B7B35"/>
    <w:rsid w:val="1B82EE73"/>
    <w:rsid w:val="1B8AC919"/>
    <w:rsid w:val="1B91AFEE"/>
    <w:rsid w:val="1B9A9AB3"/>
    <w:rsid w:val="1BA0765A"/>
    <w:rsid w:val="1BC238C8"/>
    <w:rsid w:val="1BCD506B"/>
    <w:rsid w:val="1BD0982C"/>
    <w:rsid w:val="1BD8A365"/>
    <w:rsid w:val="1BE9ACAB"/>
    <w:rsid w:val="1BF54D41"/>
    <w:rsid w:val="1BFD5F88"/>
    <w:rsid w:val="1C00C684"/>
    <w:rsid w:val="1C076D40"/>
    <w:rsid w:val="1C0D12B9"/>
    <w:rsid w:val="1C187143"/>
    <w:rsid w:val="1C1BBD36"/>
    <w:rsid w:val="1C1DA314"/>
    <w:rsid w:val="1C28F798"/>
    <w:rsid w:val="1C35866B"/>
    <w:rsid w:val="1C38AF75"/>
    <w:rsid w:val="1C495B27"/>
    <w:rsid w:val="1C4B7AD7"/>
    <w:rsid w:val="1C573337"/>
    <w:rsid w:val="1C5923EC"/>
    <w:rsid w:val="1C7FB1CD"/>
    <w:rsid w:val="1C86C79B"/>
    <w:rsid w:val="1C889580"/>
    <w:rsid w:val="1C8A2F62"/>
    <w:rsid w:val="1C8FDD60"/>
    <w:rsid w:val="1C9337C6"/>
    <w:rsid w:val="1C937126"/>
    <w:rsid w:val="1C961533"/>
    <w:rsid w:val="1C9DD258"/>
    <w:rsid w:val="1CA7267C"/>
    <w:rsid w:val="1CC64EEA"/>
    <w:rsid w:val="1CC822D6"/>
    <w:rsid w:val="1CC9CED0"/>
    <w:rsid w:val="1CD521AE"/>
    <w:rsid w:val="1CDE11A9"/>
    <w:rsid w:val="1CDF3F5E"/>
    <w:rsid w:val="1CEBBC37"/>
    <w:rsid w:val="1CED7727"/>
    <w:rsid w:val="1CF2C249"/>
    <w:rsid w:val="1CF793E1"/>
    <w:rsid w:val="1CF84C08"/>
    <w:rsid w:val="1CFC7DBC"/>
    <w:rsid w:val="1D20160F"/>
    <w:rsid w:val="1D31F5E5"/>
    <w:rsid w:val="1D51D5B5"/>
    <w:rsid w:val="1D5A0ABA"/>
    <w:rsid w:val="1D5F7E3C"/>
    <w:rsid w:val="1D7B1DD0"/>
    <w:rsid w:val="1D802C49"/>
    <w:rsid w:val="1D8CE657"/>
    <w:rsid w:val="1D9B7FD1"/>
    <w:rsid w:val="1D9E89A4"/>
    <w:rsid w:val="1D9F0FAC"/>
    <w:rsid w:val="1DA4C111"/>
    <w:rsid w:val="1DA4F713"/>
    <w:rsid w:val="1DA64D2E"/>
    <w:rsid w:val="1DA846FC"/>
    <w:rsid w:val="1DA8A0CB"/>
    <w:rsid w:val="1DACFFD8"/>
    <w:rsid w:val="1DB36D59"/>
    <w:rsid w:val="1DB441A4"/>
    <w:rsid w:val="1DB44471"/>
    <w:rsid w:val="1DB8C1DA"/>
    <w:rsid w:val="1DBFCBCB"/>
    <w:rsid w:val="1DC01DD5"/>
    <w:rsid w:val="1DC904B0"/>
    <w:rsid w:val="1DD69AF1"/>
    <w:rsid w:val="1DD9B16C"/>
    <w:rsid w:val="1DF0274C"/>
    <w:rsid w:val="1DF4D2A0"/>
    <w:rsid w:val="1DFA721B"/>
    <w:rsid w:val="1DFD79EC"/>
    <w:rsid w:val="1E012E0B"/>
    <w:rsid w:val="1E0328EF"/>
    <w:rsid w:val="1E075F77"/>
    <w:rsid w:val="1E08466D"/>
    <w:rsid w:val="1E240110"/>
    <w:rsid w:val="1E2A07D3"/>
    <w:rsid w:val="1E2CC478"/>
    <w:rsid w:val="1E357200"/>
    <w:rsid w:val="1E37BDF0"/>
    <w:rsid w:val="1E3DBB2E"/>
    <w:rsid w:val="1E43E93A"/>
    <w:rsid w:val="1E478BAB"/>
    <w:rsid w:val="1E52BB33"/>
    <w:rsid w:val="1E5862E0"/>
    <w:rsid w:val="1E629101"/>
    <w:rsid w:val="1E65E7B5"/>
    <w:rsid w:val="1E693100"/>
    <w:rsid w:val="1E6CC868"/>
    <w:rsid w:val="1E7A204E"/>
    <w:rsid w:val="1E7B8C12"/>
    <w:rsid w:val="1E7D9F4E"/>
    <w:rsid w:val="1E8F19D7"/>
    <w:rsid w:val="1EA2C652"/>
    <w:rsid w:val="1EA515F4"/>
    <w:rsid w:val="1EA789C0"/>
    <w:rsid w:val="1EBF3B58"/>
    <w:rsid w:val="1ED1F2FD"/>
    <w:rsid w:val="1EEBDC83"/>
    <w:rsid w:val="1EF4C969"/>
    <w:rsid w:val="1EFAD6BF"/>
    <w:rsid w:val="1EFED584"/>
    <w:rsid w:val="1F10DD7F"/>
    <w:rsid w:val="1F1EE4B7"/>
    <w:rsid w:val="1F29909B"/>
    <w:rsid w:val="1F2F6E2A"/>
    <w:rsid w:val="1F394575"/>
    <w:rsid w:val="1F44712C"/>
    <w:rsid w:val="1F4D71CE"/>
    <w:rsid w:val="1F50D4E8"/>
    <w:rsid w:val="1F70EA48"/>
    <w:rsid w:val="1F73C2A6"/>
    <w:rsid w:val="1F75B5E4"/>
    <w:rsid w:val="1F9DC371"/>
    <w:rsid w:val="1FA6B3E5"/>
    <w:rsid w:val="1FCBA38D"/>
    <w:rsid w:val="1FCE3CB5"/>
    <w:rsid w:val="1FDB7D0F"/>
    <w:rsid w:val="1FED8D2C"/>
    <w:rsid w:val="1FEE1B62"/>
    <w:rsid w:val="20010FD6"/>
    <w:rsid w:val="2007107D"/>
    <w:rsid w:val="2016F558"/>
    <w:rsid w:val="201A424E"/>
    <w:rsid w:val="202DC45C"/>
    <w:rsid w:val="20371774"/>
    <w:rsid w:val="203EB3C3"/>
    <w:rsid w:val="20416597"/>
    <w:rsid w:val="20467CF3"/>
    <w:rsid w:val="2048F306"/>
    <w:rsid w:val="205F2D24"/>
    <w:rsid w:val="205F9A4F"/>
    <w:rsid w:val="206871EF"/>
    <w:rsid w:val="20688D9F"/>
    <w:rsid w:val="208112E0"/>
    <w:rsid w:val="2091F6B6"/>
    <w:rsid w:val="209E0714"/>
    <w:rsid w:val="20A20974"/>
    <w:rsid w:val="20A8E709"/>
    <w:rsid w:val="20BCED50"/>
    <w:rsid w:val="20C0A5BA"/>
    <w:rsid w:val="20D033CE"/>
    <w:rsid w:val="20D2CCA9"/>
    <w:rsid w:val="20DC08AC"/>
    <w:rsid w:val="20E0418D"/>
    <w:rsid w:val="20E09727"/>
    <w:rsid w:val="20E7AE71"/>
    <w:rsid w:val="20E7C655"/>
    <w:rsid w:val="20F11437"/>
    <w:rsid w:val="20F13E48"/>
    <w:rsid w:val="20F15655"/>
    <w:rsid w:val="20F2A485"/>
    <w:rsid w:val="20F48D32"/>
    <w:rsid w:val="20F52943"/>
    <w:rsid w:val="21071BE1"/>
    <w:rsid w:val="210C5FC3"/>
    <w:rsid w:val="2118EA80"/>
    <w:rsid w:val="211CFB52"/>
    <w:rsid w:val="211E6F8E"/>
    <w:rsid w:val="212101DB"/>
    <w:rsid w:val="2126DDB4"/>
    <w:rsid w:val="21271DE2"/>
    <w:rsid w:val="2131172E"/>
    <w:rsid w:val="21399E58"/>
    <w:rsid w:val="213D07D8"/>
    <w:rsid w:val="2149EFA4"/>
    <w:rsid w:val="215611BF"/>
    <w:rsid w:val="21568301"/>
    <w:rsid w:val="215D2425"/>
    <w:rsid w:val="2166277B"/>
    <w:rsid w:val="216F4734"/>
    <w:rsid w:val="216F93C6"/>
    <w:rsid w:val="217E4C64"/>
    <w:rsid w:val="2182BF74"/>
    <w:rsid w:val="21838907"/>
    <w:rsid w:val="219143D4"/>
    <w:rsid w:val="2191A607"/>
    <w:rsid w:val="2191CC8C"/>
    <w:rsid w:val="2197C94B"/>
    <w:rsid w:val="21996E7B"/>
    <w:rsid w:val="219CE037"/>
    <w:rsid w:val="21AACE64"/>
    <w:rsid w:val="21AD8439"/>
    <w:rsid w:val="21B9C56C"/>
    <w:rsid w:val="21BD214D"/>
    <w:rsid w:val="21C3EB58"/>
    <w:rsid w:val="21C6314C"/>
    <w:rsid w:val="21C8A52E"/>
    <w:rsid w:val="21D9AFAF"/>
    <w:rsid w:val="21E1F17F"/>
    <w:rsid w:val="21E2C511"/>
    <w:rsid w:val="21E52400"/>
    <w:rsid w:val="21E73178"/>
    <w:rsid w:val="21EFD312"/>
    <w:rsid w:val="21F093D5"/>
    <w:rsid w:val="21F4E697"/>
    <w:rsid w:val="21FCFC0B"/>
    <w:rsid w:val="21FDFF87"/>
    <w:rsid w:val="21FE4482"/>
    <w:rsid w:val="2200B0A7"/>
    <w:rsid w:val="2200C0FC"/>
    <w:rsid w:val="22045E00"/>
    <w:rsid w:val="22055746"/>
    <w:rsid w:val="2206B725"/>
    <w:rsid w:val="2218B448"/>
    <w:rsid w:val="2220575D"/>
    <w:rsid w:val="22257626"/>
    <w:rsid w:val="22327288"/>
    <w:rsid w:val="22530F7E"/>
    <w:rsid w:val="2256F2AF"/>
    <w:rsid w:val="225A4CAE"/>
    <w:rsid w:val="226ADAD2"/>
    <w:rsid w:val="227677F0"/>
    <w:rsid w:val="228884BE"/>
    <w:rsid w:val="228BD382"/>
    <w:rsid w:val="228D8437"/>
    <w:rsid w:val="2292644D"/>
    <w:rsid w:val="229CDC02"/>
    <w:rsid w:val="22A4D19B"/>
    <w:rsid w:val="22AD58F6"/>
    <w:rsid w:val="22D84AC6"/>
    <w:rsid w:val="22DCFE3A"/>
    <w:rsid w:val="22ED92F5"/>
    <w:rsid w:val="22FAD7C1"/>
    <w:rsid w:val="2300501D"/>
    <w:rsid w:val="23040513"/>
    <w:rsid w:val="230A5397"/>
    <w:rsid w:val="23176AFA"/>
    <w:rsid w:val="231C2061"/>
    <w:rsid w:val="231EBA55"/>
    <w:rsid w:val="232DBB4B"/>
    <w:rsid w:val="233FE571"/>
    <w:rsid w:val="235CC2D2"/>
    <w:rsid w:val="236604E5"/>
    <w:rsid w:val="236657C5"/>
    <w:rsid w:val="2367B421"/>
    <w:rsid w:val="236D3D81"/>
    <w:rsid w:val="2373D1A0"/>
    <w:rsid w:val="237E9572"/>
    <w:rsid w:val="237FD19B"/>
    <w:rsid w:val="2380F461"/>
    <w:rsid w:val="23825E01"/>
    <w:rsid w:val="2383D12C"/>
    <w:rsid w:val="238CC5C1"/>
    <w:rsid w:val="238E6974"/>
    <w:rsid w:val="239070AC"/>
    <w:rsid w:val="23A02B67"/>
    <w:rsid w:val="23D0BD2A"/>
    <w:rsid w:val="23D87C38"/>
    <w:rsid w:val="23DB750C"/>
    <w:rsid w:val="23E3D812"/>
    <w:rsid w:val="23E4B55C"/>
    <w:rsid w:val="23F3752F"/>
    <w:rsid w:val="23FB9565"/>
    <w:rsid w:val="23FCF4D6"/>
    <w:rsid w:val="2404C3D0"/>
    <w:rsid w:val="24146D56"/>
    <w:rsid w:val="242A8D6A"/>
    <w:rsid w:val="242F0C47"/>
    <w:rsid w:val="243006EA"/>
    <w:rsid w:val="244329EB"/>
    <w:rsid w:val="244570A0"/>
    <w:rsid w:val="2467B11A"/>
    <w:rsid w:val="24685551"/>
    <w:rsid w:val="24686809"/>
    <w:rsid w:val="246DA3DC"/>
    <w:rsid w:val="247CA7B4"/>
    <w:rsid w:val="247E7F0A"/>
    <w:rsid w:val="2482C180"/>
    <w:rsid w:val="24947CE0"/>
    <w:rsid w:val="2499DCF1"/>
    <w:rsid w:val="24B962EF"/>
    <w:rsid w:val="24BD425B"/>
    <w:rsid w:val="24C3C027"/>
    <w:rsid w:val="24CD71C1"/>
    <w:rsid w:val="24D3E914"/>
    <w:rsid w:val="24DAC24B"/>
    <w:rsid w:val="24E0B050"/>
    <w:rsid w:val="24E123DC"/>
    <w:rsid w:val="24F2ACA6"/>
    <w:rsid w:val="24FB06CF"/>
    <w:rsid w:val="24FDF5E8"/>
    <w:rsid w:val="250AB0C8"/>
    <w:rsid w:val="250E2024"/>
    <w:rsid w:val="250E999A"/>
    <w:rsid w:val="250F3F50"/>
    <w:rsid w:val="251A65D3"/>
    <w:rsid w:val="251F2F55"/>
    <w:rsid w:val="252694D7"/>
    <w:rsid w:val="25271599"/>
    <w:rsid w:val="2528549C"/>
    <w:rsid w:val="252A7E6B"/>
    <w:rsid w:val="252C8759"/>
    <w:rsid w:val="25411EE4"/>
    <w:rsid w:val="2552DD51"/>
    <w:rsid w:val="2569DCA3"/>
    <w:rsid w:val="256A120F"/>
    <w:rsid w:val="256CAA7C"/>
    <w:rsid w:val="2571E560"/>
    <w:rsid w:val="25738702"/>
    <w:rsid w:val="257E4AAF"/>
    <w:rsid w:val="257F1E07"/>
    <w:rsid w:val="2591FDB7"/>
    <w:rsid w:val="259BC51D"/>
    <w:rsid w:val="25A503B2"/>
    <w:rsid w:val="25B685BA"/>
    <w:rsid w:val="25C9C467"/>
    <w:rsid w:val="25E93A50"/>
    <w:rsid w:val="25ED2AB5"/>
    <w:rsid w:val="25F9C9EB"/>
    <w:rsid w:val="2601AD17"/>
    <w:rsid w:val="2609733D"/>
    <w:rsid w:val="261311EA"/>
    <w:rsid w:val="2614734C"/>
    <w:rsid w:val="261B8BC8"/>
    <w:rsid w:val="262B8A42"/>
    <w:rsid w:val="262F289A"/>
    <w:rsid w:val="26303ECE"/>
    <w:rsid w:val="2632699A"/>
    <w:rsid w:val="263E87E8"/>
    <w:rsid w:val="26453005"/>
    <w:rsid w:val="2645DB67"/>
    <w:rsid w:val="26490A82"/>
    <w:rsid w:val="264C9BCE"/>
    <w:rsid w:val="2654532A"/>
    <w:rsid w:val="265F3468"/>
    <w:rsid w:val="266E4842"/>
    <w:rsid w:val="266E9248"/>
    <w:rsid w:val="2673EDD3"/>
    <w:rsid w:val="2679853A"/>
    <w:rsid w:val="26803A5A"/>
    <w:rsid w:val="26827D26"/>
    <w:rsid w:val="26872D03"/>
    <w:rsid w:val="2687B012"/>
    <w:rsid w:val="268CD429"/>
    <w:rsid w:val="268E0F2A"/>
    <w:rsid w:val="269118E9"/>
    <w:rsid w:val="26955EDF"/>
    <w:rsid w:val="26C1F87D"/>
    <w:rsid w:val="26CA2A97"/>
    <w:rsid w:val="26D758DE"/>
    <w:rsid w:val="26DDA3AA"/>
    <w:rsid w:val="26DEF6C3"/>
    <w:rsid w:val="26E052CF"/>
    <w:rsid w:val="26ED3825"/>
    <w:rsid w:val="26F76686"/>
    <w:rsid w:val="26F91492"/>
    <w:rsid w:val="2705CE75"/>
    <w:rsid w:val="2712A608"/>
    <w:rsid w:val="2716B58F"/>
    <w:rsid w:val="271B560C"/>
    <w:rsid w:val="27273C1E"/>
    <w:rsid w:val="272B8557"/>
    <w:rsid w:val="273B575F"/>
    <w:rsid w:val="27528586"/>
    <w:rsid w:val="2755068B"/>
    <w:rsid w:val="2757E5DD"/>
    <w:rsid w:val="275CDEBF"/>
    <w:rsid w:val="276805D8"/>
    <w:rsid w:val="276A3D16"/>
    <w:rsid w:val="2779CAEE"/>
    <w:rsid w:val="277C52B2"/>
    <w:rsid w:val="2780F30B"/>
    <w:rsid w:val="2781532F"/>
    <w:rsid w:val="278716EF"/>
    <w:rsid w:val="278ECDF4"/>
    <w:rsid w:val="27A8CFD8"/>
    <w:rsid w:val="27B61FCC"/>
    <w:rsid w:val="27D5C7BF"/>
    <w:rsid w:val="27D747F0"/>
    <w:rsid w:val="27DB4395"/>
    <w:rsid w:val="27E3D0CA"/>
    <w:rsid w:val="27ECB28C"/>
    <w:rsid w:val="27F04AEA"/>
    <w:rsid w:val="27FD2065"/>
    <w:rsid w:val="28143544"/>
    <w:rsid w:val="281B502E"/>
    <w:rsid w:val="281B962A"/>
    <w:rsid w:val="282A30F1"/>
    <w:rsid w:val="282D55CF"/>
    <w:rsid w:val="282EB53B"/>
    <w:rsid w:val="2831DED7"/>
    <w:rsid w:val="2858A849"/>
    <w:rsid w:val="285A7310"/>
    <w:rsid w:val="285B790C"/>
    <w:rsid w:val="2860DDF7"/>
    <w:rsid w:val="28666615"/>
    <w:rsid w:val="287484B3"/>
    <w:rsid w:val="287BD5DA"/>
    <w:rsid w:val="28913E39"/>
    <w:rsid w:val="28918694"/>
    <w:rsid w:val="28940F77"/>
    <w:rsid w:val="28A7504F"/>
    <w:rsid w:val="28A7CB74"/>
    <w:rsid w:val="28A8699F"/>
    <w:rsid w:val="28AF09B2"/>
    <w:rsid w:val="28C4F402"/>
    <w:rsid w:val="28D1E4D9"/>
    <w:rsid w:val="28D9CF9F"/>
    <w:rsid w:val="28E30800"/>
    <w:rsid w:val="28ED6BD0"/>
    <w:rsid w:val="28EF774B"/>
    <w:rsid w:val="28F566F7"/>
    <w:rsid w:val="28F5E72D"/>
    <w:rsid w:val="2903816C"/>
    <w:rsid w:val="29059088"/>
    <w:rsid w:val="29080310"/>
    <w:rsid w:val="29088B97"/>
    <w:rsid w:val="291DE03F"/>
    <w:rsid w:val="2923C3F8"/>
    <w:rsid w:val="292646C2"/>
    <w:rsid w:val="292E68B5"/>
    <w:rsid w:val="29339EBF"/>
    <w:rsid w:val="2956F22A"/>
    <w:rsid w:val="29611392"/>
    <w:rsid w:val="2976E02F"/>
    <w:rsid w:val="2978D343"/>
    <w:rsid w:val="29872759"/>
    <w:rsid w:val="298DA96D"/>
    <w:rsid w:val="29A5F013"/>
    <w:rsid w:val="29B1A1A5"/>
    <w:rsid w:val="29B34100"/>
    <w:rsid w:val="29BADE6B"/>
    <w:rsid w:val="29BEE9A3"/>
    <w:rsid w:val="29C5026F"/>
    <w:rsid w:val="29D89350"/>
    <w:rsid w:val="29DD6F46"/>
    <w:rsid w:val="29E12D2E"/>
    <w:rsid w:val="29E1BC9A"/>
    <w:rsid w:val="29E73092"/>
    <w:rsid w:val="29EA87D1"/>
    <w:rsid w:val="29EB28E5"/>
    <w:rsid w:val="29FE4EAD"/>
    <w:rsid w:val="2A0E4D79"/>
    <w:rsid w:val="2A1500B3"/>
    <w:rsid w:val="2A239264"/>
    <w:rsid w:val="2A307450"/>
    <w:rsid w:val="2A32EC90"/>
    <w:rsid w:val="2A3CA410"/>
    <w:rsid w:val="2A4261FC"/>
    <w:rsid w:val="2A4FAC7F"/>
    <w:rsid w:val="2A57AB19"/>
    <w:rsid w:val="2A5BA098"/>
    <w:rsid w:val="2A6544A2"/>
    <w:rsid w:val="2A679610"/>
    <w:rsid w:val="2A68DBA3"/>
    <w:rsid w:val="2A69B4B3"/>
    <w:rsid w:val="2A7874D5"/>
    <w:rsid w:val="2A8359F3"/>
    <w:rsid w:val="2A906E99"/>
    <w:rsid w:val="2A91563B"/>
    <w:rsid w:val="2A991286"/>
    <w:rsid w:val="2A9A820B"/>
    <w:rsid w:val="2AA7241F"/>
    <w:rsid w:val="2AAEC534"/>
    <w:rsid w:val="2AB1091C"/>
    <w:rsid w:val="2AB91C51"/>
    <w:rsid w:val="2ABE6AE3"/>
    <w:rsid w:val="2ABFCCC6"/>
    <w:rsid w:val="2AC3DD98"/>
    <w:rsid w:val="2AC74FAD"/>
    <w:rsid w:val="2AC790E9"/>
    <w:rsid w:val="2AC8AF27"/>
    <w:rsid w:val="2ACF1A2D"/>
    <w:rsid w:val="2AD7A98D"/>
    <w:rsid w:val="2AD7F2FF"/>
    <w:rsid w:val="2AD95A74"/>
    <w:rsid w:val="2ADF9713"/>
    <w:rsid w:val="2AE5FC57"/>
    <w:rsid w:val="2AE9D99B"/>
    <w:rsid w:val="2AF8C034"/>
    <w:rsid w:val="2AF9B178"/>
    <w:rsid w:val="2AFDD851"/>
    <w:rsid w:val="2B1E58B6"/>
    <w:rsid w:val="2B2520B0"/>
    <w:rsid w:val="2B2D24F2"/>
    <w:rsid w:val="2B34C127"/>
    <w:rsid w:val="2B48F997"/>
    <w:rsid w:val="2B49C324"/>
    <w:rsid w:val="2B4F325F"/>
    <w:rsid w:val="2B5B6E35"/>
    <w:rsid w:val="2B600635"/>
    <w:rsid w:val="2B62EC11"/>
    <w:rsid w:val="2B6D5F42"/>
    <w:rsid w:val="2B6D862A"/>
    <w:rsid w:val="2B7D8FB8"/>
    <w:rsid w:val="2B82A080"/>
    <w:rsid w:val="2B9C123D"/>
    <w:rsid w:val="2BA403D9"/>
    <w:rsid w:val="2BACA152"/>
    <w:rsid w:val="2BB5BF33"/>
    <w:rsid w:val="2BCAD7A9"/>
    <w:rsid w:val="2BE877DA"/>
    <w:rsid w:val="2BEF47DF"/>
    <w:rsid w:val="2BF2395F"/>
    <w:rsid w:val="2C1F16ED"/>
    <w:rsid w:val="2C22D10B"/>
    <w:rsid w:val="2C257CEA"/>
    <w:rsid w:val="2C391D51"/>
    <w:rsid w:val="2C4AEE15"/>
    <w:rsid w:val="2C5F1462"/>
    <w:rsid w:val="2C619392"/>
    <w:rsid w:val="2C667E17"/>
    <w:rsid w:val="2C669C6D"/>
    <w:rsid w:val="2C679B7F"/>
    <w:rsid w:val="2C6D1E3D"/>
    <w:rsid w:val="2C799EF9"/>
    <w:rsid w:val="2C7E0DC5"/>
    <w:rsid w:val="2C8029F3"/>
    <w:rsid w:val="2C80AA53"/>
    <w:rsid w:val="2C81A369"/>
    <w:rsid w:val="2C923863"/>
    <w:rsid w:val="2C9ACBC6"/>
    <w:rsid w:val="2CAE0DB6"/>
    <w:rsid w:val="2CB07AFA"/>
    <w:rsid w:val="2CB6A23E"/>
    <w:rsid w:val="2CB7DEED"/>
    <w:rsid w:val="2CB843AD"/>
    <w:rsid w:val="2CB8F8A2"/>
    <w:rsid w:val="2CB957AA"/>
    <w:rsid w:val="2CC0EF91"/>
    <w:rsid w:val="2CCED5F0"/>
    <w:rsid w:val="2CD0260A"/>
    <w:rsid w:val="2CD7287C"/>
    <w:rsid w:val="2CDB58BA"/>
    <w:rsid w:val="2CE3783B"/>
    <w:rsid w:val="2CE4664A"/>
    <w:rsid w:val="2CEC7F4F"/>
    <w:rsid w:val="2CECCE07"/>
    <w:rsid w:val="2CFF386E"/>
    <w:rsid w:val="2D092FA3"/>
    <w:rsid w:val="2D0F1778"/>
    <w:rsid w:val="2D16827E"/>
    <w:rsid w:val="2D174F8A"/>
    <w:rsid w:val="2D225800"/>
    <w:rsid w:val="2D297EBE"/>
    <w:rsid w:val="2D3393F4"/>
    <w:rsid w:val="2D351D14"/>
    <w:rsid w:val="2D36FD68"/>
    <w:rsid w:val="2D398C74"/>
    <w:rsid w:val="2D42B455"/>
    <w:rsid w:val="2D4E88FD"/>
    <w:rsid w:val="2D550C36"/>
    <w:rsid w:val="2D55FC73"/>
    <w:rsid w:val="2D5B8405"/>
    <w:rsid w:val="2D5FA952"/>
    <w:rsid w:val="2D61E2EF"/>
    <w:rsid w:val="2D64753E"/>
    <w:rsid w:val="2D6C536E"/>
    <w:rsid w:val="2D6CE214"/>
    <w:rsid w:val="2D6D47E0"/>
    <w:rsid w:val="2D6ED834"/>
    <w:rsid w:val="2D75665C"/>
    <w:rsid w:val="2D80BE34"/>
    <w:rsid w:val="2D92DA2D"/>
    <w:rsid w:val="2D9783D9"/>
    <w:rsid w:val="2DA664A9"/>
    <w:rsid w:val="2DAE129D"/>
    <w:rsid w:val="2DB208BB"/>
    <w:rsid w:val="2DB5632D"/>
    <w:rsid w:val="2DC3F93D"/>
    <w:rsid w:val="2DC5487E"/>
    <w:rsid w:val="2DC7EE12"/>
    <w:rsid w:val="2DD0FA71"/>
    <w:rsid w:val="2DE3897F"/>
    <w:rsid w:val="2DE3A2FB"/>
    <w:rsid w:val="2DE55DA4"/>
    <w:rsid w:val="2DEEC998"/>
    <w:rsid w:val="2DF2DC62"/>
    <w:rsid w:val="2DF4541C"/>
    <w:rsid w:val="2DFA0DA8"/>
    <w:rsid w:val="2DFA13A8"/>
    <w:rsid w:val="2DFA53FC"/>
    <w:rsid w:val="2DFB7E5A"/>
    <w:rsid w:val="2DFC57B8"/>
    <w:rsid w:val="2E01DC69"/>
    <w:rsid w:val="2E01F795"/>
    <w:rsid w:val="2E036BE0"/>
    <w:rsid w:val="2E0CB110"/>
    <w:rsid w:val="2E159E1A"/>
    <w:rsid w:val="2E168F41"/>
    <w:rsid w:val="2E26C318"/>
    <w:rsid w:val="2E369C27"/>
    <w:rsid w:val="2E3B5F26"/>
    <w:rsid w:val="2E51F5CD"/>
    <w:rsid w:val="2E5F975A"/>
    <w:rsid w:val="2E61C839"/>
    <w:rsid w:val="2E6DE39E"/>
    <w:rsid w:val="2E70290F"/>
    <w:rsid w:val="2E74E627"/>
    <w:rsid w:val="2E7B633F"/>
    <w:rsid w:val="2E8A91B2"/>
    <w:rsid w:val="2E923A16"/>
    <w:rsid w:val="2E923EE8"/>
    <w:rsid w:val="2E934E0B"/>
    <w:rsid w:val="2EA50004"/>
    <w:rsid w:val="2EA5D80F"/>
    <w:rsid w:val="2EA959D2"/>
    <w:rsid w:val="2EACB3F1"/>
    <w:rsid w:val="2EAD9FBA"/>
    <w:rsid w:val="2EB6AC54"/>
    <w:rsid w:val="2EBB89C7"/>
    <w:rsid w:val="2EBCECEB"/>
    <w:rsid w:val="2EC79083"/>
    <w:rsid w:val="2EC7E07C"/>
    <w:rsid w:val="2EC9B8AB"/>
    <w:rsid w:val="2EC9C355"/>
    <w:rsid w:val="2ED2799D"/>
    <w:rsid w:val="2EF5165A"/>
    <w:rsid w:val="2EFCBA83"/>
    <w:rsid w:val="2F01339C"/>
    <w:rsid w:val="2F03BA67"/>
    <w:rsid w:val="2F081C45"/>
    <w:rsid w:val="2F1ADFA4"/>
    <w:rsid w:val="2F21E438"/>
    <w:rsid w:val="2F3DCFB1"/>
    <w:rsid w:val="2F4ABF7C"/>
    <w:rsid w:val="2F4EE696"/>
    <w:rsid w:val="2F534933"/>
    <w:rsid w:val="2F556493"/>
    <w:rsid w:val="2F5B9F44"/>
    <w:rsid w:val="2F673A81"/>
    <w:rsid w:val="2F6C2465"/>
    <w:rsid w:val="2F735526"/>
    <w:rsid w:val="2F7B6304"/>
    <w:rsid w:val="2F855C5C"/>
    <w:rsid w:val="2F945BE6"/>
    <w:rsid w:val="2F948237"/>
    <w:rsid w:val="2FAB1AB0"/>
    <w:rsid w:val="2FBB775F"/>
    <w:rsid w:val="2FBC5B25"/>
    <w:rsid w:val="2FBC70C4"/>
    <w:rsid w:val="2FC55957"/>
    <w:rsid w:val="2FCF3DD0"/>
    <w:rsid w:val="2FDA29D4"/>
    <w:rsid w:val="2FDFB8EE"/>
    <w:rsid w:val="2FE47401"/>
    <w:rsid w:val="2FE5BD5A"/>
    <w:rsid w:val="2FE97211"/>
    <w:rsid w:val="2FEB44AC"/>
    <w:rsid w:val="2FF1DCF4"/>
    <w:rsid w:val="2FFFBE7D"/>
    <w:rsid w:val="300033DF"/>
    <w:rsid w:val="3003D8EF"/>
    <w:rsid w:val="301018CE"/>
    <w:rsid w:val="3021E429"/>
    <w:rsid w:val="30225F21"/>
    <w:rsid w:val="3029AA37"/>
    <w:rsid w:val="30413225"/>
    <w:rsid w:val="30473015"/>
    <w:rsid w:val="305CEFA0"/>
    <w:rsid w:val="306EB45F"/>
    <w:rsid w:val="30770F93"/>
    <w:rsid w:val="30853BDF"/>
    <w:rsid w:val="308B11AE"/>
    <w:rsid w:val="3090100C"/>
    <w:rsid w:val="309E8711"/>
    <w:rsid w:val="30AF94E9"/>
    <w:rsid w:val="30B00766"/>
    <w:rsid w:val="30B0D6F0"/>
    <w:rsid w:val="30B139ED"/>
    <w:rsid w:val="30C80423"/>
    <w:rsid w:val="30D77C79"/>
    <w:rsid w:val="30DC937C"/>
    <w:rsid w:val="30E4F1A1"/>
    <w:rsid w:val="30E52A80"/>
    <w:rsid w:val="30E755B5"/>
    <w:rsid w:val="30ECC7CF"/>
    <w:rsid w:val="30FFB01D"/>
    <w:rsid w:val="30FFBF43"/>
    <w:rsid w:val="31055536"/>
    <w:rsid w:val="31063851"/>
    <w:rsid w:val="311CCCFA"/>
    <w:rsid w:val="31331F1C"/>
    <w:rsid w:val="313A11FF"/>
    <w:rsid w:val="313B85AD"/>
    <w:rsid w:val="31432F01"/>
    <w:rsid w:val="31450B2E"/>
    <w:rsid w:val="314567D2"/>
    <w:rsid w:val="31486D3C"/>
    <w:rsid w:val="31488259"/>
    <w:rsid w:val="314CFB76"/>
    <w:rsid w:val="3164A3B2"/>
    <w:rsid w:val="31680DA9"/>
    <w:rsid w:val="31737B83"/>
    <w:rsid w:val="31786B0E"/>
    <w:rsid w:val="3184130C"/>
    <w:rsid w:val="318A9F9F"/>
    <w:rsid w:val="318D5884"/>
    <w:rsid w:val="319229A0"/>
    <w:rsid w:val="3194DC78"/>
    <w:rsid w:val="31973C9D"/>
    <w:rsid w:val="3199B5F9"/>
    <w:rsid w:val="3199D195"/>
    <w:rsid w:val="3199DBA4"/>
    <w:rsid w:val="319A0163"/>
    <w:rsid w:val="319F4F6C"/>
    <w:rsid w:val="31A2D9F6"/>
    <w:rsid w:val="31AA753D"/>
    <w:rsid w:val="31AC1259"/>
    <w:rsid w:val="31B9AD1D"/>
    <w:rsid w:val="31BFE46A"/>
    <w:rsid w:val="31C12E7E"/>
    <w:rsid w:val="31C882BE"/>
    <w:rsid w:val="31CBD858"/>
    <w:rsid w:val="31DA346E"/>
    <w:rsid w:val="31DCA0C6"/>
    <w:rsid w:val="31E13EA5"/>
    <w:rsid w:val="31E1A61B"/>
    <w:rsid w:val="31E1FCA8"/>
    <w:rsid w:val="31EE4031"/>
    <w:rsid w:val="31EF50DD"/>
    <w:rsid w:val="31F0869F"/>
    <w:rsid w:val="31F5F72A"/>
    <w:rsid w:val="31F942E3"/>
    <w:rsid w:val="32001292"/>
    <w:rsid w:val="3216CFD0"/>
    <w:rsid w:val="321EFF26"/>
    <w:rsid w:val="322F27F9"/>
    <w:rsid w:val="32316A32"/>
    <w:rsid w:val="323385D3"/>
    <w:rsid w:val="323D563C"/>
    <w:rsid w:val="323DBF48"/>
    <w:rsid w:val="32452C3D"/>
    <w:rsid w:val="3258B1B9"/>
    <w:rsid w:val="325ABE64"/>
    <w:rsid w:val="3261C689"/>
    <w:rsid w:val="32656EBF"/>
    <w:rsid w:val="326CAD70"/>
    <w:rsid w:val="32717B1F"/>
    <w:rsid w:val="3277AA32"/>
    <w:rsid w:val="3279D5CC"/>
    <w:rsid w:val="3287287A"/>
    <w:rsid w:val="329537A7"/>
    <w:rsid w:val="329602E6"/>
    <w:rsid w:val="3296CF41"/>
    <w:rsid w:val="3298501F"/>
    <w:rsid w:val="32996537"/>
    <w:rsid w:val="3299A001"/>
    <w:rsid w:val="329B2FCE"/>
    <w:rsid w:val="32A392F2"/>
    <w:rsid w:val="32A7FDD0"/>
    <w:rsid w:val="32ADBFF9"/>
    <w:rsid w:val="32AE507A"/>
    <w:rsid w:val="32B0533F"/>
    <w:rsid w:val="32B3218A"/>
    <w:rsid w:val="32BFF39B"/>
    <w:rsid w:val="32C1C5C6"/>
    <w:rsid w:val="32C3119C"/>
    <w:rsid w:val="32C4A2F5"/>
    <w:rsid w:val="32C70031"/>
    <w:rsid w:val="32CCF238"/>
    <w:rsid w:val="32D0EBC4"/>
    <w:rsid w:val="32E01D7B"/>
    <w:rsid w:val="32EFA56E"/>
    <w:rsid w:val="32FA2D33"/>
    <w:rsid w:val="3300FA2C"/>
    <w:rsid w:val="330254E6"/>
    <w:rsid w:val="330AE3F8"/>
    <w:rsid w:val="331B7DD6"/>
    <w:rsid w:val="33219A97"/>
    <w:rsid w:val="3323A9ED"/>
    <w:rsid w:val="3325DCCC"/>
    <w:rsid w:val="3327E952"/>
    <w:rsid w:val="332E9835"/>
    <w:rsid w:val="33307FA8"/>
    <w:rsid w:val="3338407C"/>
    <w:rsid w:val="33436E77"/>
    <w:rsid w:val="334B5A29"/>
    <w:rsid w:val="33637C3E"/>
    <w:rsid w:val="336C9232"/>
    <w:rsid w:val="336DCBD2"/>
    <w:rsid w:val="337DBD50"/>
    <w:rsid w:val="33825D50"/>
    <w:rsid w:val="338E1757"/>
    <w:rsid w:val="338FEB76"/>
    <w:rsid w:val="33919984"/>
    <w:rsid w:val="33958904"/>
    <w:rsid w:val="3395B7BC"/>
    <w:rsid w:val="33A77C58"/>
    <w:rsid w:val="33A91192"/>
    <w:rsid w:val="33AA9DDB"/>
    <w:rsid w:val="33ABE908"/>
    <w:rsid w:val="33C0A79E"/>
    <w:rsid w:val="33C92FD8"/>
    <w:rsid w:val="33CC814F"/>
    <w:rsid w:val="33CECB5B"/>
    <w:rsid w:val="33D297B9"/>
    <w:rsid w:val="33D4AD18"/>
    <w:rsid w:val="33E5BE56"/>
    <w:rsid w:val="33E74A7A"/>
    <w:rsid w:val="33F0E981"/>
    <w:rsid w:val="33F6189D"/>
    <w:rsid w:val="33F87AAC"/>
    <w:rsid w:val="33F88650"/>
    <w:rsid w:val="3409D07E"/>
    <w:rsid w:val="340AF4E8"/>
    <w:rsid w:val="340D5067"/>
    <w:rsid w:val="3429888D"/>
    <w:rsid w:val="34430492"/>
    <w:rsid w:val="3447A17C"/>
    <w:rsid w:val="3448077E"/>
    <w:rsid w:val="3457C925"/>
    <w:rsid w:val="3457FCCA"/>
    <w:rsid w:val="345BC3FC"/>
    <w:rsid w:val="346551F6"/>
    <w:rsid w:val="346ABFDE"/>
    <w:rsid w:val="3470A8E3"/>
    <w:rsid w:val="349360EF"/>
    <w:rsid w:val="3494AD7A"/>
    <w:rsid w:val="349CADC4"/>
    <w:rsid w:val="349FD49B"/>
    <w:rsid w:val="34A05510"/>
    <w:rsid w:val="34AEAD41"/>
    <w:rsid w:val="34B90665"/>
    <w:rsid w:val="34BE9563"/>
    <w:rsid w:val="34C17419"/>
    <w:rsid w:val="34C4F946"/>
    <w:rsid w:val="34C96AE6"/>
    <w:rsid w:val="34DD9374"/>
    <w:rsid w:val="34E51E69"/>
    <w:rsid w:val="34E6FBE7"/>
    <w:rsid w:val="34EF1C0E"/>
    <w:rsid w:val="34F2087A"/>
    <w:rsid w:val="34F7AC0C"/>
    <w:rsid w:val="3502D006"/>
    <w:rsid w:val="3508A0AF"/>
    <w:rsid w:val="351981B7"/>
    <w:rsid w:val="35199D6A"/>
    <w:rsid w:val="351F1BD2"/>
    <w:rsid w:val="352001AF"/>
    <w:rsid w:val="35205A10"/>
    <w:rsid w:val="35216250"/>
    <w:rsid w:val="35219EFB"/>
    <w:rsid w:val="3522E440"/>
    <w:rsid w:val="3524418B"/>
    <w:rsid w:val="35265A5F"/>
    <w:rsid w:val="3532E88C"/>
    <w:rsid w:val="3553B7BF"/>
    <w:rsid w:val="3559C963"/>
    <w:rsid w:val="355F78F8"/>
    <w:rsid w:val="3560F9D9"/>
    <w:rsid w:val="3576AE0D"/>
    <w:rsid w:val="3578FC4F"/>
    <w:rsid w:val="357AF523"/>
    <w:rsid w:val="357DA7DD"/>
    <w:rsid w:val="35821B7C"/>
    <w:rsid w:val="35854502"/>
    <w:rsid w:val="358838B7"/>
    <w:rsid w:val="35891396"/>
    <w:rsid w:val="3596A55C"/>
    <w:rsid w:val="3596EC09"/>
    <w:rsid w:val="359F82F3"/>
    <w:rsid w:val="35A5A0DF"/>
    <w:rsid w:val="35AEF5E9"/>
    <w:rsid w:val="35B13F12"/>
    <w:rsid w:val="35B31B63"/>
    <w:rsid w:val="35B841D4"/>
    <w:rsid w:val="35C17920"/>
    <w:rsid w:val="35C18C1D"/>
    <w:rsid w:val="35C549FD"/>
    <w:rsid w:val="35CDEE7F"/>
    <w:rsid w:val="35DD4CFC"/>
    <w:rsid w:val="35DFB28A"/>
    <w:rsid w:val="35EC55E3"/>
    <w:rsid w:val="35ED2332"/>
    <w:rsid w:val="35F183B1"/>
    <w:rsid w:val="35F4761C"/>
    <w:rsid w:val="35FBB9DA"/>
    <w:rsid w:val="36012257"/>
    <w:rsid w:val="36019F23"/>
    <w:rsid w:val="360417C0"/>
    <w:rsid w:val="36083FCC"/>
    <w:rsid w:val="360EF864"/>
    <w:rsid w:val="360FEE68"/>
    <w:rsid w:val="36169362"/>
    <w:rsid w:val="361BB398"/>
    <w:rsid w:val="362DBA19"/>
    <w:rsid w:val="363BA4FC"/>
    <w:rsid w:val="363CE8AF"/>
    <w:rsid w:val="36517DD4"/>
    <w:rsid w:val="3652C5E5"/>
    <w:rsid w:val="365BD9CC"/>
    <w:rsid w:val="3663A34F"/>
    <w:rsid w:val="366D4CC7"/>
    <w:rsid w:val="366EF37B"/>
    <w:rsid w:val="36795FD5"/>
    <w:rsid w:val="3681D812"/>
    <w:rsid w:val="3688D3D7"/>
    <w:rsid w:val="368B8DF0"/>
    <w:rsid w:val="368C903B"/>
    <w:rsid w:val="3691BBD7"/>
    <w:rsid w:val="3692732C"/>
    <w:rsid w:val="369309E3"/>
    <w:rsid w:val="36930FE7"/>
    <w:rsid w:val="369A8417"/>
    <w:rsid w:val="36A14C83"/>
    <w:rsid w:val="36A9BCD8"/>
    <w:rsid w:val="36B0D959"/>
    <w:rsid w:val="36C23D43"/>
    <w:rsid w:val="36C42158"/>
    <w:rsid w:val="36CD1AED"/>
    <w:rsid w:val="36CFB390"/>
    <w:rsid w:val="36D2B170"/>
    <w:rsid w:val="36D702F4"/>
    <w:rsid w:val="36DC8399"/>
    <w:rsid w:val="36E0D296"/>
    <w:rsid w:val="3704A36C"/>
    <w:rsid w:val="370D2357"/>
    <w:rsid w:val="370F991F"/>
    <w:rsid w:val="3712B5C0"/>
    <w:rsid w:val="371BD408"/>
    <w:rsid w:val="37203EFF"/>
    <w:rsid w:val="37234030"/>
    <w:rsid w:val="37445064"/>
    <w:rsid w:val="374AC64A"/>
    <w:rsid w:val="3758617C"/>
    <w:rsid w:val="375A8504"/>
    <w:rsid w:val="375A999D"/>
    <w:rsid w:val="37628919"/>
    <w:rsid w:val="3764033C"/>
    <w:rsid w:val="37657510"/>
    <w:rsid w:val="3767339B"/>
    <w:rsid w:val="37786E72"/>
    <w:rsid w:val="3780B6EC"/>
    <w:rsid w:val="37880DE5"/>
    <w:rsid w:val="378ACF75"/>
    <w:rsid w:val="378F764A"/>
    <w:rsid w:val="37A61E96"/>
    <w:rsid w:val="37AF7814"/>
    <w:rsid w:val="37B14461"/>
    <w:rsid w:val="37BE1A1B"/>
    <w:rsid w:val="37C6C477"/>
    <w:rsid w:val="37C7D8DA"/>
    <w:rsid w:val="37C8E1CF"/>
    <w:rsid w:val="37D44E86"/>
    <w:rsid w:val="37DB6E18"/>
    <w:rsid w:val="37ED811E"/>
    <w:rsid w:val="37F8B780"/>
    <w:rsid w:val="37F914DB"/>
    <w:rsid w:val="37FC14B3"/>
    <w:rsid w:val="37FDF9D8"/>
    <w:rsid w:val="380642AE"/>
    <w:rsid w:val="380AC3DC"/>
    <w:rsid w:val="380F1888"/>
    <w:rsid w:val="3819156C"/>
    <w:rsid w:val="381F91ED"/>
    <w:rsid w:val="381FBEE4"/>
    <w:rsid w:val="3822A3AD"/>
    <w:rsid w:val="383F910F"/>
    <w:rsid w:val="3854209F"/>
    <w:rsid w:val="385C9917"/>
    <w:rsid w:val="386B83F1"/>
    <w:rsid w:val="386C207C"/>
    <w:rsid w:val="387DCF19"/>
    <w:rsid w:val="388675B2"/>
    <w:rsid w:val="38894833"/>
    <w:rsid w:val="3889C171"/>
    <w:rsid w:val="388CDD36"/>
    <w:rsid w:val="3895A918"/>
    <w:rsid w:val="3898399F"/>
    <w:rsid w:val="389D7912"/>
    <w:rsid w:val="389DA2FA"/>
    <w:rsid w:val="38B520F6"/>
    <w:rsid w:val="38B8AD17"/>
    <w:rsid w:val="38C0C368"/>
    <w:rsid w:val="38C9FFE8"/>
    <w:rsid w:val="38D5BE5D"/>
    <w:rsid w:val="38DAA651"/>
    <w:rsid w:val="38DB08E9"/>
    <w:rsid w:val="38EDDEC5"/>
    <w:rsid w:val="38EFE296"/>
    <w:rsid w:val="38F6B99C"/>
    <w:rsid w:val="38FE254F"/>
    <w:rsid w:val="3900D1A6"/>
    <w:rsid w:val="3904690E"/>
    <w:rsid w:val="39114B86"/>
    <w:rsid w:val="391370A7"/>
    <w:rsid w:val="39253E8E"/>
    <w:rsid w:val="392AB556"/>
    <w:rsid w:val="393DB0C3"/>
    <w:rsid w:val="393E3101"/>
    <w:rsid w:val="394089C2"/>
    <w:rsid w:val="39461E87"/>
    <w:rsid w:val="395E4C41"/>
    <w:rsid w:val="395F31BE"/>
    <w:rsid w:val="396F15C0"/>
    <w:rsid w:val="3981F111"/>
    <w:rsid w:val="398D4665"/>
    <w:rsid w:val="399CF6AF"/>
    <w:rsid w:val="39AE453B"/>
    <w:rsid w:val="39BAC93C"/>
    <w:rsid w:val="39C67645"/>
    <w:rsid w:val="39C8E6A6"/>
    <w:rsid w:val="39D5BB9E"/>
    <w:rsid w:val="39DFB574"/>
    <w:rsid w:val="39EE9CFB"/>
    <w:rsid w:val="39FD2CA3"/>
    <w:rsid w:val="3A0AFF49"/>
    <w:rsid w:val="3A1714F6"/>
    <w:rsid w:val="3A185902"/>
    <w:rsid w:val="3A1B187B"/>
    <w:rsid w:val="3A1FC0C9"/>
    <w:rsid w:val="3A22C081"/>
    <w:rsid w:val="3A25963A"/>
    <w:rsid w:val="3A2D7E3B"/>
    <w:rsid w:val="3A31F3F4"/>
    <w:rsid w:val="3A33F03B"/>
    <w:rsid w:val="3A361EA2"/>
    <w:rsid w:val="3A4E221B"/>
    <w:rsid w:val="3A593EAF"/>
    <w:rsid w:val="3A59BF06"/>
    <w:rsid w:val="3A62AF18"/>
    <w:rsid w:val="3A69AA14"/>
    <w:rsid w:val="3A6D7F41"/>
    <w:rsid w:val="3A6E7B17"/>
    <w:rsid w:val="3A7275B6"/>
    <w:rsid w:val="3A76D94A"/>
    <w:rsid w:val="3A791202"/>
    <w:rsid w:val="3A94D4B1"/>
    <w:rsid w:val="3A97E326"/>
    <w:rsid w:val="3A9BCBD7"/>
    <w:rsid w:val="3A9CEDCE"/>
    <w:rsid w:val="3AA1F138"/>
    <w:rsid w:val="3AB1A3AA"/>
    <w:rsid w:val="3AB347DB"/>
    <w:rsid w:val="3AB72EDE"/>
    <w:rsid w:val="3AC8E1E1"/>
    <w:rsid w:val="3ACBFEC7"/>
    <w:rsid w:val="3ACC65D5"/>
    <w:rsid w:val="3AD20BBB"/>
    <w:rsid w:val="3AD7C993"/>
    <w:rsid w:val="3AE2382F"/>
    <w:rsid w:val="3AE4183A"/>
    <w:rsid w:val="3AEC26D8"/>
    <w:rsid w:val="3AFA0E44"/>
    <w:rsid w:val="3AFB4E0A"/>
    <w:rsid w:val="3B057554"/>
    <w:rsid w:val="3B204F59"/>
    <w:rsid w:val="3B2081BD"/>
    <w:rsid w:val="3B2AA7BD"/>
    <w:rsid w:val="3B379325"/>
    <w:rsid w:val="3B44B540"/>
    <w:rsid w:val="3B4F0156"/>
    <w:rsid w:val="3B53BF24"/>
    <w:rsid w:val="3B59EB52"/>
    <w:rsid w:val="3B5E9238"/>
    <w:rsid w:val="3B70FE0F"/>
    <w:rsid w:val="3B780A23"/>
    <w:rsid w:val="3B830F3B"/>
    <w:rsid w:val="3B86F074"/>
    <w:rsid w:val="3B9E71D5"/>
    <w:rsid w:val="3B9EC856"/>
    <w:rsid w:val="3BA258D3"/>
    <w:rsid w:val="3BA4B75D"/>
    <w:rsid w:val="3BB2F731"/>
    <w:rsid w:val="3BB82F73"/>
    <w:rsid w:val="3BBD9101"/>
    <w:rsid w:val="3BCFC09C"/>
    <w:rsid w:val="3BD356C9"/>
    <w:rsid w:val="3BD66BFF"/>
    <w:rsid w:val="3BD80AB9"/>
    <w:rsid w:val="3BE49FCE"/>
    <w:rsid w:val="3BF0F809"/>
    <w:rsid w:val="3BF6396B"/>
    <w:rsid w:val="3C050F10"/>
    <w:rsid w:val="3C05AF0D"/>
    <w:rsid w:val="3C06DA6A"/>
    <w:rsid w:val="3C08D0A3"/>
    <w:rsid w:val="3C31D269"/>
    <w:rsid w:val="3C39CFD0"/>
    <w:rsid w:val="3C3B37BA"/>
    <w:rsid w:val="3C41C010"/>
    <w:rsid w:val="3C478583"/>
    <w:rsid w:val="3C49AC71"/>
    <w:rsid w:val="3C53CD1B"/>
    <w:rsid w:val="3C5B7F08"/>
    <w:rsid w:val="3C640EAB"/>
    <w:rsid w:val="3C667630"/>
    <w:rsid w:val="3C7DBF49"/>
    <w:rsid w:val="3C88B164"/>
    <w:rsid w:val="3C8B1FE3"/>
    <w:rsid w:val="3C8B9C5E"/>
    <w:rsid w:val="3C8C6F3A"/>
    <w:rsid w:val="3C8C873D"/>
    <w:rsid w:val="3C94AE58"/>
    <w:rsid w:val="3C9698FB"/>
    <w:rsid w:val="3CA34391"/>
    <w:rsid w:val="3CB44ABE"/>
    <w:rsid w:val="3CB4E5ED"/>
    <w:rsid w:val="3CB75FC4"/>
    <w:rsid w:val="3CBCA558"/>
    <w:rsid w:val="3CC0C4A2"/>
    <w:rsid w:val="3CCB2E50"/>
    <w:rsid w:val="3CCC85FE"/>
    <w:rsid w:val="3CD14E18"/>
    <w:rsid w:val="3CD50BB8"/>
    <w:rsid w:val="3CDC17CB"/>
    <w:rsid w:val="3CE55266"/>
    <w:rsid w:val="3CE7972C"/>
    <w:rsid w:val="3CF10BC2"/>
    <w:rsid w:val="3CF269FE"/>
    <w:rsid w:val="3CFB7D85"/>
    <w:rsid w:val="3D040B1B"/>
    <w:rsid w:val="3D092A7B"/>
    <w:rsid w:val="3D1C152B"/>
    <w:rsid w:val="3D1F536D"/>
    <w:rsid w:val="3D2B3A2D"/>
    <w:rsid w:val="3D2CBF9A"/>
    <w:rsid w:val="3D2F2AD2"/>
    <w:rsid w:val="3D3002FF"/>
    <w:rsid w:val="3D3094BC"/>
    <w:rsid w:val="3D3204A1"/>
    <w:rsid w:val="3D3333B1"/>
    <w:rsid w:val="3D348F98"/>
    <w:rsid w:val="3D35C876"/>
    <w:rsid w:val="3D373C77"/>
    <w:rsid w:val="3D4831FC"/>
    <w:rsid w:val="3D523F53"/>
    <w:rsid w:val="3D5A7AA0"/>
    <w:rsid w:val="3D5E2F41"/>
    <w:rsid w:val="3D5FC1C1"/>
    <w:rsid w:val="3D65031C"/>
    <w:rsid w:val="3D6B36CA"/>
    <w:rsid w:val="3D79F024"/>
    <w:rsid w:val="3D81EB59"/>
    <w:rsid w:val="3D863495"/>
    <w:rsid w:val="3D8BD90F"/>
    <w:rsid w:val="3D8BFDA7"/>
    <w:rsid w:val="3D9B6340"/>
    <w:rsid w:val="3D9B7EFA"/>
    <w:rsid w:val="3D9CB043"/>
    <w:rsid w:val="3D9EF890"/>
    <w:rsid w:val="3D9FD955"/>
    <w:rsid w:val="3DA0DF71"/>
    <w:rsid w:val="3DA25C75"/>
    <w:rsid w:val="3DAE0E5D"/>
    <w:rsid w:val="3DB05615"/>
    <w:rsid w:val="3DB42DC6"/>
    <w:rsid w:val="3DC81E91"/>
    <w:rsid w:val="3DCAC1FA"/>
    <w:rsid w:val="3DD7FCCC"/>
    <w:rsid w:val="3DE0B7BD"/>
    <w:rsid w:val="3DE72CE7"/>
    <w:rsid w:val="3DEAA9BE"/>
    <w:rsid w:val="3DEF0B0D"/>
    <w:rsid w:val="3DF664C9"/>
    <w:rsid w:val="3DF8A80E"/>
    <w:rsid w:val="3DF9D494"/>
    <w:rsid w:val="3DFAA13B"/>
    <w:rsid w:val="3E01F7E4"/>
    <w:rsid w:val="3E0AA060"/>
    <w:rsid w:val="3E0B7246"/>
    <w:rsid w:val="3E1EC934"/>
    <w:rsid w:val="3E21B29D"/>
    <w:rsid w:val="3E37B220"/>
    <w:rsid w:val="3E3E87D9"/>
    <w:rsid w:val="3E41724A"/>
    <w:rsid w:val="3E539FAA"/>
    <w:rsid w:val="3E67F362"/>
    <w:rsid w:val="3E681B7C"/>
    <w:rsid w:val="3E6993BD"/>
    <w:rsid w:val="3E6BBFDC"/>
    <w:rsid w:val="3E6D790B"/>
    <w:rsid w:val="3E804BF7"/>
    <w:rsid w:val="3E85BF5D"/>
    <w:rsid w:val="3E8F7922"/>
    <w:rsid w:val="3EA9FB41"/>
    <w:rsid w:val="3EAF679E"/>
    <w:rsid w:val="3EB23B94"/>
    <w:rsid w:val="3EB3CD97"/>
    <w:rsid w:val="3EBC26AB"/>
    <w:rsid w:val="3EBF0640"/>
    <w:rsid w:val="3EBF883B"/>
    <w:rsid w:val="3EC7BF9B"/>
    <w:rsid w:val="3ECA5E84"/>
    <w:rsid w:val="3ED006D4"/>
    <w:rsid w:val="3ED1AD91"/>
    <w:rsid w:val="3ED68DFB"/>
    <w:rsid w:val="3ED7A67C"/>
    <w:rsid w:val="3ED7B905"/>
    <w:rsid w:val="3ED9CAD2"/>
    <w:rsid w:val="3ED9D785"/>
    <w:rsid w:val="3EDB8B9D"/>
    <w:rsid w:val="3EDF11B5"/>
    <w:rsid w:val="3EE3A444"/>
    <w:rsid w:val="3EE7BF6C"/>
    <w:rsid w:val="3EEA6C9D"/>
    <w:rsid w:val="3EF482A4"/>
    <w:rsid w:val="3EF58018"/>
    <w:rsid w:val="3F06EFC2"/>
    <w:rsid w:val="3F10A3F2"/>
    <w:rsid w:val="3F1ABDCC"/>
    <w:rsid w:val="3F2145D0"/>
    <w:rsid w:val="3F26D634"/>
    <w:rsid w:val="3F28AB21"/>
    <w:rsid w:val="3F328722"/>
    <w:rsid w:val="3F4C8325"/>
    <w:rsid w:val="3F50457C"/>
    <w:rsid w:val="3F56C169"/>
    <w:rsid w:val="3F593473"/>
    <w:rsid w:val="3F5B6DDF"/>
    <w:rsid w:val="3F5D2049"/>
    <w:rsid w:val="3F673189"/>
    <w:rsid w:val="3F7A1D99"/>
    <w:rsid w:val="3F81D769"/>
    <w:rsid w:val="3F8EB7CD"/>
    <w:rsid w:val="3F8ED6A2"/>
    <w:rsid w:val="3F933829"/>
    <w:rsid w:val="3F9B4B02"/>
    <w:rsid w:val="3FA6E045"/>
    <w:rsid w:val="3FA8B102"/>
    <w:rsid w:val="3FAF437C"/>
    <w:rsid w:val="3FBBA03A"/>
    <w:rsid w:val="3FBE6DD4"/>
    <w:rsid w:val="3FC18535"/>
    <w:rsid w:val="3FC6F557"/>
    <w:rsid w:val="3FDB8F79"/>
    <w:rsid w:val="3FDD2B1D"/>
    <w:rsid w:val="3FE993B5"/>
    <w:rsid w:val="3FEB9908"/>
    <w:rsid w:val="3FECCA50"/>
    <w:rsid w:val="3FF15D38"/>
    <w:rsid w:val="3FFCD026"/>
    <w:rsid w:val="3FFDFF2A"/>
    <w:rsid w:val="3FFF6AFE"/>
    <w:rsid w:val="3FFFF33A"/>
    <w:rsid w:val="4005E9E7"/>
    <w:rsid w:val="40069453"/>
    <w:rsid w:val="401FF703"/>
    <w:rsid w:val="40220B33"/>
    <w:rsid w:val="403035B5"/>
    <w:rsid w:val="40360F75"/>
    <w:rsid w:val="404B153A"/>
    <w:rsid w:val="404F4251"/>
    <w:rsid w:val="4056F42F"/>
    <w:rsid w:val="4079842B"/>
    <w:rsid w:val="407D3BE3"/>
    <w:rsid w:val="4082FB5C"/>
    <w:rsid w:val="408317DB"/>
    <w:rsid w:val="408D6F08"/>
    <w:rsid w:val="4093AE0B"/>
    <w:rsid w:val="4095D431"/>
    <w:rsid w:val="409D4CD1"/>
    <w:rsid w:val="409E1CD4"/>
    <w:rsid w:val="40A0A24B"/>
    <w:rsid w:val="40A34B84"/>
    <w:rsid w:val="40A38BEA"/>
    <w:rsid w:val="40A72F64"/>
    <w:rsid w:val="40C495FF"/>
    <w:rsid w:val="40C8BF31"/>
    <w:rsid w:val="40DC33E5"/>
    <w:rsid w:val="40DDC978"/>
    <w:rsid w:val="40E787D7"/>
    <w:rsid w:val="40E8A24E"/>
    <w:rsid w:val="40EBCE88"/>
    <w:rsid w:val="40F5ED64"/>
    <w:rsid w:val="41035D6D"/>
    <w:rsid w:val="410745BC"/>
    <w:rsid w:val="410C9C59"/>
    <w:rsid w:val="411ECDA9"/>
    <w:rsid w:val="4123A68A"/>
    <w:rsid w:val="4123EAD6"/>
    <w:rsid w:val="4139252E"/>
    <w:rsid w:val="4149ED77"/>
    <w:rsid w:val="414A2623"/>
    <w:rsid w:val="41560FF3"/>
    <w:rsid w:val="415AF9A2"/>
    <w:rsid w:val="41701769"/>
    <w:rsid w:val="419E0F67"/>
    <w:rsid w:val="419E9DEA"/>
    <w:rsid w:val="41A705D1"/>
    <w:rsid w:val="41B40113"/>
    <w:rsid w:val="41B860BB"/>
    <w:rsid w:val="41B95E34"/>
    <w:rsid w:val="41BDED9B"/>
    <w:rsid w:val="41BEB58F"/>
    <w:rsid w:val="41C273A9"/>
    <w:rsid w:val="41C3DFE4"/>
    <w:rsid w:val="41C8B710"/>
    <w:rsid w:val="41C8D4C0"/>
    <w:rsid w:val="41D79B0C"/>
    <w:rsid w:val="41DD6087"/>
    <w:rsid w:val="41DF5BDF"/>
    <w:rsid w:val="41E6C9E8"/>
    <w:rsid w:val="41EF388E"/>
    <w:rsid w:val="41FE3915"/>
    <w:rsid w:val="41FEA93A"/>
    <w:rsid w:val="420C9CBF"/>
    <w:rsid w:val="420FF496"/>
    <w:rsid w:val="421231E8"/>
    <w:rsid w:val="4214CAF7"/>
    <w:rsid w:val="421763EA"/>
    <w:rsid w:val="421E0C03"/>
    <w:rsid w:val="422AA0A4"/>
    <w:rsid w:val="4230831B"/>
    <w:rsid w:val="4234960D"/>
    <w:rsid w:val="42364236"/>
    <w:rsid w:val="423A8330"/>
    <w:rsid w:val="423E3172"/>
    <w:rsid w:val="4249CE46"/>
    <w:rsid w:val="4253E2E1"/>
    <w:rsid w:val="425546C6"/>
    <w:rsid w:val="426362F8"/>
    <w:rsid w:val="42700980"/>
    <w:rsid w:val="4270CFBE"/>
    <w:rsid w:val="4272D6CE"/>
    <w:rsid w:val="4275C68F"/>
    <w:rsid w:val="4283C28E"/>
    <w:rsid w:val="42862F9E"/>
    <w:rsid w:val="429618A4"/>
    <w:rsid w:val="4296C4DC"/>
    <w:rsid w:val="42A7A5A4"/>
    <w:rsid w:val="42A9E642"/>
    <w:rsid w:val="42B1B08E"/>
    <w:rsid w:val="42B209C2"/>
    <w:rsid w:val="42BA9E0A"/>
    <w:rsid w:val="42BBA85A"/>
    <w:rsid w:val="42BE318B"/>
    <w:rsid w:val="42BE6665"/>
    <w:rsid w:val="42CAC08C"/>
    <w:rsid w:val="42CADBCF"/>
    <w:rsid w:val="42D736E0"/>
    <w:rsid w:val="42E2F345"/>
    <w:rsid w:val="42E41AD2"/>
    <w:rsid w:val="42F910C0"/>
    <w:rsid w:val="42FC00BA"/>
    <w:rsid w:val="430577EE"/>
    <w:rsid w:val="430CA136"/>
    <w:rsid w:val="4311A6CA"/>
    <w:rsid w:val="43159BEE"/>
    <w:rsid w:val="431E93D8"/>
    <w:rsid w:val="432498E1"/>
    <w:rsid w:val="43393F4D"/>
    <w:rsid w:val="434B81B6"/>
    <w:rsid w:val="434C6629"/>
    <w:rsid w:val="434E7161"/>
    <w:rsid w:val="434F1AB7"/>
    <w:rsid w:val="43566008"/>
    <w:rsid w:val="4364D742"/>
    <w:rsid w:val="4367AF37"/>
    <w:rsid w:val="436A942C"/>
    <w:rsid w:val="437C56E4"/>
    <w:rsid w:val="437EEDDE"/>
    <w:rsid w:val="437EEDE2"/>
    <w:rsid w:val="4381F056"/>
    <w:rsid w:val="439039F4"/>
    <w:rsid w:val="439B30E6"/>
    <w:rsid w:val="439F0E47"/>
    <w:rsid w:val="43B57872"/>
    <w:rsid w:val="43BBFE61"/>
    <w:rsid w:val="43C79B63"/>
    <w:rsid w:val="43D4BAD0"/>
    <w:rsid w:val="43D55DD4"/>
    <w:rsid w:val="43E29F3C"/>
    <w:rsid w:val="43E94E6B"/>
    <w:rsid w:val="43EE0D2D"/>
    <w:rsid w:val="43EEAC39"/>
    <w:rsid w:val="43EECE8B"/>
    <w:rsid w:val="43F8B438"/>
    <w:rsid w:val="44044997"/>
    <w:rsid w:val="440A65C5"/>
    <w:rsid w:val="440A7FFA"/>
    <w:rsid w:val="440BAEE7"/>
    <w:rsid w:val="440EA37C"/>
    <w:rsid w:val="44120B07"/>
    <w:rsid w:val="4413F606"/>
    <w:rsid w:val="441CCBD0"/>
    <w:rsid w:val="4425F2FE"/>
    <w:rsid w:val="44294952"/>
    <w:rsid w:val="442CB931"/>
    <w:rsid w:val="442F31DC"/>
    <w:rsid w:val="443D2174"/>
    <w:rsid w:val="443F8E49"/>
    <w:rsid w:val="44437605"/>
    <w:rsid w:val="44472B42"/>
    <w:rsid w:val="4449462D"/>
    <w:rsid w:val="44497A47"/>
    <w:rsid w:val="444A501B"/>
    <w:rsid w:val="44601ED6"/>
    <w:rsid w:val="446690ED"/>
    <w:rsid w:val="4469DC77"/>
    <w:rsid w:val="44706F6C"/>
    <w:rsid w:val="4475C8A0"/>
    <w:rsid w:val="448C6AB2"/>
    <w:rsid w:val="44958221"/>
    <w:rsid w:val="449CD008"/>
    <w:rsid w:val="44B9ADE3"/>
    <w:rsid w:val="44BB9283"/>
    <w:rsid w:val="44D27837"/>
    <w:rsid w:val="44EA76CA"/>
    <w:rsid w:val="44EF8DB6"/>
    <w:rsid w:val="44F021C1"/>
    <w:rsid w:val="44F25E6F"/>
    <w:rsid w:val="44F2A911"/>
    <w:rsid w:val="4517323D"/>
    <w:rsid w:val="452CC478"/>
    <w:rsid w:val="452D04EB"/>
    <w:rsid w:val="453145BA"/>
    <w:rsid w:val="453BFE2C"/>
    <w:rsid w:val="453DFA51"/>
    <w:rsid w:val="45406997"/>
    <w:rsid w:val="454348BB"/>
    <w:rsid w:val="4547090B"/>
    <w:rsid w:val="454A3AA8"/>
    <w:rsid w:val="454AF47C"/>
    <w:rsid w:val="455A2B3C"/>
    <w:rsid w:val="455E7893"/>
    <w:rsid w:val="4562E69A"/>
    <w:rsid w:val="45639F64"/>
    <w:rsid w:val="45997AAB"/>
    <w:rsid w:val="45A3DEC3"/>
    <w:rsid w:val="45A663DE"/>
    <w:rsid w:val="45C1C81D"/>
    <w:rsid w:val="45D5848F"/>
    <w:rsid w:val="45DCDBD6"/>
    <w:rsid w:val="45FEAB70"/>
    <w:rsid w:val="45FF0AE6"/>
    <w:rsid w:val="4610B002"/>
    <w:rsid w:val="462208C2"/>
    <w:rsid w:val="46290DEC"/>
    <w:rsid w:val="462E5199"/>
    <w:rsid w:val="46329716"/>
    <w:rsid w:val="463E9013"/>
    <w:rsid w:val="4645933F"/>
    <w:rsid w:val="4647968D"/>
    <w:rsid w:val="464C6CA1"/>
    <w:rsid w:val="464D8E65"/>
    <w:rsid w:val="464EF9D6"/>
    <w:rsid w:val="465BE8FB"/>
    <w:rsid w:val="465E14AD"/>
    <w:rsid w:val="465FFBCA"/>
    <w:rsid w:val="46608736"/>
    <w:rsid w:val="4664A553"/>
    <w:rsid w:val="467090BD"/>
    <w:rsid w:val="467E7420"/>
    <w:rsid w:val="4680B958"/>
    <w:rsid w:val="468C910B"/>
    <w:rsid w:val="469AD286"/>
    <w:rsid w:val="46A48EA0"/>
    <w:rsid w:val="46BAA3D2"/>
    <w:rsid w:val="46C0DB3F"/>
    <w:rsid w:val="46D0BDF7"/>
    <w:rsid w:val="46EC0201"/>
    <w:rsid w:val="4703DBC5"/>
    <w:rsid w:val="47041B07"/>
    <w:rsid w:val="47051C42"/>
    <w:rsid w:val="470B1A94"/>
    <w:rsid w:val="47150AF0"/>
    <w:rsid w:val="4719851B"/>
    <w:rsid w:val="471E1621"/>
    <w:rsid w:val="472B460E"/>
    <w:rsid w:val="472C7F69"/>
    <w:rsid w:val="472E610F"/>
    <w:rsid w:val="4747C1B7"/>
    <w:rsid w:val="47518807"/>
    <w:rsid w:val="47646D87"/>
    <w:rsid w:val="476805B1"/>
    <w:rsid w:val="476D4C9A"/>
    <w:rsid w:val="47723DE9"/>
    <w:rsid w:val="4777EC2B"/>
    <w:rsid w:val="477B7EE6"/>
    <w:rsid w:val="477E4C3D"/>
    <w:rsid w:val="47848241"/>
    <w:rsid w:val="4786B991"/>
    <w:rsid w:val="479D4E43"/>
    <w:rsid w:val="47A24A64"/>
    <w:rsid w:val="47CD49DF"/>
    <w:rsid w:val="47D7D850"/>
    <w:rsid w:val="47E4097F"/>
    <w:rsid w:val="47F645D0"/>
    <w:rsid w:val="47F770CE"/>
    <w:rsid w:val="47FB134B"/>
    <w:rsid w:val="48038345"/>
    <w:rsid w:val="48098F86"/>
    <w:rsid w:val="480B6BB7"/>
    <w:rsid w:val="48104FEC"/>
    <w:rsid w:val="482174E4"/>
    <w:rsid w:val="48259BEB"/>
    <w:rsid w:val="482D2F1F"/>
    <w:rsid w:val="48312F83"/>
    <w:rsid w:val="485314F7"/>
    <w:rsid w:val="48657ECC"/>
    <w:rsid w:val="487B2A25"/>
    <w:rsid w:val="487D630F"/>
    <w:rsid w:val="4886C635"/>
    <w:rsid w:val="4889648C"/>
    <w:rsid w:val="48930C2B"/>
    <w:rsid w:val="489B0C86"/>
    <w:rsid w:val="489C9692"/>
    <w:rsid w:val="489E2035"/>
    <w:rsid w:val="48A86D20"/>
    <w:rsid w:val="48BFC638"/>
    <w:rsid w:val="48C0D4BE"/>
    <w:rsid w:val="48C8F2E0"/>
    <w:rsid w:val="48D34A17"/>
    <w:rsid w:val="48D39379"/>
    <w:rsid w:val="48D5EF01"/>
    <w:rsid w:val="48E0D374"/>
    <w:rsid w:val="48ED9925"/>
    <w:rsid w:val="48F6DEA4"/>
    <w:rsid w:val="490C8B4E"/>
    <w:rsid w:val="490D0A99"/>
    <w:rsid w:val="490D542F"/>
    <w:rsid w:val="4915FB29"/>
    <w:rsid w:val="491CE54C"/>
    <w:rsid w:val="4921D98D"/>
    <w:rsid w:val="4921F56A"/>
    <w:rsid w:val="492E95E7"/>
    <w:rsid w:val="493CA0AA"/>
    <w:rsid w:val="493D78B5"/>
    <w:rsid w:val="493E1AC5"/>
    <w:rsid w:val="493F4CC7"/>
    <w:rsid w:val="4943DCCC"/>
    <w:rsid w:val="49487BE1"/>
    <w:rsid w:val="494EB8B3"/>
    <w:rsid w:val="495900B2"/>
    <w:rsid w:val="4965A1A9"/>
    <w:rsid w:val="496D86D6"/>
    <w:rsid w:val="4982ED15"/>
    <w:rsid w:val="49853106"/>
    <w:rsid w:val="4988783A"/>
    <w:rsid w:val="498BBF10"/>
    <w:rsid w:val="499CB7BB"/>
    <w:rsid w:val="499F1387"/>
    <w:rsid w:val="499FE530"/>
    <w:rsid w:val="49AB41C5"/>
    <w:rsid w:val="49B4E139"/>
    <w:rsid w:val="49B60854"/>
    <w:rsid w:val="49BBBF54"/>
    <w:rsid w:val="49C129A7"/>
    <w:rsid w:val="49C1DD92"/>
    <w:rsid w:val="49C874AB"/>
    <w:rsid w:val="49D2C413"/>
    <w:rsid w:val="49D3CB28"/>
    <w:rsid w:val="49D52A6D"/>
    <w:rsid w:val="49D7519C"/>
    <w:rsid w:val="49DB92E5"/>
    <w:rsid w:val="49E3316F"/>
    <w:rsid w:val="49F602CA"/>
    <w:rsid w:val="49F91140"/>
    <w:rsid w:val="49FFE1B7"/>
    <w:rsid w:val="4A035ED4"/>
    <w:rsid w:val="4A07DEFC"/>
    <w:rsid w:val="4A0D7DC9"/>
    <w:rsid w:val="4A1805F9"/>
    <w:rsid w:val="4A18388C"/>
    <w:rsid w:val="4A1D3E4A"/>
    <w:rsid w:val="4A2CC8B5"/>
    <w:rsid w:val="4A2ECBA0"/>
    <w:rsid w:val="4A3156E3"/>
    <w:rsid w:val="4A328667"/>
    <w:rsid w:val="4A3BD51F"/>
    <w:rsid w:val="4A46AE6D"/>
    <w:rsid w:val="4A471D1B"/>
    <w:rsid w:val="4A4D726C"/>
    <w:rsid w:val="4A59D716"/>
    <w:rsid w:val="4A794D2D"/>
    <w:rsid w:val="4A7B7DBA"/>
    <w:rsid w:val="4A7B86C1"/>
    <w:rsid w:val="4A826BA8"/>
    <w:rsid w:val="4A98D51B"/>
    <w:rsid w:val="4AA936B1"/>
    <w:rsid w:val="4AAFE287"/>
    <w:rsid w:val="4AB0E8AC"/>
    <w:rsid w:val="4ABFAC89"/>
    <w:rsid w:val="4AC3C4DA"/>
    <w:rsid w:val="4ADEFBA7"/>
    <w:rsid w:val="4AE0E69C"/>
    <w:rsid w:val="4AEB0C96"/>
    <w:rsid w:val="4AEDE0A5"/>
    <w:rsid w:val="4B02624B"/>
    <w:rsid w:val="4B0F51A7"/>
    <w:rsid w:val="4B11F9C5"/>
    <w:rsid w:val="4B1A7000"/>
    <w:rsid w:val="4B1AC960"/>
    <w:rsid w:val="4B1F036B"/>
    <w:rsid w:val="4B20031B"/>
    <w:rsid w:val="4B20BF75"/>
    <w:rsid w:val="4B2B6A43"/>
    <w:rsid w:val="4B2E46E8"/>
    <w:rsid w:val="4B2F8644"/>
    <w:rsid w:val="4B33849A"/>
    <w:rsid w:val="4B361D83"/>
    <w:rsid w:val="4B487796"/>
    <w:rsid w:val="4B4D3F64"/>
    <w:rsid w:val="4B5388D2"/>
    <w:rsid w:val="4B56269C"/>
    <w:rsid w:val="4B58386B"/>
    <w:rsid w:val="4B5DD021"/>
    <w:rsid w:val="4B76C143"/>
    <w:rsid w:val="4B779866"/>
    <w:rsid w:val="4B836726"/>
    <w:rsid w:val="4B8CBB42"/>
    <w:rsid w:val="4B9DF763"/>
    <w:rsid w:val="4BB37996"/>
    <w:rsid w:val="4BB65479"/>
    <w:rsid w:val="4BCC1515"/>
    <w:rsid w:val="4BCD50E0"/>
    <w:rsid w:val="4BDE8BB7"/>
    <w:rsid w:val="4BE367E1"/>
    <w:rsid w:val="4BECC33C"/>
    <w:rsid w:val="4BECEBB0"/>
    <w:rsid w:val="4C09FA1D"/>
    <w:rsid w:val="4C140AD5"/>
    <w:rsid w:val="4C19E38F"/>
    <w:rsid w:val="4C1A64C7"/>
    <w:rsid w:val="4C1CFD5C"/>
    <w:rsid w:val="4C1E1A58"/>
    <w:rsid w:val="4C20039D"/>
    <w:rsid w:val="4C28548C"/>
    <w:rsid w:val="4C53FB00"/>
    <w:rsid w:val="4C557C30"/>
    <w:rsid w:val="4C56137E"/>
    <w:rsid w:val="4C592CCE"/>
    <w:rsid w:val="4C5C5B8B"/>
    <w:rsid w:val="4C600A0F"/>
    <w:rsid w:val="4C713D62"/>
    <w:rsid w:val="4C81CDD6"/>
    <w:rsid w:val="4C96E4D8"/>
    <w:rsid w:val="4CB7885D"/>
    <w:rsid w:val="4CB7A052"/>
    <w:rsid w:val="4CBB2CED"/>
    <w:rsid w:val="4CC6B6BD"/>
    <w:rsid w:val="4CC6C013"/>
    <w:rsid w:val="4CCA5AFE"/>
    <w:rsid w:val="4CD4E80E"/>
    <w:rsid w:val="4CE03FBE"/>
    <w:rsid w:val="4CE40F6D"/>
    <w:rsid w:val="4CE447F7"/>
    <w:rsid w:val="4CEBF8D2"/>
    <w:rsid w:val="4D0253EF"/>
    <w:rsid w:val="4D034EB6"/>
    <w:rsid w:val="4D046B91"/>
    <w:rsid w:val="4D19885D"/>
    <w:rsid w:val="4D29EC20"/>
    <w:rsid w:val="4D2A2D5C"/>
    <w:rsid w:val="4D39D82C"/>
    <w:rsid w:val="4D3E83AC"/>
    <w:rsid w:val="4D45E2DF"/>
    <w:rsid w:val="4D4B8760"/>
    <w:rsid w:val="4D54DF0C"/>
    <w:rsid w:val="4D671AF0"/>
    <w:rsid w:val="4D692141"/>
    <w:rsid w:val="4D695036"/>
    <w:rsid w:val="4D6D8306"/>
    <w:rsid w:val="4D7606F5"/>
    <w:rsid w:val="4D78010A"/>
    <w:rsid w:val="4D95487E"/>
    <w:rsid w:val="4DA5A44D"/>
    <w:rsid w:val="4DB69619"/>
    <w:rsid w:val="4DB72DC7"/>
    <w:rsid w:val="4DC4573D"/>
    <w:rsid w:val="4DC638DB"/>
    <w:rsid w:val="4DC7B0E6"/>
    <w:rsid w:val="4DCCC3E8"/>
    <w:rsid w:val="4DD58FAA"/>
    <w:rsid w:val="4DD97783"/>
    <w:rsid w:val="4DEBCD33"/>
    <w:rsid w:val="4DF05EA0"/>
    <w:rsid w:val="4DF8144C"/>
    <w:rsid w:val="4DFBAF63"/>
    <w:rsid w:val="4E1C659B"/>
    <w:rsid w:val="4E217CBB"/>
    <w:rsid w:val="4E251BE2"/>
    <w:rsid w:val="4E3C6ADF"/>
    <w:rsid w:val="4E408AC1"/>
    <w:rsid w:val="4E5D19AB"/>
    <w:rsid w:val="4E67C07D"/>
    <w:rsid w:val="4E6E004D"/>
    <w:rsid w:val="4E72B4C0"/>
    <w:rsid w:val="4E72EFC4"/>
    <w:rsid w:val="4E7789BD"/>
    <w:rsid w:val="4E790065"/>
    <w:rsid w:val="4E7F29EE"/>
    <w:rsid w:val="4E9529F9"/>
    <w:rsid w:val="4EA45E29"/>
    <w:rsid w:val="4EA5B185"/>
    <w:rsid w:val="4EA6308C"/>
    <w:rsid w:val="4EA8B936"/>
    <w:rsid w:val="4EAAA1A6"/>
    <w:rsid w:val="4EAB7718"/>
    <w:rsid w:val="4EAF49A8"/>
    <w:rsid w:val="4EB30C9B"/>
    <w:rsid w:val="4EB5D373"/>
    <w:rsid w:val="4EB83A96"/>
    <w:rsid w:val="4EBDC07B"/>
    <w:rsid w:val="4EC1EC2D"/>
    <w:rsid w:val="4ECFD28E"/>
    <w:rsid w:val="4EDAA538"/>
    <w:rsid w:val="4EDFAF93"/>
    <w:rsid w:val="4EE05F55"/>
    <w:rsid w:val="4EE33C3F"/>
    <w:rsid w:val="4EEC4D4C"/>
    <w:rsid w:val="4EFA6ADD"/>
    <w:rsid w:val="4F00F176"/>
    <w:rsid w:val="4F02921F"/>
    <w:rsid w:val="4F03D576"/>
    <w:rsid w:val="4F09833D"/>
    <w:rsid w:val="4F16B919"/>
    <w:rsid w:val="4F19912F"/>
    <w:rsid w:val="4F20F071"/>
    <w:rsid w:val="4F2C437A"/>
    <w:rsid w:val="4F2F5337"/>
    <w:rsid w:val="4F319BA4"/>
    <w:rsid w:val="4F3FE38C"/>
    <w:rsid w:val="4F4174AE"/>
    <w:rsid w:val="4F471F10"/>
    <w:rsid w:val="4F4F8206"/>
    <w:rsid w:val="4F589039"/>
    <w:rsid w:val="4F5989D8"/>
    <w:rsid w:val="4F70A303"/>
    <w:rsid w:val="4F731A00"/>
    <w:rsid w:val="4F7425ED"/>
    <w:rsid w:val="4F7547E4"/>
    <w:rsid w:val="4F78A3A2"/>
    <w:rsid w:val="4F794C2D"/>
    <w:rsid w:val="4F80DF22"/>
    <w:rsid w:val="4F817154"/>
    <w:rsid w:val="4F824678"/>
    <w:rsid w:val="4FA00339"/>
    <w:rsid w:val="4FA200E6"/>
    <w:rsid w:val="4FAEDE85"/>
    <w:rsid w:val="4FB3CFB4"/>
    <w:rsid w:val="4FB51F7B"/>
    <w:rsid w:val="4FCD50AE"/>
    <w:rsid w:val="4FE03742"/>
    <w:rsid w:val="4FF6D82A"/>
    <w:rsid w:val="4FFA235C"/>
    <w:rsid w:val="50065690"/>
    <w:rsid w:val="50126BE9"/>
    <w:rsid w:val="50136F91"/>
    <w:rsid w:val="503D4185"/>
    <w:rsid w:val="50491734"/>
    <w:rsid w:val="5049629C"/>
    <w:rsid w:val="504D8A93"/>
    <w:rsid w:val="504E8415"/>
    <w:rsid w:val="50597EB0"/>
    <w:rsid w:val="505F36B9"/>
    <w:rsid w:val="5064C7FD"/>
    <w:rsid w:val="506A5A1D"/>
    <w:rsid w:val="507A1956"/>
    <w:rsid w:val="50831E6A"/>
    <w:rsid w:val="508BA1E1"/>
    <w:rsid w:val="50961D1C"/>
    <w:rsid w:val="5099C3F8"/>
    <w:rsid w:val="50A0C203"/>
    <w:rsid w:val="50A523C8"/>
    <w:rsid w:val="50AAE78E"/>
    <w:rsid w:val="50ABA89C"/>
    <w:rsid w:val="50C6C481"/>
    <w:rsid w:val="50CDEE39"/>
    <w:rsid w:val="50CF8C0B"/>
    <w:rsid w:val="50D29B38"/>
    <w:rsid w:val="50F37A72"/>
    <w:rsid w:val="50F5296C"/>
    <w:rsid w:val="50FB6D35"/>
    <w:rsid w:val="5103E2AB"/>
    <w:rsid w:val="510C8BE2"/>
    <w:rsid w:val="51268B98"/>
    <w:rsid w:val="51286DB7"/>
    <w:rsid w:val="512C2731"/>
    <w:rsid w:val="512D443D"/>
    <w:rsid w:val="5131A2EE"/>
    <w:rsid w:val="5132E400"/>
    <w:rsid w:val="513A5982"/>
    <w:rsid w:val="513F0F14"/>
    <w:rsid w:val="5140DAF4"/>
    <w:rsid w:val="5148997E"/>
    <w:rsid w:val="514ECD32"/>
    <w:rsid w:val="51588C6F"/>
    <w:rsid w:val="5164D000"/>
    <w:rsid w:val="5168E18E"/>
    <w:rsid w:val="516B3919"/>
    <w:rsid w:val="5171DB0C"/>
    <w:rsid w:val="517BC2AD"/>
    <w:rsid w:val="51860B86"/>
    <w:rsid w:val="518D36F5"/>
    <w:rsid w:val="51992356"/>
    <w:rsid w:val="519AE643"/>
    <w:rsid w:val="519F2DAF"/>
    <w:rsid w:val="51A21F89"/>
    <w:rsid w:val="51A2EA1B"/>
    <w:rsid w:val="51A45C14"/>
    <w:rsid w:val="51B053CE"/>
    <w:rsid w:val="51B1285D"/>
    <w:rsid w:val="51CD0A43"/>
    <w:rsid w:val="51D1A06F"/>
    <w:rsid w:val="51D911E6"/>
    <w:rsid w:val="51DF900D"/>
    <w:rsid w:val="51E13815"/>
    <w:rsid w:val="51E723B6"/>
    <w:rsid w:val="51E8FCA4"/>
    <w:rsid w:val="51EC964F"/>
    <w:rsid w:val="51F39974"/>
    <w:rsid w:val="51F601EC"/>
    <w:rsid w:val="51FCEDB2"/>
    <w:rsid w:val="51FED441"/>
    <w:rsid w:val="5200911D"/>
    <w:rsid w:val="52057D48"/>
    <w:rsid w:val="5209814D"/>
    <w:rsid w:val="520A3E2D"/>
    <w:rsid w:val="52141C0D"/>
    <w:rsid w:val="521F5C3A"/>
    <w:rsid w:val="522225E7"/>
    <w:rsid w:val="5226E976"/>
    <w:rsid w:val="5232D885"/>
    <w:rsid w:val="52447FEA"/>
    <w:rsid w:val="5246A9B7"/>
    <w:rsid w:val="5246CBE9"/>
    <w:rsid w:val="525FC429"/>
    <w:rsid w:val="5263879F"/>
    <w:rsid w:val="5266140B"/>
    <w:rsid w:val="5268BD52"/>
    <w:rsid w:val="526B3F2B"/>
    <w:rsid w:val="526E4893"/>
    <w:rsid w:val="527C3A40"/>
    <w:rsid w:val="527F8465"/>
    <w:rsid w:val="52905CE6"/>
    <w:rsid w:val="529636F5"/>
    <w:rsid w:val="52973D96"/>
    <w:rsid w:val="529DF8BE"/>
    <w:rsid w:val="52C36249"/>
    <w:rsid w:val="52C3EC75"/>
    <w:rsid w:val="52D0D6B6"/>
    <w:rsid w:val="52D51C5E"/>
    <w:rsid w:val="52D7B240"/>
    <w:rsid w:val="52E8D1DC"/>
    <w:rsid w:val="530577E7"/>
    <w:rsid w:val="53058F11"/>
    <w:rsid w:val="5316837C"/>
    <w:rsid w:val="531ABEDA"/>
    <w:rsid w:val="5324E18B"/>
    <w:rsid w:val="53260AFD"/>
    <w:rsid w:val="53261B0E"/>
    <w:rsid w:val="53274AEF"/>
    <w:rsid w:val="5328115E"/>
    <w:rsid w:val="53362959"/>
    <w:rsid w:val="533B7137"/>
    <w:rsid w:val="534BF9B8"/>
    <w:rsid w:val="5364DD2A"/>
    <w:rsid w:val="536CFC7A"/>
    <w:rsid w:val="53746061"/>
    <w:rsid w:val="53785D49"/>
    <w:rsid w:val="537E3751"/>
    <w:rsid w:val="537F956E"/>
    <w:rsid w:val="5381E397"/>
    <w:rsid w:val="53820C62"/>
    <w:rsid w:val="53860720"/>
    <w:rsid w:val="5387833C"/>
    <w:rsid w:val="5388E706"/>
    <w:rsid w:val="5391D24D"/>
    <w:rsid w:val="539538B9"/>
    <w:rsid w:val="5398D9C6"/>
    <w:rsid w:val="5399C362"/>
    <w:rsid w:val="539AA4A2"/>
    <w:rsid w:val="53AB4774"/>
    <w:rsid w:val="53B93361"/>
    <w:rsid w:val="53BDD67B"/>
    <w:rsid w:val="53D7477D"/>
    <w:rsid w:val="53D9AE5B"/>
    <w:rsid w:val="53E33BCF"/>
    <w:rsid w:val="53EF17ED"/>
    <w:rsid w:val="53F3A7DF"/>
    <w:rsid w:val="53FBBD74"/>
    <w:rsid w:val="53FFB49D"/>
    <w:rsid w:val="540A79D4"/>
    <w:rsid w:val="5411F2D7"/>
    <w:rsid w:val="54162478"/>
    <w:rsid w:val="541A40C2"/>
    <w:rsid w:val="542E3245"/>
    <w:rsid w:val="54430149"/>
    <w:rsid w:val="545447D9"/>
    <w:rsid w:val="5465947D"/>
    <w:rsid w:val="54678E96"/>
    <w:rsid w:val="547EC685"/>
    <w:rsid w:val="54A21D25"/>
    <w:rsid w:val="54A25E87"/>
    <w:rsid w:val="54AF8D39"/>
    <w:rsid w:val="54B28C3D"/>
    <w:rsid w:val="54C3EA97"/>
    <w:rsid w:val="54C45C50"/>
    <w:rsid w:val="54C61750"/>
    <w:rsid w:val="54C8DD5D"/>
    <w:rsid w:val="54D9D1B7"/>
    <w:rsid w:val="54DCA567"/>
    <w:rsid w:val="54DFF90D"/>
    <w:rsid w:val="54E3A6FE"/>
    <w:rsid w:val="54E4129F"/>
    <w:rsid w:val="54EAC7FA"/>
    <w:rsid w:val="54EAE3C4"/>
    <w:rsid w:val="54EC4C43"/>
    <w:rsid w:val="54F0BF2B"/>
    <w:rsid w:val="551672C5"/>
    <w:rsid w:val="551B3044"/>
    <w:rsid w:val="554401C6"/>
    <w:rsid w:val="554A4806"/>
    <w:rsid w:val="554C87DB"/>
    <w:rsid w:val="555C3AA8"/>
    <w:rsid w:val="55743326"/>
    <w:rsid w:val="557E3590"/>
    <w:rsid w:val="557F0C30"/>
    <w:rsid w:val="558A9784"/>
    <w:rsid w:val="5591F7CE"/>
    <w:rsid w:val="5592D0E1"/>
    <w:rsid w:val="55935F75"/>
    <w:rsid w:val="559A26C8"/>
    <w:rsid w:val="55A384C0"/>
    <w:rsid w:val="55BAB94F"/>
    <w:rsid w:val="55CE0803"/>
    <w:rsid w:val="55CEF3BC"/>
    <w:rsid w:val="55D1D24D"/>
    <w:rsid w:val="55DF0C7D"/>
    <w:rsid w:val="55E06E08"/>
    <w:rsid w:val="55E1EDBE"/>
    <w:rsid w:val="55F1C838"/>
    <w:rsid w:val="5605FDA3"/>
    <w:rsid w:val="560F9F0E"/>
    <w:rsid w:val="561A33A2"/>
    <w:rsid w:val="561B98AA"/>
    <w:rsid w:val="561CCF3D"/>
    <w:rsid w:val="561EF7BC"/>
    <w:rsid w:val="5621D444"/>
    <w:rsid w:val="5637029A"/>
    <w:rsid w:val="563DFFA7"/>
    <w:rsid w:val="5643E6E2"/>
    <w:rsid w:val="56461585"/>
    <w:rsid w:val="5648BAF8"/>
    <w:rsid w:val="565162D0"/>
    <w:rsid w:val="56538AE2"/>
    <w:rsid w:val="56688CE8"/>
    <w:rsid w:val="5668D206"/>
    <w:rsid w:val="566FDF85"/>
    <w:rsid w:val="5672739C"/>
    <w:rsid w:val="568124B1"/>
    <w:rsid w:val="568B50C8"/>
    <w:rsid w:val="568C9416"/>
    <w:rsid w:val="5690B174"/>
    <w:rsid w:val="56A64C3A"/>
    <w:rsid w:val="56BE2C67"/>
    <w:rsid w:val="56BFAD87"/>
    <w:rsid w:val="56CA9595"/>
    <w:rsid w:val="56CC3738"/>
    <w:rsid w:val="56D31FA0"/>
    <w:rsid w:val="56E84063"/>
    <w:rsid w:val="570570F1"/>
    <w:rsid w:val="57090235"/>
    <w:rsid w:val="57100387"/>
    <w:rsid w:val="5713BB45"/>
    <w:rsid w:val="57155FEF"/>
    <w:rsid w:val="571C05C1"/>
    <w:rsid w:val="5723FF17"/>
    <w:rsid w:val="57292BE4"/>
    <w:rsid w:val="57295EC9"/>
    <w:rsid w:val="5736ACD6"/>
    <w:rsid w:val="57378B50"/>
    <w:rsid w:val="573C421A"/>
    <w:rsid w:val="57404C63"/>
    <w:rsid w:val="57475317"/>
    <w:rsid w:val="575414D3"/>
    <w:rsid w:val="57566722"/>
    <w:rsid w:val="575689B0"/>
    <w:rsid w:val="575CEED8"/>
    <w:rsid w:val="57644737"/>
    <w:rsid w:val="5768D2F7"/>
    <w:rsid w:val="576A0AAF"/>
    <w:rsid w:val="576AF5FC"/>
    <w:rsid w:val="576D1B21"/>
    <w:rsid w:val="57804A9F"/>
    <w:rsid w:val="578C894E"/>
    <w:rsid w:val="578F551A"/>
    <w:rsid w:val="57916119"/>
    <w:rsid w:val="57972785"/>
    <w:rsid w:val="579B2BCD"/>
    <w:rsid w:val="57B10376"/>
    <w:rsid w:val="57B46BD7"/>
    <w:rsid w:val="57C9369C"/>
    <w:rsid w:val="57D2F235"/>
    <w:rsid w:val="57D422D7"/>
    <w:rsid w:val="57D60AF0"/>
    <w:rsid w:val="57E59457"/>
    <w:rsid w:val="57E70C73"/>
    <w:rsid w:val="57E9813B"/>
    <w:rsid w:val="57EB1060"/>
    <w:rsid w:val="57F551E3"/>
    <w:rsid w:val="5805CB9B"/>
    <w:rsid w:val="58122B9F"/>
    <w:rsid w:val="58147A00"/>
    <w:rsid w:val="581E27F3"/>
    <w:rsid w:val="5832A15D"/>
    <w:rsid w:val="583B67D0"/>
    <w:rsid w:val="584434FF"/>
    <w:rsid w:val="58463A38"/>
    <w:rsid w:val="584BCE6C"/>
    <w:rsid w:val="585807A1"/>
    <w:rsid w:val="5864C772"/>
    <w:rsid w:val="58701F9F"/>
    <w:rsid w:val="5876710E"/>
    <w:rsid w:val="587DECC5"/>
    <w:rsid w:val="58839AAF"/>
    <w:rsid w:val="5885BA51"/>
    <w:rsid w:val="58896974"/>
    <w:rsid w:val="588F7209"/>
    <w:rsid w:val="5890F70D"/>
    <w:rsid w:val="589A9774"/>
    <w:rsid w:val="589DDE8D"/>
    <w:rsid w:val="589F1608"/>
    <w:rsid w:val="58B82333"/>
    <w:rsid w:val="58BDEED8"/>
    <w:rsid w:val="58C23E0F"/>
    <w:rsid w:val="58C70B20"/>
    <w:rsid w:val="58DE8829"/>
    <w:rsid w:val="58E510F5"/>
    <w:rsid w:val="58E8EF5F"/>
    <w:rsid w:val="58EC587A"/>
    <w:rsid w:val="58F1ADB9"/>
    <w:rsid w:val="58F778EC"/>
    <w:rsid w:val="590706BE"/>
    <w:rsid w:val="5917E5C5"/>
    <w:rsid w:val="5918A6AB"/>
    <w:rsid w:val="591E0EC5"/>
    <w:rsid w:val="5925DB05"/>
    <w:rsid w:val="5932983E"/>
    <w:rsid w:val="593F1C7F"/>
    <w:rsid w:val="59454CBA"/>
    <w:rsid w:val="59466095"/>
    <w:rsid w:val="594D0E8F"/>
    <w:rsid w:val="595FF229"/>
    <w:rsid w:val="596B0CD1"/>
    <w:rsid w:val="596BE9C7"/>
    <w:rsid w:val="596C1E54"/>
    <w:rsid w:val="59840CFF"/>
    <w:rsid w:val="598C7B14"/>
    <w:rsid w:val="599667EF"/>
    <w:rsid w:val="599F28B9"/>
    <w:rsid w:val="59A111CA"/>
    <w:rsid w:val="59A2C32F"/>
    <w:rsid w:val="59AC976B"/>
    <w:rsid w:val="59AD065C"/>
    <w:rsid w:val="59B099B6"/>
    <w:rsid w:val="59D7BFA8"/>
    <w:rsid w:val="59D8CF98"/>
    <w:rsid w:val="59DC3DFE"/>
    <w:rsid w:val="59E38618"/>
    <w:rsid w:val="59F97661"/>
    <w:rsid w:val="59FB1213"/>
    <w:rsid w:val="5A0048B5"/>
    <w:rsid w:val="5A0516E1"/>
    <w:rsid w:val="5A07A588"/>
    <w:rsid w:val="5A12416F"/>
    <w:rsid w:val="5A1CBFF5"/>
    <w:rsid w:val="5A1E5095"/>
    <w:rsid w:val="5A208FF8"/>
    <w:rsid w:val="5A28312C"/>
    <w:rsid w:val="5A2A8402"/>
    <w:rsid w:val="5A2B471A"/>
    <w:rsid w:val="5A2FCFE4"/>
    <w:rsid w:val="5A30C72C"/>
    <w:rsid w:val="5A4A2A5E"/>
    <w:rsid w:val="5A4B7C7C"/>
    <w:rsid w:val="5A4D6318"/>
    <w:rsid w:val="5A503299"/>
    <w:rsid w:val="5A51060D"/>
    <w:rsid w:val="5A512D62"/>
    <w:rsid w:val="5A59C72F"/>
    <w:rsid w:val="5A5D2CAB"/>
    <w:rsid w:val="5A668D86"/>
    <w:rsid w:val="5A6D61E1"/>
    <w:rsid w:val="5A72C5F3"/>
    <w:rsid w:val="5A89D226"/>
    <w:rsid w:val="5A9AA62A"/>
    <w:rsid w:val="5A9BD3A9"/>
    <w:rsid w:val="5AA1E6B2"/>
    <w:rsid w:val="5AA990E7"/>
    <w:rsid w:val="5AACA969"/>
    <w:rsid w:val="5AB7AE9A"/>
    <w:rsid w:val="5AC0A63E"/>
    <w:rsid w:val="5AC15D14"/>
    <w:rsid w:val="5AD72C77"/>
    <w:rsid w:val="5ADDA2A9"/>
    <w:rsid w:val="5ADE76E0"/>
    <w:rsid w:val="5AE055FE"/>
    <w:rsid w:val="5AEADA62"/>
    <w:rsid w:val="5AEB1057"/>
    <w:rsid w:val="5AF24A16"/>
    <w:rsid w:val="5AFACF69"/>
    <w:rsid w:val="5AFBCB95"/>
    <w:rsid w:val="5AFDD8EA"/>
    <w:rsid w:val="5B07992C"/>
    <w:rsid w:val="5B175805"/>
    <w:rsid w:val="5B2FD8AB"/>
    <w:rsid w:val="5B448C86"/>
    <w:rsid w:val="5B48BC9F"/>
    <w:rsid w:val="5B4990B7"/>
    <w:rsid w:val="5B62FAD0"/>
    <w:rsid w:val="5B69B9CA"/>
    <w:rsid w:val="5B73BE57"/>
    <w:rsid w:val="5B753066"/>
    <w:rsid w:val="5B9E8FC9"/>
    <w:rsid w:val="5B9EC2EF"/>
    <w:rsid w:val="5BA04A9E"/>
    <w:rsid w:val="5BA1AB02"/>
    <w:rsid w:val="5BA36A7D"/>
    <w:rsid w:val="5BB003DE"/>
    <w:rsid w:val="5BB497F2"/>
    <w:rsid w:val="5BBBF73D"/>
    <w:rsid w:val="5BC13B68"/>
    <w:rsid w:val="5BC24D47"/>
    <w:rsid w:val="5BCE8B4D"/>
    <w:rsid w:val="5BCF90E9"/>
    <w:rsid w:val="5BD08B18"/>
    <w:rsid w:val="5BE7E94B"/>
    <w:rsid w:val="5BEA0515"/>
    <w:rsid w:val="5BEB6230"/>
    <w:rsid w:val="5BEE5456"/>
    <w:rsid w:val="5BF07155"/>
    <w:rsid w:val="5BF69504"/>
    <w:rsid w:val="5BF9904E"/>
    <w:rsid w:val="5BFC26C6"/>
    <w:rsid w:val="5C16B76C"/>
    <w:rsid w:val="5C3818B3"/>
    <w:rsid w:val="5C3C1D62"/>
    <w:rsid w:val="5C3E8D62"/>
    <w:rsid w:val="5C408C44"/>
    <w:rsid w:val="5C46D5B7"/>
    <w:rsid w:val="5C4909D4"/>
    <w:rsid w:val="5C52A8F5"/>
    <w:rsid w:val="5C5C4269"/>
    <w:rsid w:val="5C7C8688"/>
    <w:rsid w:val="5C7E22C7"/>
    <w:rsid w:val="5C8A6536"/>
    <w:rsid w:val="5C9FAAE3"/>
    <w:rsid w:val="5CB0C2A8"/>
    <w:rsid w:val="5CC03534"/>
    <w:rsid w:val="5CD675E9"/>
    <w:rsid w:val="5CDAFC0E"/>
    <w:rsid w:val="5CE204CA"/>
    <w:rsid w:val="5D0111A1"/>
    <w:rsid w:val="5D08CD65"/>
    <w:rsid w:val="5D0F4733"/>
    <w:rsid w:val="5D141E6A"/>
    <w:rsid w:val="5D1AC3A9"/>
    <w:rsid w:val="5D1D1FB7"/>
    <w:rsid w:val="5D2F87C2"/>
    <w:rsid w:val="5D44159F"/>
    <w:rsid w:val="5D50055C"/>
    <w:rsid w:val="5D543859"/>
    <w:rsid w:val="5D5920D7"/>
    <w:rsid w:val="5D5BD5DF"/>
    <w:rsid w:val="5D6224C4"/>
    <w:rsid w:val="5D716226"/>
    <w:rsid w:val="5D7AC9FF"/>
    <w:rsid w:val="5D7F6DB1"/>
    <w:rsid w:val="5D82FA0A"/>
    <w:rsid w:val="5D88F4E8"/>
    <w:rsid w:val="5D950F4C"/>
    <w:rsid w:val="5D9E665B"/>
    <w:rsid w:val="5DAD987B"/>
    <w:rsid w:val="5DC89F51"/>
    <w:rsid w:val="5DD064E3"/>
    <w:rsid w:val="5DD270E6"/>
    <w:rsid w:val="5DD6EBE8"/>
    <w:rsid w:val="5DE57DE7"/>
    <w:rsid w:val="5DF57811"/>
    <w:rsid w:val="5E205B7B"/>
    <w:rsid w:val="5E2396FD"/>
    <w:rsid w:val="5E24673A"/>
    <w:rsid w:val="5E25B7BF"/>
    <w:rsid w:val="5E3CA9E9"/>
    <w:rsid w:val="5E3E0CDE"/>
    <w:rsid w:val="5E3F69BD"/>
    <w:rsid w:val="5E5693D2"/>
    <w:rsid w:val="5E59648F"/>
    <w:rsid w:val="5E598B8A"/>
    <w:rsid w:val="5E5DA833"/>
    <w:rsid w:val="5E5F814F"/>
    <w:rsid w:val="5E6ACD8F"/>
    <w:rsid w:val="5E742133"/>
    <w:rsid w:val="5E765792"/>
    <w:rsid w:val="5E77A1C0"/>
    <w:rsid w:val="5E78A325"/>
    <w:rsid w:val="5E80777F"/>
    <w:rsid w:val="5E85A506"/>
    <w:rsid w:val="5E94B1DE"/>
    <w:rsid w:val="5E96A3C3"/>
    <w:rsid w:val="5EA45511"/>
    <w:rsid w:val="5EAFAF21"/>
    <w:rsid w:val="5EB28F83"/>
    <w:rsid w:val="5EC3C859"/>
    <w:rsid w:val="5ECAD7F3"/>
    <w:rsid w:val="5ECB5823"/>
    <w:rsid w:val="5ED3F5CF"/>
    <w:rsid w:val="5ED89CC9"/>
    <w:rsid w:val="5EDC14F4"/>
    <w:rsid w:val="5EE1695D"/>
    <w:rsid w:val="5EE260FE"/>
    <w:rsid w:val="5EE7E5F4"/>
    <w:rsid w:val="5EFC80C2"/>
    <w:rsid w:val="5EFFBF3A"/>
    <w:rsid w:val="5F0BB450"/>
    <w:rsid w:val="5F0D3A28"/>
    <w:rsid w:val="5F14141A"/>
    <w:rsid w:val="5F2302F2"/>
    <w:rsid w:val="5F286B52"/>
    <w:rsid w:val="5F343DC9"/>
    <w:rsid w:val="5F3B4BB7"/>
    <w:rsid w:val="5F403E2E"/>
    <w:rsid w:val="5F4B1C0E"/>
    <w:rsid w:val="5F53A0FD"/>
    <w:rsid w:val="5F58A5B4"/>
    <w:rsid w:val="5F5A1365"/>
    <w:rsid w:val="5F5B0F49"/>
    <w:rsid w:val="5F5CF3E8"/>
    <w:rsid w:val="5F630C8D"/>
    <w:rsid w:val="5F6773D1"/>
    <w:rsid w:val="5F69CDCB"/>
    <w:rsid w:val="5F6B6B9B"/>
    <w:rsid w:val="5F7D2B8E"/>
    <w:rsid w:val="5F8B6BAE"/>
    <w:rsid w:val="5F8C319C"/>
    <w:rsid w:val="5F8D167C"/>
    <w:rsid w:val="5F8FF5D3"/>
    <w:rsid w:val="5FA13D2F"/>
    <w:rsid w:val="5FA2ECFE"/>
    <w:rsid w:val="5FABB256"/>
    <w:rsid w:val="5FB8B8A7"/>
    <w:rsid w:val="5FBA324D"/>
    <w:rsid w:val="5FC5F999"/>
    <w:rsid w:val="5FCB6D99"/>
    <w:rsid w:val="5FCC185C"/>
    <w:rsid w:val="5FCF7225"/>
    <w:rsid w:val="5FD1DCB8"/>
    <w:rsid w:val="5FDF4DD0"/>
    <w:rsid w:val="5FE7E47A"/>
    <w:rsid w:val="5FF03145"/>
    <w:rsid w:val="5FFCF9D2"/>
    <w:rsid w:val="600700AF"/>
    <w:rsid w:val="60137221"/>
    <w:rsid w:val="6019E503"/>
    <w:rsid w:val="603E605F"/>
    <w:rsid w:val="60421B21"/>
    <w:rsid w:val="6042B50D"/>
    <w:rsid w:val="6052AFE6"/>
    <w:rsid w:val="60577D22"/>
    <w:rsid w:val="6057A8EB"/>
    <w:rsid w:val="6057B115"/>
    <w:rsid w:val="60722421"/>
    <w:rsid w:val="607D3A8A"/>
    <w:rsid w:val="60813BA2"/>
    <w:rsid w:val="6099DC6D"/>
    <w:rsid w:val="609C4569"/>
    <w:rsid w:val="60B1A6A0"/>
    <w:rsid w:val="60BC4235"/>
    <w:rsid w:val="60BE7756"/>
    <w:rsid w:val="60CF71A9"/>
    <w:rsid w:val="60D0D0B2"/>
    <w:rsid w:val="60D14160"/>
    <w:rsid w:val="60D1EA76"/>
    <w:rsid w:val="60D5BAE6"/>
    <w:rsid w:val="60EE6B23"/>
    <w:rsid w:val="60F70339"/>
    <w:rsid w:val="60FC8CEA"/>
    <w:rsid w:val="611567A8"/>
    <w:rsid w:val="611C83CB"/>
    <w:rsid w:val="612994E8"/>
    <w:rsid w:val="612E079E"/>
    <w:rsid w:val="613EBD5F"/>
    <w:rsid w:val="614352E0"/>
    <w:rsid w:val="61460EFC"/>
    <w:rsid w:val="61506CA8"/>
    <w:rsid w:val="6155D0D8"/>
    <w:rsid w:val="6157E5BC"/>
    <w:rsid w:val="61745700"/>
    <w:rsid w:val="61910551"/>
    <w:rsid w:val="61926C97"/>
    <w:rsid w:val="61A360E8"/>
    <w:rsid w:val="61B8FAB4"/>
    <w:rsid w:val="61BBE9D2"/>
    <w:rsid w:val="61BD7497"/>
    <w:rsid w:val="61BE7BAB"/>
    <w:rsid w:val="61C40402"/>
    <w:rsid w:val="61C5A9A1"/>
    <w:rsid w:val="61CB42D5"/>
    <w:rsid w:val="61D567A9"/>
    <w:rsid w:val="61DC75F2"/>
    <w:rsid w:val="61DF5226"/>
    <w:rsid w:val="61F505DD"/>
    <w:rsid w:val="61FA9E38"/>
    <w:rsid w:val="6202F8E5"/>
    <w:rsid w:val="620AA47F"/>
    <w:rsid w:val="620C2E4E"/>
    <w:rsid w:val="620FC173"/>
    <w:rsid w:val="6213BD2A"/>
    <w:rsid w:val="621567FC"/>
    <w:rsid w:val="621DA83E"/>
    <w:rsid w:val="6225AFD3"/>
    <w:rsid w:val="622C5F46"/>
    <w:rsid w:val="6239C345"/>
    <w:rsid w:val="6242E123"/>
    <w:rsid w:val="624AFF1B"/>
    <w:rsid w:val="624BC5D6"/>
    <w:rsid w:val="626D6B4B"/>
    <w:rsid w:val="6270F9F0"/>
    <w:rsid w:val="62775551"/>
    <w:rsid w:val="6279C49D"/>
    <w:rsid w:val="6285215D"/>
    <w:rsid w:val="62887764"/>
    <w:rsid w:val="628AE640"/>
    <w:rsid w:val="628FDA28"/>
    <w:rsid w:val="62966C14"/>
    <w:rsid w:val="629E8801"/>
    <w:rsid w:val="629E92F1"/>
    <w:rsid w:val="62A14629"/>
    <w:rsid w:val="62AAB51D"/>
    <w:rsid w:val="62AFCDC8"/>
    <w:rsid w:val="62B8384F"/>
    <w:rsid w:val="62BE351A"/>
    <w:rsid w:val="62C1EA79"/>
    <w:rsid w:val="62CB996A"/>
    <w:rsid w:val="62D6FA61"/>
    <w:rsid w:val="62E37798"/>
    <w:rsid w:val="62E48C3A"/>
    <w:rsid w:val="62E725EE"/>
    <w:rsid w:val="62E9A8FD"/>
    <w:rsid w:val="62EB46B9"/>
    <w:rsid w:val="62F0C608"/>
    <w:rsid w:val="62F2A154"/>
    <w:rsid w:val="62F4BA51"/>
    <w:rsid w:val="62F6BA60"/>
    <w:rsid w:val="6306FE57"/>
    <w:rsid w:val="630CEAA7"/>
    <w:rsid w:val="632CD5B2"/>
    <w:rsid w:val="632E31A7"/>
    <w:rsid w:val="632F5845"/>
    <w:rsid w:val="632FD89C"/>
    <w:rsid w:val="6333AF06"/>
    <w:rsid w:val="63397A8B"/>
    <w:rsid w:val="6341B07D"/>
    <w:rsid w:val="634FDF84"/>
    <w:rsid w:val="635023C3"/>
    <w:rsid w:val="63548044"/>
    <w:rsid w:val="6357E743"/>
    <w:rsid w:val="635D6018"/>
    <w:rsid w:val="6367089F"/>
    <w:rsid w:val="6367216F"/>
    <w:rsid w:val="6369D3D0"/>
    <w:rsid w:val="636C32A3"/>
    <w:rsid w:val="636E5761"/>
    <w:rsid w:val="637DF7D1"/>
    <w:rsid w:val="639DA327"/>
    <w:rsid w:val="639E05BB"/>
    <w:rsid w:val="63A5B57C"/>
    <w:rsid w:val="63A72A52"/>
    <w:rsid w:val="63AEB9ED"/>
    <w:rsid w:val="63B97CA4"/>
    <w:rsid w:val="63BBDA89"/>
    <w:rsid w:val="63DC2ED6"/>
    <w:rsid w:val="63F3E2F7"/>
    <w:rsid w:val="63F4ECD1"/>
    <w:rsid w:val="63F5A084"/>
    <w:rsid w:val="63F5CD82"/>
    <w:rsid w:val="640728A1"/>
    <w:rsid w:val="640DF7B3"/>
    <w:rsid w:val="641D36A5"/>
    <w:rsid w:val="641E0BC2"/>
    <w:rsid w:val="6420D46C"/>
    <w:rsid w:val="64211728"/>
    <w:rsid w:val="6428FE5D"/>
    <w:rsid w:val="642C9392"/>
    <w:rsid w:val="643D208B"/>
    <w:rsid w:val="6447CD08"/>
    <w:rsid w:val="64487314"/>
    <w:rsid w:val="6450042E"/>
    <w:rsid w:val="6454C0EB"/>
    <w:rsid w:val="645DBADA"/>
    <w:rsid w:val="645EEDD8"/>
    <w:rsid w:val="645FE106"/>
    <w:rsid w:val="64630EC3"/>
    <w:rsid w:val="6478BDCA"/>
    <w:rsid w:val="647E53E5"/>
    <w:rsid w:val="6482F64F"/>
    <w:rsid w:val="648BC4EC"/>
    <w:rsid w:val="648C90B6"/>
    <w:rsid w:val="6491142A"/>
    <w:rsid w:val="649861A0"/>
    <w:rsid w:val="64A4CBD3"/>
    <w:rsid w:val="64B245F7"/>
    <w:rsid w:val="64B4DEF0"/>
    <w:rsid w:val="64BE88C8"/>
    <w:rsid w:val="64C1B752"/>
    <w:rsid w:val="64C48C7E"/>
    <w:rsid w:val="64C90C51"/>
    <w:rsid w:val="64C9E596"/>
    <w:rsid w:val="64D1EE5D"/>
    <w:rsid w:val="64E19868"/>
    <w:rsid w:val="64E9390A"/>
    <w:rsid w:val="64F7DD82"/>
    <w:rsid w:val="64FD582D"/>
    <w:rsid w:val="64FF2193"/>
    <w:rsid w:val="650605E0"/>
    <w:rsid w:val="6509FD71"/>
    <w:rsid w:val="650B2D3D"/>
    <w:rsid w:val="651B823F"/>
    <w:rsid w:val="651EF0A5"/>
    <w:rsid w:val="65275D17"/>
    <w:rsid w:val="6528903F"/>
    <w:rsid w:val="652E73CE"/>
    <w:rsid w:val="65397767"/>
    <w:rsid w:val="653A30CA"/>
    <w:rsid w:val="653F8172"/>
    <w:rsid w:val="654DD8A3"/>
    <w:rsid w:val="654EF7E9"/>
    <w:rsid w:val="65502475"/>
    <w:rsid w:val="655762E8"/>
    <w:rsid w:val="65696337"/>
    <w:rsid w:val="657522AB"/>
    <w:rsid w:val="6577FF37"/>
    <w:rsid w:val="657C31EB"/>
    <w:rsid w:val="657D420F"/>
    <w:rsid w:val="657EEE71"/>
    <w:rsid w:val="65842B33"/>
    <w:rsid w:val="6589E432"/>
    <w:rsid w:val="658C146B"/>
    <w:rsid w:val="658FB358"/>
    <w:rsid w:val="6594474C"/>
    <w:rsid w:val="659545CC"/>
    <w:rsid w:val="65A2F60B"/>
    <w:rsid w:val="65A45B7D"/>
    <w:rsid w:val="65B4F2E1"/>
    <w:rsid w:val="65C0E90E"/>
    <w:rsid w:val="65CA4FE4"/>
    <w:rsid w:val="65E879B6"/>
    <w:rsid w:val="65F73CBD"/>
    <w:rsid w:val="65F8B010"/>
    <w:rsid w:val="66024EF1"/>
    <w:rsid w:val="660B1B20"/>
    <w:rsid w:val="660E1B98"/>
    <w:rsid w:val="661411FD"/>
    <w:rsid w:val="66185D29"/>
    <w:rsid w:val="662DD640"/>
    <w:rsid w:val="662FEBFB"/>
    <w:rsid w:val="663130BF"/>
    <w:rsid w:val="6634FCB7"/>
    <w:rsid w:val="663B8C7B"/>
    <w:rsid w:val="66446F02"/>
    <w:rsid w:val="66504477"/>
    <w:rsid w:val="66546210"/>
    <w:rsid w:val="6663AD66"/>
    <w:rsid w:val="66673C31"/>
    <w:rsid w:val="6673E2B9"/>
    <w:rsid w:val="667B4F0A"/>
    <w:rsid w:val="668AFE69"/>
    <w:rsid w:val="668E95D4"/>
    <w:rsid w:val="669530F6"/>
    <w:rsid w:val="66954303"/>
    <w:rsid w:val="669E3752"/>
    <w:rsid w:val="66A08009"/>
    <w:rsid w:val="66A60507"/>
    <w:rsid w:val="66A93B8D"/>
    <w:rsid w:val="66B17996"/>
    <w:rsid w:val="66B933D9"/>
    <w:rsid w:val="66C9846C"/>
    <w:rsid w:val="66D91839"/>
    <w:rsid w:val="66F1C9F5"/>
    <w:rsid w:val="66FAC67B"/>
    <w:rsid w:val="6705CE3B"/>
    <w:rsid w:val="67197F19"/>
    <w:rsid w:val="671A4319"/>
    <w:rsid w:val="671B9394"/>
    <w:rsid w:val="6725E89A"/>
    <w:rsid w:val="672EF463"/>
    <w:rsid w:val="67328BF5"/>
    <w:rsid w:val="6735F4C8"/>
    <w:rsid w:val="67413A14"/>
    <w:rsid w:val="674AADCC"/>
    <w:rsid w:val="675E7CC3"/>
    <w:rsid w:val="675EF831"/>
    <w:rsid w:val="6768C456"/>
    <w:rsid w:val="6776EB8F"/>
    <w:rsid w:val="6780FC77"/>
    <w:rsid w:val="67833EEB"/>
    <w:rsid w:val="678FED35"/>
    <w:rsid w:val="679AD10C"/>
    <w:rsid w:val="679BF8FA"/>
    <w:rsid w:val="679D4922"/>
    <w:rsid w:val="679D5141"/>
    <w:rsid w:val="679DBE32"/>
    <w:rsid w:val="67AA7EB5"/>
    <w:rsid w:val="67B1BE95"/>
    <w:rsid w:val="67B26449"/>
    <w:rsid w:val="67B29E11"/>
    <w:rsid w:val="67C32505"/>
    <w:rsid w:val="67C70B93"/>
    <w:rsid w:val="67C94933"/>
    <w:rsid w:val="67CBC02C"/>
    <w:rsid w:val="67D4B680"/>
    <w:rsid w:val="67D5BB86"/>
    <w:rsid w:val="67DC2C21"/>
    <w:rsid w:val="67EC18CE"/>
    <w:rsid w:val="67EFA6E0"/>
    <w:rsid w:val="67EFE139"/>
    <w:rsid w:val="680133BE"/>
    <w:rsid w:val="680E3168"/>
    <w:rsid w:val="6814529B"/>
    <w:rsid w:val="681BDB14"/>
    <w:rsid w:val="68236BC4"/>
    <w:rsid w:val="68349F61"/>
    <w:rsid w:val="68379600"/>
    <w:rsid w:val="683C9E42"/>
    <w:rsid w:val="683DE595"/>
    <w:rsid w:val="683DEDC1"/>
    <w:rsid w:val="68405100"/>
    <w:rsid w:val="684594FA"/>
    <w:rsid w:val="684645B6"/>
    <w:rsid w:val="684F38E8"/>
    <w:rsid w:val="6854E504"/>
    <w:rsid w:val="6857D835"/>
    <w:rsid w:val="6859BE69"/>
    <w:rsid w:val="685A3FFB"/>
    <w:rsid w:val="685D82D4"/>
    <w:rsid w:val="685DD981"/>
    <w:rsid w:val="685E577D"/>
    <w:rsid w:val="68669226"/>
    <w:rsid w:val="686B6291"/>
    <w:rsid w:val="6871133F"/>
    <w:rsid w:val="6883BF3E"/>
    <w:rsid w:val="6887C95B"/>
    <w:rsid w:val="688D8C27"/>
    <w:rsid w:val="68908982"/>
    <w:rsid w:val="68BE413D"/>
    <w:rsid w:val="68C059AC"/>
    <w:rsid w:val="68C29396"/>
    <w:rsid w:val="68C2E7BA"/>
    <w:rsid w:val="68D11B6A"/>
    <w:rsid w:val="68D556B0"/>
    <w:rsid w:val="68DC8A9D"/>
    <w:rsid w:val="68E2ED63"/>
    <w:rsid w:val="68ECF395"/>
    <w:rsid w:val="68ECFEE3"/>
    <w:rsid w:val="68FD27FA"/>
    <w:rsid w:val="69000B59"/>
    <w:rsid w:val="6902D5AF"/>
    <w:rsid w:val="691CB149"/>
    <w:rsid w:val="6926FCD2"/>
    <w:rsid w:val="692A0131"/>
    <w:rsid w:val="693219D6"/>
    <w:rsid w:val="69448BCE"/>
    <w:rsid w:val="694D5A8D"/>
    <w:rsid w:val="694E6E72"/>
    <w:rsid w:val="695AFCBD"/>
    <w:rsid w:val="695FD073"/>
    <w:rsid w:val="69695488"/>
    <w:rsid w:val="69747547"/>
    <w:rsid w:val="69825C4C"/>
    <w:rsid w:val="69837043"/>
    <w:rsid w:val="6984BDA2"/>
    <w:rsid w:val="698F897B"/>
    <w:rsid w:val="6992E35C"/>
    <w:rsid w:val="69961BD2"/>
    <w:rsid w:val="69A8E2AA"/>
    <w:rsid w:val="69B468F7"/>
    <w:rsid w:val="69B834C1"/>
    <w:rsid w:val="69BAE268"/>
    <w:rsid w:val="69C6F62A"/>
    <w:rsid w:val="69CD5611"/>
    <w:rsid w:val="69E93A08"/>
    <w:rsid w:val="69EC87C0"/>
    <w:rsid w:val="6A033FC2"/>
    <w:rsid w:val="6A07A8DD"/>
    <w:rsid w:val="6A0CE88A"/>
    <w:rsid w:val="6A0DD0AB"/>
    <w:rsid w:val="6A14FD74"/>
    <w:rsid w:val="6A169965"/>
    <w:rsid w:val="6A1A5322"/>
    <w:rsid w:val="6A28F4AF"/>
    <w:rsid w:val="6A3206BA"/>
    <w:rsid w:val="6A346042"/>
    <w:rsid w:val="6A38AF3E"/>
    <w:rsid w:val="6A61FA1D"/>
    <w:rsid w:val="6A642C50"/>
    <w:rsid w:val="6A8C06EF"/>
    <w:rsid w:val="6AA3EE1F"/>
    <w:rsid w:val="6AA52D74"/>
    <w:rsid w:val="6AA6A0C9"/>
    <w:rsid w:val="6AABEE36"/>
    <w:rsid w:val="6AB453D0"/>
    <w:rsid w:val="6AB5C781"/>
    <w:rsid w:val="6AB7454B"/>
    <w:rsid w:val="6ABFFE4A"/>
    <w:rsid w:val="6ACCFC5E"/>
    <w:rsid w:val="6ADBA48D"/>
    <w:rsid w:val="6AE7B426"/>
    <w:rsid w:val="6AED5BEC"/>
    <w:rsid w:val="6AF7D796"/>
    <w:rsid w:val="6AF83BFF"/>
    <w:rsid w:val="6B0B5E3F"/>
    <w:rsid w:val="6B374338"/>
    <w:rsid w:val="6B387D8B"/>
    <w:rsid w:val="6B42BEAF"/>
    <w:rsid w:val="6B486722"/>
    <w:rsid w:val="6B4990B7"/>
    <w:rsid w:val="6B4AA3D1"/>
    <w:rsid w:val="6B50CEC8"/>
    <w:rsid w:val="6B537BD6"/>
    <w:rsid w:val="6B59344C"/>
    <w:rsid w:val="6B62E524"/>
    <w:rsid w:val="6B7E8D9F"/>
    <w:rsid w:val="6B7F5B24"/>
    <w:rsid w:val="6B843775"/>
    <w:rsid w:val="6B8B637E"/>
    <w:rsid w:val="6B8C85C6"/>
    <w:rsid w:val="6B8F751B"/>
    <w:rsid w:val="6B916AC3"/>
    <w:rsid w:val="6B9B3F97"/>
    <w:rsid w:val="6BA58944"/>
    <w:rsid w:val="6BA9918C"/>
    <w:rsid w:val="6BB10541"/>
    <w:rsid w:val="6BB50A95"/>
    <w:rsid w:val="6BC94A28"/>
    <w:rsid w:val="6BD83738"/>
    <w:rsid w:val="6BD880B3"/>
    <w:rsid w:val="6BE7197D"/>
    <w:rsid w:val="6BF43558"/>
    <w:rsid w:val="6BFDA51C"/>
    <w:rsid w:val="6C063715"/>
    <w:rsid w:val="6C0C0617"/>
    <w:rsid w:val="6C0DD02C"/>
    <w:rsid w:val="6C1FA02E"/>
    <w:rsid w:val="6C20A147"/>
    <w:rsid w:val="6C25A6FF"/>
    <w:rsid w:val="6C275781"/>
    <w:rsid w:val="6C32506A"/>
    <w:rsid w:val="6C3A8AC1"/>
    <w:rsid w:val="6C3DF15B"/>
    <w:rsid w:val="6C408CD4"/>
    <w:rsid w:val="6C5C0F14"/>
    <w:rsid w:val="6C5F685E"/>
    <w:rsid w:val="6C65B221"/>
    <w:rsid w:val="6C70BA45"/>
    <w:rsid w:val="6C7D797A"/>
    <w:rsid w:val="6C855E2F"/>
    <w:rsid w:val="6C890265"/>
    <w:rsid w:val="6C89353F"/>
    <w:rsid w:val="6C9B59E7"/>
    <w:rsid w:val="6CA29AD5"/>
    <w:rsid w:val="6CBD49D7"/>
    <w:rsid w:val="6CC09205"/>
    <w:rsid w:val="6CC4F004"/>
    <w:rsid w:val="6CCA0577"/>
    <w:rsid w:val="6CCB7288"/>
    <w:rsid w:val="6CE1651E"/>
    <w:rsid w:val="6CEA0516"/>
    <w:rsid w:val="6CED5B67"/>
    <w:rsid w:val="6CF7C9E7"/>
    <w:rsid w:val="6CF9BD57"/>
    <w:rsid w:val="6CFC1FB2"/>
    <w:rsid w:val="6D062757"/>
    <w:rsid w:val="6D10B616"/>
    <w:rsid w:val="6D258B79"/>
    <w:rsid w:val="6D4C76D2"/>
    <w:rsid w:val="6D4D18E2"/>
    <w:rsid w:val="6D55CAB7"/>
    <w:rsid w:val="6D5EFC5F"/>
    <w:rsid w:val="6D602B01"/>
    <w:rsid w:val="6D67F081"/>
    <w:rsid w:val="6D68C6C3"/>
    <w:rsid w:val="6D712E30"/>
    <w:rsid w:val="6D7EDD00"/>
    <w:rsid w:val="6D807282"/>
    <w:rsid w:val="6D8E6783"/>
    <w:rsid w:val="6D95B80C"/>
    <w:rsid w:val="6DAC4825"/>
    <w:rsid w:val="6DAD1B94"/>
    <w:rsid w:val="6DB39C6B"/>
    <w:rsid w:val="6DC88172"/>
    <w:rsid w:val="6DC8B29B"/>
    <w:rsid w:val="6DE53F7C"/>
    <w:rsid w:val="6DEEC226"/>
    <w:rsid w:val="6DF16D9F"/>
    <w:rsid w:val="6DF7092F"/>
    <w:rsid w:val="6DFB38BF"/>
    <w:rsid w:val="6E0C2FCC"/>
    <w:rsid w:val="6E0FFDEF"/>
    <w:rsid w:val="6E18FA97"/>
    <w:rsid w:val="6E20102E"/>
    <w:rsid w:val="6E41F0D4"/>
    <w:rsid w:val="6E4C58D1"/>
    <w:rsid w:val="6E4CCCDE"/>
    <w:rsid w:val="6E54F731"/>
    <w:rsid w:val="6E5726E2"/>
    <w:rsid w:val="6E5CE469"/>
    <w:rsid w:val="6E5FDCC3"/>
    <w:rsid w:val="6E7A995D"/>
    <w:rsid w:val="6E835759"/>
    <w:rsid w:val="6E843DBF"/>
    <w:rsid w:val="6E895932"/>
    <w:rsid w:val="6E8ED94A"/>
    <w:rsid w:val="6E92AD83"/>
    <w:rsid w:val="6E981E21"/>
    <w:rsid w:val="6EA13A43"/>
    <w:rsid w:val="6EA62195"/>
    <w:rsid w:val="6EA69EBE"/>
    <w:rsid w:val="6EAC0873"/>
    <w:rsid w:val="6EB73F9B"/>
    <w:rsid w:val="6EB747BA"/>
    <w:rsid w:val="6EBDF85E"/>
    <w:rsid w:val="6EC76E3C"/>
    <w:rsid w:val="6EC7EAB3"/>
    <w:rsid w:val="6ECD130E"/>
    <w:rsid w:val="6ED139F4"/>
    <w:rsid w:val="6ED1B7E6"/>
    <w:rsid w:val="6ED3C525"/>
    <w:rsid w:val="6ED7356E"/>
    <w:rsid w:val="6EE2021E"/>
    <w:rsid w:val="6EE2FCCA"/>
    <w:rsid w:val="6EE84733"/>
    <w:rsid w:val="6EE87BDA"/>
    <w:rsid w:val="6EE881C6"/>
    <w:rsid w:val="6EF86013"/>
    <w:rsid w:val="6F03DA29"/>
    <w:rsid w:val="6F06FE3D"/>
    <w:rsid w:val="6F09F615"/>
    <w:rsid w:val="6F0B73B1"/>
    <w:rsid w:val="6F0C6D42"/>
    <w:rsid w:val="6F1CC885"/>
    <w:rsid w:val="6F1EBA3F"/>
    <w:rsid w:val="6F277178"/>
    <w:rsid w:val="6F2A37E4"/>
    <w:rsid w:val="6F3065C0"/>
    <w:rsid w:val="6F4D4682"/>
    <w:rsid w:val="6F56CCA7"/>
    <w:rsid w:val="6F5EA218"/>
    <w:rsid w:val="6F633187"/>
    <w:rsid w:val="6F739EE7"/>
    <w:rsid w:val="6F76BE91"/>
    <w:rsid w:val="6F7CE95A"/>
    <w:rsid w:val="6F8BC50A"/>
    <w:rsid w:val="6F92460F"/>
    <w:rsid w:val="6F9CA814"/>
    <w:rsid w:val="6F9FA38B"/>
    <w:rsid w:val="6FA0A05B"/>
    <w:rsid w:val="6FA901E5"/>
    <w:rsid w:val="6FB14323"/>
    <w:rsid w:val="6FC5C771"/>
    <w:rsid w:val="6FC6CEB2"/>
    <w:rsid w:val="6FCFD285"/>
    <w:rsid w:val="6FCFE4C2"/>
    <w:rsid w:val="6FE534B8"/>
    <w:rsid w:val="6FE5C822"/>
    <w:rsid w:val="6FE60C2D"/>
    <w:rsid w:val="6FECC665"/>
    <w:rsid w:val="6FECF936"/>
    <w:rsid w:val="6FF0735E"/>
    <w:rsid w:val="6FFD2748"/>
    <w:rsid w:val="7009F9A9"/>
    <w:rsid w:val="700F7A9A"/>
    <w:rsid w:val="7013C152"/>
    <w:rsid w:val="70162B7D"/>
    <w:rsid w:val="7017CC3D"/>
    <w:rsid w:val="70216A42"/>
    <w:rsid w:val="70243B41"/>
    <w:rsid w:val="70247EA1"/>
    <w:rsid w:val="7025D51C"/>
    <w:rsid w:val="70637C16"/>
    <w:rsid w:val="7066C98D"/>
    <w:rsid w:val="707C2A0E"/>
    <w:rsid w:val="70853EF2"/>
    <w:rsid w:val="7088701A"/>
    <w:rsid w:val="708CB925"/>
    <w:rsid w:val="7095DC57"/>
    <w:rsid w:val="70A191A9"/>
    <w:rsid w:val="70A65A31"/>
    <w:rsid w:val="70A9618A"/>
    <w:rsid w:val="70ABB6C0"/>
    <w:rsid w:val="70ABF110"/>
    <w:rsid w:val="70AED2E9"/>
    <w:rsid w:val="70B202A2"/>
    <w:rsid w:val="70C6FF79"/>
    <w:rsid w:val="70C995C7"/>
    <w:rsid w:val="70D54704"/>
    <w:rsid w:val="70D83E5E"/>
    <w:rsid w:val="70D8D1A3"/>
    <w:rsid w:val="70EE525F"/>
    <w:rsid w:val="7109B0BA"/>
    <w:rsid w:val="711A5E99"/>
    <w:rsid w:val="712BA3FF"/>
    <w:rsid w:val="712EB161"/>
    <w:rsid w:val="713C02F1"/>
    <w:rsid w:val="71411A7D"/>
    <w:rsid w:val="714518F1"/>
    <w:rsid w:val="714520C9"/>
    <w:rsid w:val="71681B2E"/>
    <w:rsid w:val="716A2D14"/>
    <w:rsid w:val="716A8D99"/>
    <w:rsid w:val="7176788D"/>
    <w:rsid w:val="717BCEB3"/>
    <w:rsid w:val="7195BB35"/>
    <w:rsid w:val="719FE481"/>
    <w:rsid w:val="71A42874"/>
    <w:rsid w:val="71A57967"/>
    <w:rsid w:val="71A83D83"/>
    <w:rsid w:val="71B59574"/>
    <w:rsid w:val="71BE9442"/>
    <w:rsid w:val="71D93029"/>
    <w:rsid w:val="71D955B6"/>
    <w:rsid w:val="71E03847"/>
    <w:rsid w:val="71EA8697"/>
    <w:rsid w:val="71FF4C77"/>
    <w:rsid w:val="72047A51"/>
    <w:rsid w:val="721F9A72"/>
    <w:rsid w:val="7231A523"/>
    <w:rsid w:val="7239D0C8"/>
    <w:rsid w:val="723FC064"/>
    <w:rsid w:val="725142A7"/>
    <w:rsid w:val="725C2F23"/>
    <w:rsid w:val="7260AE88"/>
    <w:rsid w:val="7263B493"/>
    <w:rsid w:val="7277C9A9"/>
    <w:rsid w:val="727FF6ED"/>
    <w:rsid w:val="728C1054"/>
    <w:rsid w:val="729F2298"/>
    <w:rsid w:val="72A203D4"/>
    <w:rsid w:val="72A879EA"/>
    <w:rsid w:val="72AB9531"/>
    <w:rsid w:val="72AFE357"/>
    <w:rsid w:val="72B8B400"/>
    <w:rsid w:val="72BF1520"/>
    <w:rsid w:val="72BFC1E1"/>
    <w:rsid w:val="72C9FBFE"/>
    <w:rsid w:val="72CDDF18"/>
    <w:rsid w:val="72DF33D5"/>
    <w:rsid w:val="72E0F7BD"/>
    <w:rsid w:val="72E8790E"/>
    <w:rsid w:val="72F4869B"/>
    <w:rsid w:val="73005182"/>
    <w:rsid w:val="73048C77"/>
    <w:rsid w:val="730B136F"/>
    <w:rsid w:val="731561F7"/>
    <w:rsid w:val="73243CB5"/>
    <w:rsid w:val="733418C1"/>
    <w:rsid w:val="7335850F"/>
    <w:rsid w:val="733E098C"/>
    <w:rsid w:val="73493CBB"/>
    <w:rsid w:val="7362CE4C"/>
    <w:rsid w:val="7366AAF3"/>
    <w:rsid w:val="736EBCC3"/>
    <w:rsid w:val="7372E652"/>
    <w:rsid w:val="7379029B"/>
    <w:rsid w:val="737C3C01"/>
    <w:rsid w:val="7381895E"/>
    <w:rsid w:val="7384B582"/>
    <w:rsid w:val="7389FAB7"/>
    <w:rsid w:val="739AD1EB"/>
    <w:rsid w:val="73A30A5E"/>
    <w:rsid w:val="73B01653"/>
    <w:rsid w:val="73B7382E"/>
    <w:rsid w:val="73B81201"/>
    <w:rsid w:val="73C54F11"/>
    <w:rsid w:val="73CFC496"/>
    <w:rsid w:val="73DE8625"/>
    <w:rsid w:val="73E9EF2F"/>
    <w:rsid w:val="73F4F12C"/>
    <w:rsid w:val="73FE71A5"/>
    <w:rsid w:val="74051CEA"/>
    <w:rsid w:val="7415CB2B"/>
    <w:rsid w:val="74198152"/>
    <w:rsid w:val="742096FC"/>
    <w:rsid w:val="742E0895"/>
    <w:rsid w:val="7436BC6F"/>
    <w:rsid w:val="74375B73"/>
    <w:rsid w:val="7439F5AB"/>
    <w:rsid w:val="74532951"/>
    <w:rsid w:val="74611185"/>
    <w:rsid w:val="7467CF95"/>
    <w:rsid w:val="7467D9EA"/>
    <w:rsid w:val="746CCC80"/>
    <w:rsid w:val="74708D0E"/>
    <w:rsid w:val="74729DC6"/>
    <w:rsid w:val="747D1631"/>
    <w:rsid w:val="7481C7E5"/>
    <w:rsid w:val="7489ADCB"/>
    <w:rsid w:val="748FC195"/>
    <w:rsid w:val="7491591E"/>
    <w:rsid w:val="74A6E3D0"/>
    <w:rsid w:val="74A8FC4B"/>
    <w:rsid w:val="74A9447B"/>
    <w:rsid w:val="74B4B59C"/>
    <w:rsid w:val="74C8D1F0"/>
    <w:rsid w:val="74CA2A33"/>
    <w:rsid w:val="74CC4121"/>
    <w:rsid w:val="74CE3E5F"/>
    <w:rsid w:val="74D19F22"/>
    <w:rsid w:val="74DA404E"/>
    <w:rsid w:val="74E3641F"/>
    <w:rsid w:val="74E6B763"/>
    <w:rsid w:val="74EC98F9"/>
    <w:rsid w:val="74FD2F9C"/>
    <w:rsid w:val="7505D07D"/>
    <w:rsid w:val="7508768C"/>
    <w:rsid w:val="750F6BA9"/>
    <w:rsid w:val="751486C6"/>
    <w:rsid w:val="752E04A0"/>
    <w:rsid w:val="7533744F"/>
    <w:rsid w:val="753B959C"/>
    <w:rsid w:val="754646F3"/>
    <w:rsid w:val="7551B3C5"/>
    <w:rsid w:val="755256E4"/>
    <w:rsid w:val="755F979A"/>
    <w:rsid w:val="756F6711"/>
    <w:rsid w:val="757D39C7"/>
    <w:rsid w:val="758447A9"/>
    <w:rsid w:val="75921E8F"/>
    <w:rsid w:val="75941D00"/>
    <w:rsid w:val="759AAED9"/>
    <w:rsid w:val="75AC9127"/>
    <w:rsid w:val="75B29FA3"/>
    <w:rsid w:val="75B328B9"/>
    <w:rsid w:val="75BDDCCA"/>
    <w:rsid w:val="75CA084F"/>
    <w:rsid w:val="75D9F75D"/>
    <w:rsid w:val="75E186C6"/>
    <w:rsid w:val="75EC932C"/>
    <w:rsid w:val="75EF9F99"/>
    <w:rsid w:val="75F46F33"/>
    <w:rsid w:val="75F6E976"/>
    <w:rsid w:val="75F7FA47"/>
    <w:rsid w:val="7604770B"/>
    <w:rsid w:val="76063432"/>
    <w:rsid w:val="76068A39"/>
    <w:rsid w:val="760FAF05"/>
    <w:rsid w:val="761DC5E8"/>
    <w:rsid w:val="761E32EF"/>
    <w:rsid w:val="761EF953"/>
    <w:rsid w:val="7626EDD6"/>
    <w:rsid w:val="762B2C78"/>
    <w:rsid w:val="76350222"/>
    <w:rsid w:val="763A0DA3"/>
    <w:rsid w:val="76404780"/>
    <w:rsid w:val="7644B8BA"/>
    <w:rsid w:val="76478521"/>
    <w:rsid w:val="76565B07"/>
    <w:rsid w:val="7657ED45"/>
    <w:rsid w:val="766B868C"/>
    <w:rsid w:val="766C9669"/>
    <w:rsid w:val="766D16B1"/>
    <w:rsid w:val="7675A2B5"/>
    <w:rsid w:val="7676C494"/>
    <w:rsid w:val="767E9E2B"/>
    <w:rsid w:val="767F29EE"/>
    <w:rsid w:val="768436D7"/>
    <w:rsid w:val="7695CA6D"/>
    <w:rsid w:val="769B0A8B"/>
    <w:rsid w:val="769F7AC3"/>
    <w:rsid w:val="76AAF138"/>
    <w:rsid w:val="76B7FE04"/>
    <w:rsid w:val="76BC060D"/>
    <w:rsid w:val="76C45BF7"/>
    <w:rsid w:val="76C839D8"/>
    <w:rsid w:val="76CE519D"/>
    <w:rsid w:val="76D0E4D0"/>
    <w:rsid w:val="76DAAB20"/>
    <w:rsid w:val="76E7E638"/>
    <w:rsid w:val="76EB7C00"/>
    <w:rsid w:val="76EEA126"/>
    <w:rsid w:val="76F23721"/>
    <w:rsid w:val="77009B6C"/>
    <w:rsid w:val="77036A31"/>
    <w:rsid w:val="7705805A"/>
    <w:rsid w:val="77067A7E"/>
    <w:rsid w:val="770E44CA"/>
    <w:rsid w:val="7710CB05"/>
    <w:rsid w:val="771D6CEC"/>
    <w:rsid w:val="7732D6FC"/>
    <w:rsid w:val="7735E94E"/>
    <w:rsid w:val="77407D25"/>
    <w:rsid w:val="77521BFE"/>
    <w:rsid w:val="775837BE"/>
    <w:rsid w:val="77594846"/>
    <w:rsid w:val="775DC6FE"/>
    <w:rsid w:val="775F9B74"/>
    <w:rsid w:val="776595FA"/>
    <w:rsid w:val="776F7960"/>
    <w:rsid w:val="7775A008"/>
    <w:rsid w:val="7778A466"/>
    <w:rsid w:val="777DB4FC"/>
    <w:rsid w:val="7781967F"/>
    <w:rsid w:val="77821BB7"/>
    <w:rsid w:val="77954A14"/>
    <w:rsid w:val="779622B1"/>
    <w:rsid w:val="779679A3"/>
    <w:rsid w:val="77B65238"/>
    <w:rsid w:val="77B9BEB2"/>
    <w:rsid w:val="77BA4CBE"/>
    <w:rsid w:val="77C02636"/>
    <w:rsid w:val="77C1BC0D"/>
    <w:rsid w:val="77C60628"/>
    <w:rsid w:val="77C7588A"/>
    <w:rsid w:val="77D98772"/>
    <w:rsid w:val="77D9DD5C"/>
    <w:rsid w:val="77E1C5E6"/>
    <w:rsid w:val="77E7DF5A"/>
    <w:rsid w:val="77E8BF78"/>
    <w:rsid w:val="77F8CFC2"/>
    <w:rsid w:val="77FF263A"/>
    <w:rsid w:val="781615F9"/>
    <w:rsid w:val="78179816"/>
    <w:rsid w:val="7819B7FB"/>
    <w:rsid w:val="7821F817"/>
    <w:rsid w:val="782619BE"/>
    <w:rsid w:val="7838D644"/>
    <w:rsid w:val="783B5170"/>
    <w:rsid w:val="784502EA"/>
    <w:rsid w:val="78505604"/>
    <w:rsid w:val="78543564"/>
    <w:rsid w:val="78625AB1"/>
    <w:rsid w:val="78632F6B"/>
    <w:rsid w:val="786AC170"/>
    <w:rsid w:val="787DE7B5"/>
    <w:rsid w:val="7893A842"/>
    <w:rsid w:val="78967028"/>
    <w:rsid w:val="789705AB"/>
    <w:rsid w:val="789A3926"/>
    <w:rsid w:val="78A6E6F7"/>
    <w:rsid w:val="78AC9F04"/>
    <w:rsid w:val="78C2DBD7"/>
    <w:rsid w:val="78C9633E"/>
    <w:rsid w:val="78CA6846"/>
    <w:rsid w:val="78CDCEDA"/>
    <w:rsid w:val="78E03FFD"/>
    <w:rsid w:val="78E1CAB7"/>
    <w:rsid w:val="78E6BFF0"/>
    <w:rsid w:val="78E97224"/>
    <w:rsid w:val="78E9F95E"/>
    <w:rsid w:val="78F8D3F2"/>
    <w:rsid w:val="79021B9E"/>
    <w:rsid w:val="790467B5"/>
    <w:rsid w:val="790EF88D"/>
    <w:rsid w:val="7917EB75"/>
    <w:rsid w:val="791E2D35"/>
    <w:rsid w:val="79289E06"/>
    <w:rsid w:val="7938A08C"/>
    <w:rsid w:val="7944D13F"/>
    <w:rsid w:val="7959D64A"/>
    <w:rsid w:val="7967E094"/>
    <w:rsid w:val="796D51F1"/>
    <w:rsid w:val="7970F043"/>
    <w:rsid w:val="79804356"/>
    <w:rsid w:val="79824D11"/>
    <w:rsid w:val="798B31CF"/>
    <w:rsid w:val="798C91DE"/>
    <w:rsid w:val="798F6243"/>
    <w:rsid w:val="79A37146"/>
    <w:rsid w:val="79AC0274"/>
    <w:rsid w:val="79C69895"/>
    <w:rsid w:val="79CD6B2F"/>
    <w:rsid w:val="79CDD9E7"/>
    <w:rsid w:val="79CDE8BB"/>
    <w:rsid w:val="79D41917"/>
    <w:rsid w:val="79FFFBD1"/>
    <w:rsid w:val="7A0B950A"/>
    <w:rsid w:val="7A15711F"/>
    <w:rsid w:val="7A15D5D5"/>
    <w:rsid w:val="7A22AC00"/>
    <w:rsid w:val="7A25615B"/>
    <w:rsid w:val="7A29D474"/>
    <w:rsid w:val="7A367D63"/>
    <w:rsid w:val="7A4725D2"/>
    <w:rsid w:val="7A5A93D2"/>
    <w:rsid w:val="7A6A9E8C"/>
    <w:rsid w:val="7A703061"/>
    <w:rsid w:val="7A91B315"/>
    <w:rsid w:val="7A99A079"/>
    <w:rsid w:val="7AAD1E74"/>
    <w:rsid w:val="7AB8266F"/>
    <w:rsid w:val="7ACFB142"/>
    <w:rsid w:val="7ADD94A0"/>
    <w:rsid w:val="7AE3BAEC"/>
    <w:rsid w:val="7AE6F539"/>
    <w:rsid w:val="7AFE604D"/>
    <w:rsid w:val="7B0027E7"/>
    <w:rsid w:val="7B012161"/>
    <w:rsid w:val="7B03B0F5"/>
    <w:rsid w:val="7B0A3186"/>
    <w:rsid w:val="7B0B7E25"/>
    <w:rsid w:val="7B129998"/>
    <w:rsid w:val="7B16CF47"/>
    <w:rsid w:val="7B274E1F"/>
    <w:rsid w:val="7B2AF897"/>
    <w:rsid w:val="7B3450F2"/>
    <w:rsid w:val="7B375F8D"/>
    <w:rsid w:val="7B38D008"/>
    <w:rsid w:val="7B399020"/>
    <w:rsid w:val="7B3BF98F"/>
    <w:rsid w:val="7B404C94"/>
    <w:rsid w:val="7B4BF9BC"/>
    <w:rsid w:val="7B57AFDE"/>
    <w:rsid w:val="7B5A38B7"/>
    <w:rsid w:val="7B5BD061"/>
    <w:rsid w:val="7B65C61C"/>
    <w:rsid w:val="7B66DB5A"/>
    <w:rsid w:val="7B67AED0"/>
    <w:rsid w:val="7B6AADA1"/>
    <w:rsid w:val="7B6F951D"/>
    <w:rsid w:val="7B81181F"/>
    <w:rsid w:val="7B8E76B7"/>
    <w:rsid w:val="7B971B31"/>
    <w:rsid w:val="7B986020"/>
    <w:rsid w:val="7BA2DF18"/>
    <w:rsid w:val="7BA62075"/>
    <w:rsid w:val="7BAD2A36"/>
    <w:rsid w:val="7BBA9F63"/>
    <w:rsid w:val="7BBCDA08"/>
    <w:rsid w:val="7BC097BD"/>
    <w:rsid w:val="7BC88440"/>
    <w:rsid w:val="7BC9CDD6"/>
    <w:rsid w:val="7BE4E0CD"/>
    <w:rsid w:val="7BEC29AE"/>
    <w:rsid w:val="7BEC884A"/>
    <w:rsid w:val="7BECBE83"/>
    <w:rsid w:val="7BEFFAE6"/>
    <w:rsid w:val="7BFB6BEE"/>
    <w:rsid w:val="7C0E397F"/>
    <w:rsid w:val="7C199378"/>
    <w:rsid w:val="7C1E50CE"/>
    <w:rsid w:val="7C348D1B"/>
    <w:rsid w:val="7C4249BF"/>
    <w:rsid w:val="7C44087B"/>
    <w:rsid w:val="7C4EFAAB"/>
    <w:rsid w:val="7C5BC30A"/>
    <w:rsid w:val="7C6C6C9F"/>
    <w:rsid w:val="7C6D6B10"/>
    <w:rsid w:val="7C900D12"/>
    <w:rsid w:val="7C92F1B5"/>
    <w:rsid w:val="7C96145B"/>
    <w:rsid w:val="7C9680D6"/>
    <w:rsid w:val="7C9F6100"/>
    <w:rsid w:val="7CA1916D"/>
    <w:rsid w:val="7CAD48DD"/>
    <w:rsid w:val="7CB5C296"/>
    <w:rsid w:val="7CBC2CEF"/>
    <w:rsid w:val="7CCABE9F"/>
    <w:rsid w:val="7CD5228F"/>
    <w:rsid w:val="7CD5C16C"/>
    <w:rsid w:val="7CD6BF4F"/>
    <w:rsid w:val="7CE19D5B"/>
    <w:rsid w:val="7CE6577B"/>
    <w:rsid w:val="7CE7E798"/>
    <w:rsid w:val="7CEF958A"/>
    <w:rsid w:val="7CF07275"/>
    <w:rsid w:val="7CF4CE47"/>
    <w:rsid w:val="7CFBF52B"/>
    <w:rsid w:val="7D04D064"/>
    <w:rsid w:val="7D0E890E"/>
    <w:rsid w:val="7D11B67C"/>
    <w:rsid w:val="7D11B6FF"/>
    <w:rsid w:val="7D1A0ED5"/>
    <w:rsid w:val="7D25871C"/>
    <w:rsid w:val="7D425811"/>
    <w:rsid w:val="7D46A781"/>
    <w:rsid w:val="7D4A6421"/>
    <w:rsid w:val="7D6D4B6D"/>
    <w:rsid w:val="7D74B33E"/>
    <w:rsid w:val="7D7D05FB"/>
    <w:rsid w:val="7D8217E4"/>
    <w:rsid w:val="7D888975"/>
    <w:rsid w:val="7D934CF2"/>
    <w:rsid w:val="7D95A0A8"/>
    <w:rsid w:val="7DB7DBEA"/>
    <w:rsid w:val="7DB9199A"/>
    <w:rsid w:val="7DBDA6F2"/>
    <w:rsid w:val="7DBE805C"/>
    <w:rsid w:val="7DE78CA6"/>
    <w:rsid w:val="7DEB4FDF"/>
    <w:rsid w:val="7DF084C7"/>
    <w:rsid w:val="7E0A4DFB"/>
    <w:rsid w:val="7E0DFF4C"/>
    <w:rsid w:val="7E176F54"/>
    <w:rsid w:val="7E185BEC"/>
    <w:rsid w:val="7E26C5DB"/>
    <w:rsid w:val="7E2E9EEB"/>
    <w:rsid w:val="7E381F82"/>
    <w:rsid w:val="7E39B6FD"/>
    <w:rsid w:val="7E3D3532"/>
    <w:rsid w:val="7E3FD3E3"/>
    <w:rsid w:val="7E42FD29"/>
    <w:rsid w:val="7E4A5CC9"/>
    <w:rsid w:val="7E4A8E4D"/>
    <w:rsid w:val="7E4C1D16"/>
    <w:rsid w:val="7E4D5D66"/>
    <w:rsid w:val="7E4F70AD"/>
    <w:rsid w:val="7E52FA2E"/>
    <w:rsid w:val="7E56FF9F"/>
    <w:rsid w:val="7E63F496"/>
    <w:rsid w:val="7E6DA9BD"/>
    <w:rsid w:val="7E73A83E"/>
    <w:rsid w:val="7E876833"/>
    <w:rsid w:val="7E8BFBB6"/>
    <w:rsid w:val="7EA9C029"/>
    <w:rsid w:val="7EEA067A"/>
    <w:rsid w:val="7EECF97F"/>
    <w:rsid w:val="7EFC4629"/>
    <w:rsid w:val="7F06E27A"/>
    <w:rsid w:val="7F091BCE"/>
    <w:rsid w:val="7F1911F0"/>
    <w:rsid w:val="7F1EE2F1"/>
    <w:rsid w:val="7F525902"/>
    <w:rsid w:val="7F5386D6"/>
    <w:rsid w:val="7F53E540"/>
    <w:rsid w:val="7F588773"/>
    <w:rsid w:val="7F5A124E"/>
    <w:rsid w:val="7F6A2558"/>
    <w:rsid w:val="7F6F1DE5"/>
    <w:rsid w:val="7F76853C"/>
    <w:rsid w:val="7F7F7C6F"/>
    <w:rsid w:val="7F81D7AE"/>
    <w:rsid w:val="7F853866"/>
    <w:rsid w:val="7F885E5E"/>
    <w:rsid w:val="7FB4AC97"/>
    <w:rsid w:val="7FC44562"/>
    <w:rsid w:val="7FCFEAFB"/>
    <w:rsid w:val="7FD72218"/>
    <w:rsid w:val="7FD7C040"/>
    <w:rsid w:val="7FE07B22"/>
    <w:rsid w:val="7FE103EC"/>
    <w:rsid w:val="7FE5C316"/>
    <w:rsid w:val="7FF39C78"/>
    <w:rsid w:val="7FF6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759998"/>
  <w15:docId w15:val="{6883B2E6-D872-4043-BE1B-11A572B2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517205"/>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43"/>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43"/>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43"/>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43"/>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F152DC"/>
    <w:pPr>
      <w:numPr>
        <w:numId w:val="3"/>
      </w:numPr>
    </w:pPr>
    <w:rPr>
      <w:rFonts w:eastAsia="Times New Roman"/>
      <w:lang w:eastAsia="de-DE"/>
    </w:rPr>
  </w:style>
  <w:style w:type="paragraph" w:styleId="ListNumber">
    <w:name w:val="List Number"/>
    <w:basedOn w:val="Normal"/>
    <w:rsid w:val="00F152DC"/>
    <w:pPr>
      <w:numPr>
        <w:numId w:val="7"/>
      </w:numPr>
    </w:pPr>
    <w:rPr>
      <w:rFonts w:eastAsia="Times New Roman"/>
      <w:lang w:eastAsia="de-DE"/>
    </w:rPr>
  </w:style>
  <w:style w:type="paragraph" w:customStyle="1" w:styleId="ListBullet1">
    <w:name w:val="List Bullet 1"/>
    <w:basedOn w:val="Normal"/>
    <w:rsid w:val="00F152DC"/>
    <w:pPr>
      <w:numPr>
        <w:numId w:val="2"/>
      </w:numPr>
    </w:pPr>
    <w:rPr>
      <w:rFonts w:eastAsia="Times New Roman"/>
      <w:lang w:eastAsia="de-DE"/>
    </w:rPr>
  </w:style>
  <w:style w:type="paragraph" w:customStyle="1" w:styleId="ListDash">
    <w:name w:val="List Dash"/>
    <w:basedOn w:val="Normal"/>
    <w:rsid w:val="00F152DC"/>
    <w:pPr>
      <w:numPr>
        <w:numId w:val="4"/>
      </w:numPr>
    </w:pPr>
    <w:rPr>
      <w:rFonts w:eastAsia="Times New Roman"/>
      <w:lang w:eastAsia="de-DE"/>
    </w:rPr>
  </w:style>
  <w:style w:type="paragraph" w:customStyle="1" w:styleId="ListDash1">
    <w:name w:val="List Dash 1"/>
    <w:basedOn w:val="Normal"/>
    <w:rsid w:val="00F152DC"/>
    <w:pPr>
      <w:numPr>
        <w:numId w:val="5"/>
      </w:numPr>
    </w:pPr>
    <w:rPr>
      <w:rFonts w:eastAsia="Times New Roman"/>
      <w:lang w:eastAsia="de-DE"/>
    </w:rPr>
  </w:style>
  <w:style w:type="paragraph" w:customStyle="1" w:styleId="ListDash2">
    <w:name w:val="List Dash 2"/>
    <w:basedOn w:val="Normal"/>
    <w:rsid w:val="00F152DC"/>
    <w:pPr>
      <w:numPr>
        <w:numId w:val="6"/>
      </w:numPr>
    </w:pPr>
    <w:rPr>
      <w:rFonts w:eastAsia="Times New Roman"/>
      <w:lang w:eastAsia="de-DE"/>
    </w:rPr>
  </w:style>
  <w:style w:type="paragraph" w:customStyle="1" w:styleId="ListNumberLevel2">
    <w:name w:val="List Number (Level 2)"/>
    <w:basedOn w:val="Normal"/>
    <w:rsid w:val="00F152DC"/>
    <w:pPr>
      <w:numPr>
        <w:ilvl w:val="1"/>
        <w:numId w:val="7"/>
      </w:numPr>
    </w:pPr>
    <w:rPr>
      <w:rFonts w:eastAsia="Times New Roman"/>
      <w:lang w:eastAsia="de-DE"/>
    </w:rPr>
  </w:style>
  <w:style w:type="paragraph" w:customStyle="1" w:styleId="ListNumberLevel3">
    <w:name w:val="List Number (Level 3)"/>
    <w:basedOn w:val="Normal"/>
    <w:rsid w:val="00F152DC"/>
    <w:pPr>
      <w:numPr>
        <w:ilvl w:val="2"/>
        <w:numId w:val="7"/>
      </w:numPr>
    </w:pPr>
    <w:rPr>
      <w:rFonts w:eastAsia="Times New Roman"/>
      <w:lang w:eastAsia="de-DE"/>
    </w:rPr>
  </w:style>
  <w:style w:type="paragraph" w:customStyle="1" w:styleId="ListNumberLevel4">
    <w:name w:val="List Number (Level 4)"/>
    <w:basedOn w:val="Normal"/>
    <w:rsid w:val="00F152DC"/>
    <w:pPr>
      <w:numPr>
        <w:ilvl w:val="3"/>
        <w:numId w:val="7"/>
      </w:numPr>
    </w:pPr>
    <w:rPr>
      <w:rFonts w:eastAsia="Times New Roman"/>
      <w:lang w:eastAsia="de-DE"/>
    </w:rPr>
  </w:style>
  <w:style w:type="table" w:styleId="TableGrid">
    <w:name w:val="Table Grid"/>
    <w:basedOn w:val="TableNormal"/>
    <w:rsid w:val="00F152DC"/>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52DC"/>
    <w:rPr>
      <w:color w:val="0000FF"/>
      <w:u w:val="single"/>
    </w:rPr>
  </w:style>
  <w:style w:type="paragraph" w:styleId="ListBullet">
    <w:name w:val="List Bullet"/>
    <w:basedOn w:val="Normal"/>
    <w:rsid w:val="00F152DC"/>
    <w:pPr>
      <w:numPr>
        <w:numId w:val="8"/>
      </w:numPr>
    </w:pPr>
    <w:rPr>
      <w:rFonts w:eastAsia="Times New Roman"/>
      <w:lang w:eastAsia="en-GB"/>
    </w:rPr>
  </w:style>
  <w:style w:type="paragraph" w:styleId="ListBullet2">
    <w:name w:val="List Bullet 2"/>
    <w:basedOn w:val="Normal"/>
    <w:rsid w:val="00F152DC"/>
    <w:pPr>
      <w:numPr>
        <w:numId w:val="9"/>
      </w:numPr>
    </w:pPr>
    <w:rPr>
      <w:rFonts w:eastAsia="Times New Roman"/>
      <w:lang w:eastAsia="en-GB"/>
    </w:rPr>
  </w:style>
  <w:style w:type="paragraph" w:styleId="ListBullet3">
    <w:name w:val="List Bullet 3"/>
    <w:basedOn w:val="Normal"/>
    <w:rsid w:val="00F152DC"/>
    <w:pPr>
      <w:numPr>
        <w:numId w:val="10"/>
      </w:numPr>
    </w:pPr>
    <w:rPr>
      <w:rFonts w:eastAsia="Times New Roman"/>
      <w:lang w:eastAsia="en-GB"/>
    </w:rPr>
  </w:style>
  <w:style w:type="paragraph" w:styleId="ListNumber2">
    <w:name w:val="List Number 2"/>
    <w:basedOn w:val="Normal"/>
    <w:rsid w:val="00F152DC"/>
    <w:pPr>
      <w:numPr>
        <w:numId w:val="14"/>
      </w:numPr>
    </w:pPr>
    <w:rPr>
      <w:rFonts w:eastAsia="Times New Roman"/>
      <w:lang w:eastAsia="en-GB"/>
    </w:rPr>
  </w:style>
  <w:style w:type="paragraph" w:styleId="ListNumber3">
    <w:name w:val="List Number 3"/>
    <w:basedOn w:val="Normal"/>
    <w:rsid w:val="00F152DC"/>
    <w:pPr>
      <w:numPr>
        <w:numId w:val="15"/>
      </w:numPr>
    </w:pPr>
    <w:rPr>
      <w:rFonts w:eastAsia="Times New Roman"/>
      <w:lang w:eastAsia="en-GB"/>
    </w:rPr>
  </w:style>
  <w:style w:type="paragraph" w:styleId="ListNumber4">
    <w:name w:val="List Number 4"/>
    <w:basedOn w:val="Normal"/>
    <w:rsid w:val="00F152DC"/>
    <w:pPr>
      <w:numPr>
        <w:numId w:val="16"/>
      </w:numPr>
    </w:pPr>
    <w:rPr>
      <w:rFonts w:eastAsia="Times New Roman"/>
      <w:lang w:eastAsia="en-GB"/>
    </w:rPr>
  </w:style>
  <w:style w:type="paragraph" w:customStyle="1" w:styleId="ListDash3">
    <w:name w:val="List Dash 3"/>
    <w:basedOn w:val="Normal"/>
    <w:rsid w:val="00F152DC"/>
    <w:pPr>
      <w:numPr>
        <w:numId w:val="11"/>
      </w:numPr>
    </w:pPr>
    <w:rPr>
      <w:rFonts w:eastAsia="Times New Roman"/>
      <w:lang w:eastAsia="en-GB"/>
    </w:rPr>
  </w:style>
  <w:style w:type="paragraph" w:customStyle="1" w:styleId="ListDash4">
    <w:name w:val="List Dash 4"/>
    <w:basedOn w:val="Normal"/>
    <w:rsid w:val="00F152DC"/>
    <w:pPr>
      <w:numPr>
        <w:numId w:val="12"/>
      </w:numPr>
    </w:pPr>
    <w:rPr>
      <w:rFonts w:eastAsia="Times New Roman"/>
      <w:lang w:eastAsia="en-GB"/>
    </w:rPr>
  </w:style>
  <w:style w:type="paragraph" w:customStyle="1" w:styleId="ListNumber1">
    <w:name w:val="List Number 1"/>
    <w:basedOn w:val="Text1"/>
    <w:rsid w:val="00F152DC"/>
    <w:pPr>
      <w:numPr>
        <w:numId w:val="13"/>
      </w:numPr>
    </w:pPr>
    <w:rPr>
      <w:rFonts w:eastAsia="Times New Roman"/>
      <w:lang w:eastAsia="en-GB"/>
    </w:rPr>
  </w:style>
  <w:style w:type="paragraph" w:customStyle="1" w:styleId="ListNumber1Level2">
    <w:name w:val="List Number 1 (Level 2)"/>
    <w:basedOn w:val="Text1"/>
    <w:rsid w:val="00F152DC"/>
    <w:pPr>
      <w:numPr>
        <w:ilvl w:val="1"/>
        <w:numId w:val="13"/>
      </w:numPr>
    </w:pPr>
    <w:rPr>
      <w:rFonts w:eastAsia="Times New Roman"/>
      <w:lang w:eastAsia="en-GB"/>
    </w:rPr>
  </w:style>
  <w:style w:type="paragraph" w:customStyle="1" w:styleId="ListNumber2Level2">
    <w:name w:val="List Number 2 (Level 2)"/>
    <w:basedOn w:val="Text2"/>
    <w:rsid w:val="00F152DC"/>
    <w:pPr>
      <w:numPr>
        <w:ilvl w:val="1"/>
        <w:numId w:val="14"/>
      </w:numPr>
    </w:pPr>
    <w:rPr>
      <w:rFonts w:eastAsia="Times New Roman"/>
      <w:lang w:eastAsia="en-GB"/>
    </w:rPr>
  </w:style>
  <w:style w:type="paragraph" w:customStyle="1" w:styleId="ListNumber3Level2">
    <w:name w:val="List Number 3 (Level 2)"/>
    <w:basedOn w:val="Text3"/>
    <w:rsid w:val="00F152DC"/>
    <w:pPr>
      <w:numPr>
        <w:ilvl w:val="1"/>
        <w:numId w:val="15"/>
      </w:numPr>
    </w:pPr>
    <w:rPr>
      <w:rFonts w:eastAsia="Times New Roman"/>
      <w:lang w:eastAsia="en-GB"/>
    </w:rPr>
  </w:style>
  <w:style w:type="paragraph" w:customStyle="1" w:styleId="ListNumber4Level2">
    <w:name w:val="List Number 4 (Level 2)"/>
    <w:basedOn w:val="Text4"/>
    <w:rsid w:val="00F152DC"/>
    <w:pPr>
      <w:numPr>
        <w:ilvl w:val="1"/>
        <w:numId w:val="16"/>
      </w:numPr>
    </w:pPr>
    <w:rPr>
      <w:rFonts w:eastAsia="Times New Roman"/>
      <w:lang w:eastAsia="en-GB"/>
    </w:rPr>
  </w:style>
  <w:style w:type="paragraph" w:customStyle="1" w:styleId="ListNumber1Level3">
    <w:name w:val="List Number 1 (Level 3)"/>
    <w:basedOn w:val="Text1"/>
    <w:rsid w:val="00F152DC"/>
    <w:pPr>
      <w:numPr>
        <w:ilvl w:val="2"/>
        <w:numId w:val="13"/>
      </w:numPr>
    </w:pPr>
    <w:rPr>
      <w:rFonts w:eastAsia="Times New Roman"/>
      <w:lang w:eastAsia="en-GB"/>
    </w:rPr>
  </w:style>
  <w:style w:type="paragraph" w:customStyle="1" w:styleId="ListNumber2Level3">
    <w:name w:val="List Number 2 (Level 3)"/>
    <w:basedOn w:val="Text2"/>
    <w:rsid w:val="00F152DC"/>
    <w:pPr>
      <w:numPr>
        <w:ilvl w:val="2"/>
        <w:numId w:val="14"/>
      </w:numPr>
    </w:pPr>
    <w:rPr>
      <w:rFonts w:eastAsia="Times New Roman"/>
      <w:lang w:eastAsia="en-GB"/>
    </w:rPr>
  </w:style>
  <w:style w:type="paragraph" w:customStyle="1" w:styleId="ListNumber3Level3">
    <w:name w:val="List Number 3 (Level 3)"/>
    <w:basedOn w:val="Text3"/>
    <w:rsid w:val="00F152DC"/>
    <w:pPr>
      <w:numPr>
        <w:ilvl w:val="2"/>
        <w:numId w:val="15"/>
      </w:numPr>
    </w:pPr>
    <w:rPr>
      <w:rFonts w:eastAsia="Times New Roman"/>
      <w:lang w:eastAsia="en-GB"/>
    </w:rPr>
  </w:style>
  <w:style w:type="paragraph" w:customStyle="1" w:styleId="ListNumber4Level3">
    <w:name w:val="List Number 4 (Level 3)"/>
    <w:basedOn w:val="Text4"/>
    <w:rsid w:val="00F152DC"/>
    <w:pPr>
      <w:numPr>
        <w:ilvl w:val="2"/>
        <w:numId w:val="16"/>
      </w:numPr>
    </w:pPr>
    <w:rPr>
      <w:rFonts w:eastAsia="Times New Roman"/>
      <w:lang w:eastAsia="en-GB"/>
    </w:rPr>
  </w:style>
  <w:style w:type="paragraph" w:customStyle="1" w:styleId="ListNumber1Level4">
    <w:name w:val="List Number 1 (Level 4)"/>
    <w:basedOn w:val="Text1"/>
    <w:rsid w:val="00F152DC"/>
    <w:pPr>
      <w:numPr>
        <w:ilvl w:val="3"/>
        <w:numId w:val="13"/>
      </w:numPr>
    </w:pPr>
    <w:rPr>
      <w:rFonts w:eastAsia="Times New Roman"/>
      <w:lang w:eastAsia="en-GB"/>
    </w:rPr>
  </w:style>
  <w:style w:type="paragraph" w:customStyle="1" w:styleId="ListNumber2Level4">
    <w:name w:val="List Number 2 (Level 4)"/>
    <w:basedOn w:val="Text2"/>
    <w:rsid w:val="00F152DC"/>
    <w:pPr>
      <w:numPr>
        <w:ilvl w:val="3"/>
        <w:numId w:val="14"/>
      </w:numPr>
    </w:pPr>
    <w:rPr>
      <w:rFonts w:eastAsia="Times New Roman"/>
      <w:lang w:eastAsia="en-GB"/>
    </w:rPr>
  </w:style>
  <w:style w:type="paragraph" w:customStyle="1" w:styleId="ListNumber3Level4">
    <w:name w:val="List Number 3 (Level 4)"/>
    <w:basedOn w:val="Text3"/>
    <w:rsid w:val="00F152DC"/>
    <w:pPr>
      <w:numPr>
        <w:ilvl w:val="3"/>
        <w:numId w:val="15"/>
      </w:numPr>
    </w:pPr>
    <w:rPr>
      <w:rFonts w:eastAsia="Times New Roman"/>
      <w:lang w:eastAsia="en-GB"/>
    </w:rPr>
  </w:style>
  <w:style w:type="paragraph" w:customStyle="1" w:styleId="ListNumber4Level4">
    <w:name w:val="List Number 4 (Level 4)"/>
    <w:basedOn w:val="Text4"/>
    <w:rsid w:val="00F152DC"/>
    <w:pPr>
      <w:numPr>
        <w:ilvl w:val="3"/>
        <w:numId w:val="16"/>
      </w:numPr>
    </w:pPr>
    <w:rPr>
      <w:rFonts w:eastAsia="Times New Roman"/>
      <w:lang w:eastAsia="en-GB"/>
    </w:rPr>
  </w:style>
  <w:style w:type="paragraph" w:customStyle="1" w:styleId="Annexetitreacte">
    <w:name w:val="Annexe titre (acte)"/>
    <w:basedOn w:val="Normal"/>
    <w:next w:val="Normal"/>
    <w:rsid w:val="00F152DC"/>
    <w:pPr>
      <w:jc w:val="center"/>
    </w:pPr>
    <w:rPr>
      <w:rFonts w:eastAsia="Times New Roman"/>
      <w:b/>
      <w:u w:val="single"/>
      <w:lang w:eastAsia="en-GB"/>
    </w:rPr>
  </w:style>
  <w:style w:type="paragraph" w:customStyle="1" w:styleId="Annexetitreexposglobal">
    <w:name w:val="Annexe titre (exposé global)"/>
    <w:basedOn w:val="Normal"/>
    <w:next w:val="Normal"/>
    <w:rsid w:val="00F152DC"/>
    <w:pPr>
      <w:jc w:val="center"/>
    </w:pPr>
    <w:rPr>
      <w:rFonts w:eastAsia="Times New Roman"/>
      <w:b/>
      <w:u w:val="single"/>
      <w:lang w:eastAsia="en-GB"/>
    </w:rPr>
  </w:style>
  <w:style w:type="paragraph" w:customStyle="1" w:styleId="Annexetitrefichefinacte">
    <w:name w:val="Annexe titre (fiche fin. acte)"/>
    <w:basedOn w:val="Normal"/>
    <w:next w:val="Normal"/>
    <w:rsid w:val="00F152DC"/>
    <w:pPr>
      <w:jc w:val="center"/>
    </w:pPr>
    <w:rPr>
      <w:rFonts w:eastAsia="Times New Roman"/>
      <w:b/>
      <w:u w:val="single"/>
      <w:lang w:eastAsia="en-GB"/>
    </w:rPr>
  </w:style>
  <w:style w:type="paragraph" w:customStyle="1" w:styleId="Annexetitrefichefinglobale">
    <w:name w:val="Annexe titre (fiche fin. globale)"/>
    <w:basedOn w:val="Normal"/>
    <w:next w:val="Normal"/>
    <w:rsid w:val="00F152DC"/>
    <w:pPr>
      <w:jc w:val="center"/>
    </w:pPr>
    <w:rPr>
      <w:rFonts w:eastAsia="Times New Roman"/>
      <w:b/>
      <w:u w:val="single"/>
      <w:lang w:eastAsia="en-GB"/>
    </w:rPr>
  </w:style>
  <w:style w:type="paragraph" w:customStyle="1" w:styleId="Annexetitreglobale">
    <w:name w:val="Annexe titre (globale)"/>
    <w:basedOn w:val="Normal"/>
    <w:next w:val="Normal"/>
    <w:rsid w:val="00F152DC"/>
    <w:pPr>
      <w:jc w:val="center"/>
    </w:pPr>
    <w:rPr>
      <w:rFonts w:eastAsia="Times New Roman"/>
      <w:b/>
      <w:u w:val="single"/>
      <w:lang w:eastAsia="en-GB"/>
    </w:rPr>
  </w:style>
  <w:style w:type="paragraph" w:customStyle="1" w:styleId="Exposdesmotifstitreglobal">
    <w:name w:val="Exposé des motifs titre (global)"/>
    <w:basedOn w:val="Normal"/>
    <w:next w:val="Normal"/>
    <w:rsid w:val="00F152DC"/>
    <w:pPr>
      <w:jc w:val="center"/>
    </w:pPr>
    <w:rPr>
      <w:rFonts w:eastAsia="Times New Roman"/>
      <w:b/>
      <w:u w:val="single"/>
      <w:lang w:eastAsia="en-GB"/>
    </w:rPr>
  </w:style>
  <w:style w:type="paragraph" w:customStyle="1" w:styleId="Langueoriginale">
    <w:name w:val="Langue originale"/>
    <w:basedOn w:val="Normal"/>
    <w:rsid w:val="00F152DC"/>
    <w:pPr>
      <w:spacing w:before="360"/>
      <w:jc w:val="center"/>
    </w:pPr>
    <w:rPr>
      <w:rFonts w:eastAsia="Times New Roman"/>
      <w:caps/>
      <w:lang w:eastAsia="en-GB"/>
    </w:rPr>
  </w:style>
  <w:style w:type="paragraph" w:customStyle="1" w:styleId="Phrasefinale">
    <w:name w:val="Phrase finale"/>
    <w:basedOn w:val="Normal"/>
    <w:next w:val="Normal"/>
    <w:rsid w:val="00F152DC"/>
    <w:pPr>
      <w:spacing w:before="360" w:after="0"/>
      <w:jc w:val="center"/>
    </w:pPr>
    <w:rPr>
      <w:rFonts w:eastAsia="Times New Roman"/>
      <w:lang w:eastAsia="en-GB"/>
    </w:rPr>
  </w:style>
  <w:style w:type="paragraph" w:customStyle="1" w:styleId="Prliminairetitre">
    <w:name w:val="Préliminaire titre"/>
    <w:basedOn w:val="Normal"/>
    <w:next w:val="Normal"/>
    <w:rsid w:val="00F152DC"/>
    <w:pPr>
      <w:spacing w:before="360" w:after="360"/>
      <w:jc w:val="center"/>
    </w:pPr>
    <w:rPr>
      <w:rFonts w:eastAsia="Times New Roman"/>
      <w:b/>
      <w:lang w:eastAsia="en-GB"/>
    </w:rPr>
  </w:style>
  <w:style w:type="paragraph" w:customStyle="1" w:styleId="Prliminairetype">
    <w:name w:val="Préliminaire type"/>
    <w:basedOn w:val="Normal"/>
    <w:next w:val="Normal"/>
    <w:rsid w:val="00F152DC"/>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F152DC"/>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F152DC"/>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F152DC"/>
    <w:pPr>
      <w:spacing w:before="0" w:after="0"/>
      <w:ind w:left="5103"/>
      <w:jc w:val="left"/>
    </w:pPr>
    <w:rPr>
      <w:rFonts w:eastAsia="Times New Roman"/>
      <w:lang w:eastAsia="en-GB"/>
    </w:rPr>
  </w:style>
  <w:style w:type="paragraph" w:customStyle="1" w:styleId="Sous-titreobjetprliminaire">
    <w:name w:val="Sous-titre objet (préliminaire)"/>
    <w:basedOn w:val="Normal"/>
    <w:rsid w:val="00F152DC"/>
    <w:pPr>
      <w:spacing w:before="0" w:after="0"/>
      <w:jc w:val="center"/>
    </w:pPr>
    <w:rPr>
      <w:rFonts w:eastAsia="Times New Roman"/>
      <w:b/>
      <w:lang w:eastAsia="en-GB"/>
    </w:rPr>
  </w:style>
  <w:style w:type="paragraph" w:customStyle="1" w:styleId="Statutprliminaire">
    <w:name w:val="Statut (préliminaire)"/>
    <w:basedOn w:val="Normal"/>
    <w:next w:val="Normal"/>
    <w:rsid w:val="00F152DC"/>
    <w:pPr>
      <w:spacing w:before="360" w:after="0"/>
      <w:jc w:val="center"/>
    </w:pPr>
    <w:rPr>
      <w:rFonts w:eastAsia="Times New Roman"/>
      <w:lang w:eastAsia="en-GB"/>
    </w:rPr>
  </w:style>
  <w:style w:type="paragraph" w:customStyle="1" w:styleId="Titreobjetprliminaire">
    <w:name w:val="Titre objet (préliminaire)"/>
    <w:basedOn w:val="Normal"/>
    <w:next w:val="Normal"/>
    <w:rsid w:val="00F152DC"/>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F152DC"/>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F152DC"/>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F152DC"/>
    <w:pPr>
      <w:jc w:val="center"/>
    </w:pPr>
    <w:rPr>
      <w:rFonts w:eastAsia="Times New Roman"/>
      <w:b/>
      <w:u w:val="single"/>
      <w:lang w:eastAsia="en-GB"/>
    </w:rPr>
  </w:style>
  <w:style w:type="paragraph" w:customStyle="1" w:styleId="Fichefinanciretravailtitre">
    <w:name w:val="Fiche financière (travail) titre"/>
    <w:basedOn w:val="Normal"/>
    <w:next w:val="Normal"/>
    <w:rsid w:val="00F152DC"/>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F152DC"/>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F152DC"/>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F152DC"/>
    <w:pPr>
      <w:jc w:val="center"/>
    </w:pPr>
    <w:rPr>
      <w:rFonts w:eastAsia="Times New Roman"/>
      <w:b/>
      <w:u w:val="single"/>
      <w:lang w:eastAsia="en-GB"/>
    </w:rPr>
  </w:style>
  <w:style w:type="character" w:styleId="CommentReference">
    <w:name w:val="annotation reference"/>
    <w:rsid w:val="00F152DC"/>
    <w:rPr>
      <w:rFonts w:cs="Times New Roman"/>
      <w:sz w:val="16"/>
      <w:szCs w:val="16"/>
    </w:rPr>
  </w:style>
  <w:style w:type="paragraph" w:styleId="CommentText">
    <w:name w:val="annotation text"/>
    <w:basedOn w:val="Normal"/>
    <w:link w:val="CommentTextChar"/>
    <w:rsid w:val="00F152DC"/>
    <w:rPr>
      <w:rFonts w:eastAsia="Times New Roman"/>
      <w:sz w:val="20"/>
      <w:szCs w:val="20"/>
      <w:lang w:eastAsia="en-GB"/>
    </w:rPr>
  </w:style>
  <w:style w:type="character" w:customStyle="1" w:styleId="CommentTextChar">
    <w:name w:val="Comment Text Char"/>
    <w:basedOn w:val="DefaultParagraphFont"/>
    <w:link w:val="CommentText"/>
    <w:rsid w:val="00F152DC"/>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sid w:val="00F152DC"/>
    <w:rPr>
      <w:b/>
      <w:bCs/>
    </w:rPr>
  </w:style>
  <w:style w:type="character" w:customStyle="1" w:styleId="CommentSubjectChar">
    <w:name w:val="Comment Subject Char"/>
    <w:basedOn w:val="CommentTextChar"/>
    <w:link w:val="CommentSubject"/>
    <w:rsid w:val="00F152DC"/>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sid w:val="00F152DC"/>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152DC"/>
    <w:rPr>
      <w:rFonts w:ascii="Tahoma" w:eastAsia="Times New Roman" w:hAnsi="Tahoma" w:cs="Tahoma"/>
      <w:sz w:val="16"/>
      <w:szCs w:val="16"/>
      <w:lang w:val="sk-SK" w:eastAsia="en-GB"/>
    </w:rPr>
  </w:style>
  <w:style w:type="paragraph" w:styleId="Caption">
    <w:name w:val="caption"/>
    <w:basedOn w:val="Normal"/>
    <w:next w:val="Normal"/>
    <w:qFormat/>
    <w:rsid w:val="00F152DC"/>
    <w:rPr>
      <w:rFonts w:eastAsia="Times New Roman"/>
      <w:b/>
      <w:bCs/>
      <w:sz w:val="20"/>
      <w:szCs w:val="20"/>
      <w:lang w:eastAsia="en-GB"/>
    </w:rPr>
  </w:style>
  <w:style w:type="paragraph" w:styleId="TableofFigures">
    <w:name w:val="table of figures"/>
    <w:basedOn w:val="Normal"/>
    <w:next w:val="Normal"/>
    <w:rsid w:val="00F152DC"/>
    <w:rPr>
      <w:rFonts w:eastAsia="Times New Roman"/>
      <w:lang w:eastAsia="en-GB"/>
    </w:rPr>
  </w:style>
  <w:style w:type="character" w:styleId="PageNumber">
    <w:name w:val="page number"/>
    <w:rsid w:val="00F152DC"/>
  </w:style>
  <w:style w:type="character" w:customStyle="1" w:styleId="tw4winMark">
    <w:name w:val="tw4winMark"/>
    <w:rsid w:val="00F152DC"/>
    <w:rPr>
      <w:vanish/>
      <w:color w:val="800080"/>
      <w:vertAlign w:val="subscript"/>
    </w:rPr>
  </w:style>
  <w:style w:type="character" w:styleId="FollowedHyperlink">
    <w:name w:val="FollowedHyperlink"/>
    <w:rsid w:val="00F152DC"/>
    <w:rPr>
      <w:color w:val="800080"/>
      <w:u w:val="single"/>
    </w:rPr>
  </w:style>
  <w:style w:type="paragraph" w:customStyle="1" w:styleId="Sous-titreobjet">
    <w:name w:val="Sous-titre objet"/>
    <w:basedOn w:val="Normal"/>
    <w:rsid w:val="00F152DC"/>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F152DC"/>
  </w:style>
  <w:style w:type="paragraph" w:styleId="Revision">
    <w:name w:val="Revision"/>
    <w:hidden/>
    <w:uiPriority w:val="99"/>
    <w:semiHidden/>
    <w:rsid w:val="00F152DC"/>
    <w:rPr>
      <w:rFonts w:ascii="Calibri" w:eastAsia="Calibri" w:hAnsi="Calibri" w:cs="Times New Roman"/>
      <w:sz w:val="24"/>
      <w:lang w:eastAsia="en-GB"/>
    </w:rPr>
  </w:style>
  <w:style w:type="paragraph" w:customStyle="1" w:styleId="FooterCoverPage">
    <w:name w:val="Footer Cover Page"/>
    <w:basedOn w:val="Normal"/>
    <w:link w:val="FooterCoverPageChar"/>
    <w:rsid w:val="00F152DC"/>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F152DC"/>
    <w:rPr>
      <w:rFonts w:ascii="Times New Roman" w:hAnsi="Times New Roman" w:cs="Times New Roman"/>
      <w:b/>
      <w:sz w:val="28"/>
      <w:lang w:val="sk-SK"/>
    </w:rPr>
  </w:style>
  <w:style w:type="character" w:customStyle="1" w:styleId="FooterCoverPageChar">
    <w:name w:val="Footer Cover Page Char"/>
    <w:link w:val="FooterCoverPage"/>
    <w:rsid w:val="00F152DC"/>
    <w:rPr>
      <w:rFonts w:ascii="Times New Roman" w:eastAsia="Calibri" w:hAnsi="Times New Roman" w:cs="Times New Roman"/>
      <w:sz w:val="24"/>
      <w:lang w:val="sk-SK" w:eastAsia="en-GB"/>
    </w:rPr>
  </w:style>
  <w:style w:type="paragraph" w:customStyle="1" w:styleId="HeaderCoverPage">
    <w:name w:val="Header Cover Page"/>
    <w:basedOn w:val="Normal"/>
    <w:link w:val="HeaderCoverPageChar"/>
    <w:rsid w:val="00F152DC"/>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F152DC"/>
    <w:rPr>
      <w:rFonts w:ascii="Times New Roman" w:eastAsia="Calibri" w:hAnsi="Times New Roman" w:cs="Times New Roman"/>
      <w:sz w:val="24"/>
      <w:lang w:val="sk-SK" w:eastAsia="en-GB"/>
    </w:rPr>
  </w:style>
  <w:style w:type="paragraph" w:customStyle="1" w:styleId="oj-normal">
    <w:name w:val="oj-normal"/>
    <w:basedOn w:val="Normal"/>
    <w:rsid w:val="004D643E"/>
    <w:pPr>
      <w:spacing w:before="100" w:beforeAutospacing="1" w:after="100" w:afterAutospacing="1"/>
      <w:jc w:val="left"/>
    </w:pPr>
    <w:rPr>
      <w:rFonts w:eastAsia="Times New Roman"/>
      <w:szCs w:val="24"/>
    </w:rPr>
  </w:style>
  <w:style w:type="paragraph" w:styleId="ListParagraph">
    <w:name w:val="List Paragraph"/>
    <w:basedOn w:val="Normal"/>
    <w:uiPriority w:val="34"/>
    <w:qFormat/>
    <w:rsid w:val="004D643E"/>
    <w:pPr>
      <w:ind w:left="720"/>
      <w:contextualSpacing/>
    </w:pPr>
  </w:style>
  <w:style w:type="paragraph" w:customStyle="1" w:styleId="sti-art">
    <w:name w:val="sti-art"/>
    <w:basedOn w:val="Normal"/>
    <w:rsid w:val="004D643E"/>
    <w:pPr>
      <w:spacing w:before="100" w:beforeAutospacing="1" w:after="100" w:afterAutospacing="1"/>
      <w:jc w:val="left"/>
    </w:pPr>
    <w:rPr>
      <w:rFonts w:eastAsia="Times New Roman"/>
      <w:szCs w:val="24"/>
      <w:lang w:eastAsia="en-GB"/>
    </w:rPr>
  </w:style>
  <w:style w:type="paragraph" w:styleId="EndnoteText">
    <w:name w:val="endnote text"/>
    <w:basedOn w:val="Normal"/>
    <w:link w:val="EndnoteTextChar"/>
    <w:uiPriority w:val="99"/>
    <w:semiHidden/>
    <w:unhideWhenUsed/>
    <w:rsid w:val="00E87BDC"/>
    <w:pPr>
      <w:spacing w:before="0" w:after="0"/>
    </w:pPr>
    <w:rPr>
      <w:sz w:val="20"/>
      <w:szCs w:val="20"/>
    </w:rPr>
  </w:style>
  <w:style w:type="character" w:customStyle="1" w:styleId="EndnoteTextChar">
    <w:name w:val="Endnote Text Char"/>
    <w:basedOn w:val="DefaultParagraphFont"/>
    <w:link w:val="EndnoteText"/>
    <w:uiPriority w:val="99"/>
    <w:semiHidden/>
    <w:rsid w:val="00E87BDC"/>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sid w:val="00E87BDC"/>
    <w:rPr>
      <w:vertAlign w:val="superscript"/>
    </w:rPr>
  </w:style>
  <w:style w:type="character" w:customStyle="1" w:styleId="oj-italic">
    <w:name w:val="oj-italic"/>
    <w:basedOn w:val="DefaultParagraphFont"/>
    <w:rsid w:val="000B3E19"/>
  </w:style>
  <w:style w:type="character" w:styleId="Emphasis">
    <w:name w:val="Emphasis"/>
    <w:basedOn w:val="DefaultParagraphFont"/>
    <w:uiPriority w:val="20"/>
    <w:qFormat/>
    <w:rsid w:val="004A7222"/>
    <w:rPr>
      <w:i/>
      <w:iCs/>
    </w:rPr>
  </w:style>
  <w:style w:type="paragraph" w:customStyle="1" w:styleId="Fichefinanciretitre0">
    <w:name w:val="Fiche financière titre0"/>
    <w:basedOn w:val="Normal"/>
    <w:next w:val="Normal"/>
    <w:rsid w:val="00517205"/>
    <w:pPr>
      <w:jc w:val="center"/>
    </w:pPr>
    <w:rPr>
      <w:b/>
      <w:u w:val="single"/>
    </w:rPr>
  </w:style>
  <w:style w:type="paragraph" w:customStyle="1" w:styleId="li">
    <w:name w:val="li"/>
    <w:basedOn w:val="Normal"/>
    <w:rsid w:val="006F3594"/>
    <w:pPr>
      <w:spacing w:before="100" w:beforeAutospacing="1" w:after="100" w:afterAutospacing="1"/>
      <w:jc w:val="left"/>
    </w:pPr>
    <w:rPr>
      <w:rFonts w:eastAsia="Times New Roman"/>
      <w:szCs w:val="24"/>
    </w:rPr>
  </w:style>
  <w:style w:type="paragraph" w:customStyle="1" w:styleId="Fichefinanciretitre00">
    <w:name w:val="Fiche financière titre00"/>
    <w:basedOn w:val="Normal"/>
    <w:next w:val="Normal"/>
    <w:rsid w:val="00D664C1"/>
    <w:pPr>
      <w:jc w:val="center"/>
    </w:pPr>
    <w:rPr>
      <w:b/>
      <w:u w:val="single"/>
    </w:rPr>
  </w:style>
  <w:style w:type="paragraph" w:customStyle="1" w:styleId="Fichefinanciretitre000">
    <w:name w:val="Fiche financière titre000"/>
    <w:basedOn w:val="Normal"/>
    <w:next w:val="Normal"/>
    <w:rsid w:val="00E03070"/>
    <w:pPr>
      <w:jc w:val="center"/>
    </w:pPr>
    <w:rPr>
      <w:b/>
      <w:u w:val="single"/>
    </w:rPr>
  </w:style>
  <w:style w:type="paragraph" w:customStyle="1" w:styleId="Fichefinanciretitre0000">
    <w:name w:val="Fiche financière titre0000"/>
    <w:basedOn w:val="Normal"/>
    <w:next w:val="Normal"/>
    <w:rsid w:val="00D57AD3"/>
    <w:pPr>
      <w:jc w:val="center"/>
    </w:pPr>
    <w:rPr>
      <w:b/>
      <w:u w:val="single"/>
    </w:rPr>
  </w:style>
  <w:style w:type="paragraph" w:customStyle="1" w:styleId="LegalNumPar">
    <w:name w:val="LegalNumPar"/>
    <w:basedOn w:val="Normal"/>
    <w:rsid w:val="00E632E4"/>
    <w:pPr>
      <w:numPr>
        <w:numId w:val="24"/>
      </w:numPr>
      <w:spacing w:line="360" w:lineRule="auto"/>
    </w:pPr>
  </w:style>
  <w:style w:type="paragraph" w:customStyle="1" w:styleId="LegalNumPar2">
    <w:name w:val="LegalNumPar2"/>
    <w:basedOn w:val="Normal"/>
    <w:rsid w:val="00E632E4"/>
    <w:pPr>
      <w:numPr>
        <w:numId w:val="35"/>
      </w:numPr>
      <w:spacing w:line="360" w:lineRule="auto"/>
    </w:pPr>
  </w:style>
  <w:style w:type="paragraph" w:customStyle="1" w:styleId="LegalNumPar3">
    <w:name w:val="LegalNumPar3"/>
    <w:basedOn w:val="Normal"/>
    <w:rsid w:val="00E632E4"/>
    <w:pPr>
      <w:numPr>
        <w:ilvl w:val="2"/>
        <w:numId w:val="24"/>
      </w:numPr>
      <w:spacing w:line="360" w:lineRule="auto"/>
    </w:pPr>
  </w:style>
  <w:style w:type="character" w:customStyle="1" w:styleId="normaltextrun">
    <w:name w:val="normaltextrun"/>
    <w:basedOn w:val="DefaultParagraphFont"/>
    <w:rsid w:val="00917643"/>
  </w:style>
  <w:style w:type="character" w:customStyle="1" w:styleId="eop">
    <w:name w:val="eop"/>
    <w:basedOn w:val="DefaultParagraphFont"/>
    <w:rsid w:val="00917643"/>
  </w:style>
  <w:style w:type="character" w:customStyle="1" w:styleId="Mention1">
    <w:name w:val="Mention1"/>
    <w:basedOn w:val="DefaultParagraphFont"/>
    <w:uiPriority w:val="99"/>
    <w:unhideWhenUsed/>
    <w:rsid w:val="00D518F3"/>
    <w:rPr>
      <w:color w:val="2B579A"/>
      <w:shd w:val="clear" w:color="auto" w:fill="E6E6E6"/>
    </w:rPr>
  </w:style>
  <w:style w:type="character" w:customStyle="1" w:styleId="findhit">
    <w:name w:val="findhit"/>
    <w:basedOn w:val="DefaultParagraphFont"/>
    <w:rsid w:val="00D518F3"/>
  </w:style>
  <w:style w:type="character" w:customStyle="1" w:styleId="UnresolvedMention1">
    <w:name w:val="Unresolved Mention1"/>
    <w:basedOn w:val="DefaultParagraphFont"/>
    <w:uiPriority w:val="99"/>
    <w:semiHidden/>
    <w:unhideWhenUsed/>
    <w:rsid w:val="00E4146C"/>
    <w:rPr>
      <w:color w:val="605E5C"/>
      <w:shd w:val="clear" w:color="auto" w:fill="E1DFDD"/>
    </w:rPr>
  </w:style>
  <w:style w:type="character" w:customStyle="1" w:styleId="UnresolvedMention2">
    <w:name w:val="Unresolved Mention2"/>
    <w:basedOn w:val="DefaultParagraphFont"/>
    <w:uiPriority w:val="99"/>
    <w:semiHidden/>
    <w:unhideWhenUsed/>
    <w:rsid w:val="00C61F4D"/>
    <w:rPr>
      <w:color w:val="605E5C"/>
      <w:shd w:val="clear" w:color="auto" w:fill="E1DFDD"/>
    </w:rPr>
  </w:style>
  <w:style w:type="character" w:customStyle="1" w:styleId="UnresolvedMention3">
    <w:name w:val="Unresolved Mention3"/>
    <w:basedOn w:val="DefaultParagraphFont"/>
    <w:uiPriority w:val="99"/>
    <w:semiHidden/>
    <w:unhideWhenUsed/>
    <w:rsid w:val="00C42293"/>
    <w:rPr>
      <w:color w:val="605E5C"/>
      <w:shd w:val="clear" w:color="auto" w:fill="E1DFDD"/>
    </w:rPr>
  </w:style>
  <w:style w:type="character" w:customStyle="1" w:styleId="UnresolvedMention4">
    <w:name w:val="Unresolved Mention4"/>
    <w:basedOn w:val="DefaultParagraphFont"/>
    <w:uiPriority w:val="99"/>
    <w:semiHidden/>
    <w:unhideWhenUsed/>
    <w:rsid w:val="00F452EF"/>
    <w:rPr>
      <w:color w:val="605E5C"/>
      <w:shd w:val="clear" w:color="auto" w:fill="E1DFDD"/>
    </w:rPr>
  </w:style>
  <w:style w:type="paragraph" w:styleId="Header">
    <w:name w:val="header"/>
    <w:basedOn w:val="Normal"/>
    <w:link w:val="HeaderChar"/>
    <w:uiPriority w:val="99"/>
    <w:unhideWhenUsed/>
    <w:rsid w:val="00A6081D"/>
    <w:pPr>
      <w:tabs>
        <w:tab w:val="center" w:pos="4535"/>
        <w:tab w:val="right" w:pos="9071"/>
      </w:tabs>
      <w:spacing w:before="0"/>
    </w:pPr>
  </w:style>
  <w:style w:type="character" w:customStyle="1" w:styleId="HeaderChar">
    <w:name w:val="Header Char"/>
    <w:basedOn w:val="DefaultParagraphFont"/>
    <w:link w:val="Header"/>
    <w:uiPriority w:val="99"/>
    <w:rsid w:val="00A6081D"/>
    <w:rPr>
      <w:rFonts w:ascii="Times New Roman" w:hAnsi="Times New Roman" w:cs="Times New Roman"/>
      <w:sz w:val="24"/>
      <w:lang w:val="sk-SK"/>
    </w:rPr>
  </w:style>
  <w:style w:type="paragraph" w:styleId="Footer">
    <w:name w:val="footer"/>
    <w:basedOn w:val="Normal"/>
    <w:link w:val="FooterChar"/>
    <w:uiPriority w:val="99"/>
    <w:unhideWhenUsed/>
    <w:rsid w:val="00A6081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6081D"/>
    <w:rPr>
      <w:rFonts w:ascii="Times New Roman" w:hAnsi="Times New Roman" w:cs="Times New Roman"/>
      <w:sz w:val="24"/>
      <w:lang w:val="sk-SK"/>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sk-SK"/>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sk-SK"/>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sk-SK"/>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sk-SK"/>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sk-SK"/>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sk-SK"/>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sk-SK"/>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A6081D"/>
    <w:pPr>
      <w:tabs>
        <w:tab w:val="center" w:pos="7285"/>
        <w:tab w:val="right" w:pos="14003"/>
      </w:tabs>
      <w:spacing w:before="0"/>
    </w:pPr>
  </w:style>
  <w:style w:type="paragraph" w:customStyle="1" w:styleId="FooterLandscape">
    <w:name w:val="FooterLandscape"/>
    <w:basedOn w:val="Normal"/>
    <w:rsid w:val="00A6081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A6081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6081D"/>
    <w:pPr>
      <w:spacing w:before="0"/>
      <w:jc w:val="right"/>
    </w:pPr>
    <w:rPr>
      <w:sz w:val="28"/>
    </w:rPr>
  </w:style>
  <w:style w:type="paragraph" w:customStyle="1" w:styleId="FooterSensitivity">
    <w:name w:val="Footer Sensitivity"/>
    <w:basedOn w:val="Normal"/>
    <w:rsid w:val="00A6081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36"/>
      </w:numPr>
    </w:pPr>
  </w:style>
  <w:style w:type="paragraph" w:customStyle="1" w:styleId="Tiret1">
    <w:name w:val="Tiret 1"/>
    <w:basedOn w:val="Point1"/>
    <w:rsid w:val="00517205"/>
    <w:pPr>
      <w:numPr>
        <w:numId w:val="37"/>
      </w:numPr>
    </w:pPr>
  </w:style>
  <w:style w:type="paragraph" w:customStyle="1" w:styleId="Tiret2">
    <w:name w:val="Tiret 2"/>
    <w:basedOn w:val="Point2"/>
    <w:rsid w:val="00517205"/>
    <w:pPr>
      <w:numPr>
        <w:numId w:val="38"/>
      </w:numPr>
    </w:pPr>
  </w:style>
  <w:style w:type="paragraph" w:customStyle="1" w:styleId="Tiret3">
    <w:name w:val="Tiret 3"/>
    <w:basedOn w:val="Point3"/>
    <w:rsid w:val="00517205"/>
    <w:pPr>
      <w:numPr>
        <w:numId w:val="39"/>
      </w:numPr>
    </w:pPr>
  </w:style>
  <w:style w:type="paragraph" w:customStyle="1" w:styleId="Tiret4">
    <w:name w:val="Tiret 4"/>
    <w:basedOn w:val="Point4"/>
    <w:rsid w:val="00517205"/>
    <w:pPr>
      <w:numPr>
        <w:numId w:val="40"/>
      </w:numPr>
    </w:pPr>
  </w:style>
  <w:style w:type="paragraph" w:customStyle="1" w:styleId="Tiret5">
    <w:name w:val="Tiret 5"/>
    <w:basedOn w:val="Point5"/>
    <w:rsid w:val="00517205"/>
    <w:pPr>
      <w:numPr>
        <w:numId w:val="41"/>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42"/>
      </w:numPr>
    </w:pPr>
  </w:style>
  <w:style w:type="paragraph" w:customStyle="1" w:styleId="NumPar2">
    <w:name w:val="NumPar 2"/>
    <w:basedOn w:val="Normal"/>
    <w:next w:val="Text1"/>
    <w:rsid w:val="00517205"/>
    <w:pPr>
      <w:numPr>
        <w:ilvl w:val="1"/>
        <w:numId w:val="42"/>
      </w:numPr>
    </w:pPr>
  </w:style>
  <w:style w:type="paragraph" w:customStyle="1" w:styleId="NumPar3">
    <w:name w:val="NumPar 3"/>
    <w:basedOn w:val="Normal"/>
    <w:next w:val="Text1"/>
    <w:rsid w:val="00517205"/>
    <w:pPr>
      <w:numPr>
        <w:ilvl w:val="2"/>
        <w:numId w:val="42"/>
      </w:numPr>
    </w:pPr>
  </w:style>
  <w:style w:type="paragraph" w:customStyle="1" w:styleId="NumPar4">
    <w:name w:val="NumPar 4"/>
    <w:basedOn w:val="Normal"/>
    <w:next w:val="Text1"/>
    <w:rsid w:val="00517205"/>
    <w:pPr>
      <w:numPr>
        <w:ilvl w:val="3"/>
        <w:numId w:val="42"/>
      </w:numPr>
    </w:pPr>
  </w:style>
  <w:style w:type="paragraph" w:customStyle="1" w:styleId="NumPar5">
    <w:name w:val="NumPar 5"/>
    <w:basedOn w:val="Normal"/>
    <w:next w:val="Text2"/>
    <w:rsid w:val="00517205"/>
    <w:pPr>
      <w:numPr>
        <w:ilvl w:val="4"/>
        <w:numId w:val="42"/>
      </w:numPr>
    </w:pPr>
  </w:style>
  <w:style w:type="paragraph" w:customStyle="1" w:styleId="NumPar6">
    <w:name w:val="NumPar 6"/>
    <w:basedOn w:val="Normal"/>
    <w:next w:val="Text2"/>
    <w:rsid w:val="00517205"/>
    <w:pPr>
      <w:numPr>
        <w:ilvl w:val="5"/>
        <w:numId w:val="42"/>
      </w:numPr>
    </w:pPr>
  </w:style>
  <w:style w:type="paragraph" w:customStyle="1" w:styleId="NumPar7">
    <w:name w:val="NumPar 7"/>
    <w:basedOn w:val="Normal"/>
    <w:next w:val="Text2"/>
    <w:rsid w:val="00517205"/>
    <w:pPr>
      <w:numPr>
        <w:ilvl w:val="6"/>
        <w:numId w:val="42"/>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05"/>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44"/>
      </w:numPr>
    </w:pPr>
  </w:style>
  <w:style w:type="paragraph" w:customStyle="1" w:styleId="Point1number">
    <w:name w:val="Point 1 (number)"/>
    <w:basedOn w:val="Normal"/>
    <w:rsid w:val="00517205"/>
    <w:pPr>
      <w:numPr>
        <w:ilvl w:val="2"/>
        <w:numId w:val="44"/>
      </w:numPr>
    </w:pPr>
  </w:style>
  <w:style w:type="paragraph" w:customStyle="1" w:styleId="Point2number">
    <w:name w:val="Point 2 (number)"/>
    <w:basedOn w:val="Normal"/>
    <w:rsid w:val="00517205"/>
    <w:pPr>
      <w:numPr>
        <w:ilvl w:val="4"/>
        <w:numId w:val="44"/>
      </w:numPr>
    </w:pPr>
  </w:style>
  <w:style w:type="paragraph" w:customStyle="1" w:styleId="Point3number">
    <w:name w:val="Point 3 (number)"/>
    <w:basedOn w:val="Normal"/>
    <w:rsid w:val="00517205"/>
    <w:pPr>
      <w:numPr>
        <w:ilvl w:val="6"/>
        <w:numId w:val="44"/>
      </w:numPr>
    </w:pPr>
  </w:style>
  <w:style w:type="paragraph" w:customStyle="1" w:styleId="Point0letter">
    <w:name w:val="Point 0 (letter)"/>
    <w:basedOn w:val="Normal"/>
    <w:rsid w:val="00517205"/>
    <w:pPr>
      <w:numPr>
        <w:ilvl w:val="1"/>
        <w:numId w:val="44"/>
      </w:numPr>
    </w:pPr>
  </w:style>
  <w:style w:type="paragraph" w:customStyle="1" w:styleId="Point1letter">
    <w:name w:val="Point 1 (letter)"/>
    <w:basedOn w:val="Normal"/>
    <w:rsid w:val="00517205"/>
    <w:pPr>
      <w:numPr>
        <w:ilvl w:val="3"/>
        <w:numId w:val="44"/>
      </w:numPr>
    </w:pPr>
  </w:style>
  <w:style w:type="paragraph" w:customStyle="1" w:styleId="Point2letter">
    <w:name w:val="Point 2 (letter)"/>
    <w:basedOn w:val="Normal"/>
    <w:rsid w:val="00517205"/>
    <w:pPr>
      <w:numPr>
        <w:ilvl w:val="5"/>
        <w:numId w:val="44"/>
      </w:numPr>
    </w:pPr>
  </w:style>
  <w:style w:type="paragraph" w:customStyle="1" w:styleId="Point3letter">
    <w:name w:val="Point 3 (letter)"/>
    <w:basedOn w:val="Normal"/>
    <w:rsid w:val="00517205"/>
    <w:pPr>
      <w:numPr>
        <w:ilvl w:val="7"/>
        <w:numId w:val="44"/>
      </w:numPr>
    </w:pPr>
  </w:style>
  <w:style w:type="paragraph" w:customStyle="1" w:styleId="Point4letter">
    <w:name w:val="Point 4 (letter)"/>
    <w:basedOn w:val="Normal"/>
    <w:rsid w:val="00517205"/>
    <w:pPr>
      <w:numPr>
        <w:ilvl w:val="8"/>
        <w:numId w:val="44"/>
      </w:numPr>
    </w:pPr>
  </w:style>
  <w:style w:type="paragraph" w:customStyle="1" w:styleId="Bullet0">
    <w:name w:val="Bullet 0"/>
    <w:basedOn w:val="Normal"/>
    <w:rsid w:val="00517205"/>
    <w:pPr>
      <w:numPr>
        <w:numId w:val="45"/>
      </w:numPr>
    </w:pPr>
  </w:style>
  <w:style w:type="paragraph" w:customStyle="1" w:styleId="Bullet1">
    <w:name w:val="Bullet 1"/>
    <w:basedOn w:val="Normal"/>
    <w:rsid w:val="00517205"/>
    <w:pPr>
      <w:numPr>
        <w:numId w:val="46"/>
      </w:numPr>
    </w:pPr>
  </w:style>
  <w:style w:type="paragraph" w:customStyle="1" w:styleId="Bullet2">
    <w:name w:val="Bullet 2"/>
    <w:basedOn w:val="Normal"/>
    <w:rsid w:val="00517205"/>
    <w:pPr>
      <w:numPr>
        <w:numId w:val="47"/>
      </w:numPr>
    </w:pPr>
  </w:style>
  <w:style w:type="paragraph" w:customStyle="1" w:styleId="Bullet3">
    <w:name w:val="Bullet 3"/>
    <w:basedOn w:val="Normal"/>
    <w:rsid w:val="00517205"/>
    <w:pPr>
      <w:numPr>
        <w:numId w:val="48"/>
      </w:numPr>
    </w:pPr>
  </w:style>
  <w:style w:type="paragraph" w:customStyle="1" w:styleId="Bullet4">
    <w:name w:val="Bullet 4"/>
    <w:basedOn w:val="Normal"/>
    <w:rsid w:val="00517205"/>
    <w:pPr>
      <w:numPr>
        <w:numId w:val="49"/>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50"/>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051">
      <w:bodyDiv w:val="1"/>
      <w:marLeft w:val="0"/>
      <w:marRight w:val="0"/>
      <w:marTop w:val="0"/>
      <w:marBottom w:val="0"/>
      <w:divBdr>
        <w:top w:val="none" w:sz="0" w:space="0" w:color="auto"/>
        <w:left w:val="none" w:sz="0" w:space="0" w:color="auto"/>
        <w:bottom w:val="none" w:sz="0" w:space="0" w:color="auto"/>
        <w:right w:val="none" w:sz="0" w:space="0" w:color="auto"/>
      </w:divBdr>
    </w:div>
    <w:div w:id="305554170">
      <w:bodyDiv w:val="1"/>
      <w:marLeft w:val="0"/>
      <w:marRight w:val="0"/>
      <w:marTop w:val="0"/>
      <w:marBottom w:val="0"/>
      <w:divBdr>
        <w:top w:val="none" w:sz="0" w:space="0" w:color="auto"/>
        <w:left w:val="none" w:sz="0" w:space="0" w:color="auto"/>
        <w:bottom w:val="none" w:sz="0" w:space="0" w:color="auto"/>
        <w:right w:val="none" w:sz="0" w:space="0" w:color="auto"/>
      </w:divBdr>
    </w:div>
    <w:div w:id="762842011">
      <w:bodyDiv w:val="1"/>
      <w:marLeft w:val="0"/>
      <w:marRight w:val="0"/>
      <w:marTop w:val="0"/>
      <w:marBottom w:val="0"/>
      <w:divBdr>
        <w:top w:val="none" w:sz="0" w:space="0" w:color="auto"/>
        <w:left w:val="none" w:sz="0" w:space="0" w:color="auto"/>
        <w:bottom w:val="none" w:sz="0" w:space="0" w:color="auto"/>
        <w:right w:val="none" w:sz="0" w:space="0" w:color="auto"/>
      </w:divBdr>
    </w:div>
    <w:div w:id="1395008308">
      <w:bodyDiv w:val="1"/>
      <w:marLeft w:val="0"/>
      <w:marRight w:val="0"/>
      <w:marTop w:val="0"/>
      <w:marBottom w:val="0"/>
      <w:divBdr>
        <w:top w:val="none" w:sz="0" w:space="0" w:color="auto"/>
        <w:left w:val="none" w:sz="0" w:space="0" w:color="auto"/>
        <w:bottom w:val="none" w:sz="0" w:space="0" w:color="auto"/>
        <w:right w:val="none" w:sz="0" w:space="0" w:color="auto"/>
      </w:divBdr>
    </w:div>
    <w:div w:id="1721661369">
      <w:bodyDiv w:val="1"/>
      <w:marLeft w:val="0"/>
      <w:marRight w:val="0"/>
      <w:marTop w:val="0"/>
      <w:marBottom w:val="0"/>
      <w:divBdr>
        <w:top w:val="none" w:sz="0" w:space="0" w:color="auto"/>
        <w:left w:val="none" w:sz="0" w:space="0" w:color="auto"/>
        <w:bottom w:val="none" w:sz="0" w:space="0" w:color="auto"/>
        <w:right w:val="none" w:sz="0" w:space="0" w:color="auto"/>
      </w:divBdr>
    </w:div>
    <w:div w:id="1859543181">
      <w:bodyDiv w:val="1"/>
      <w:marLeft w:val="0"/>
      <w:marRight w:val="0"/>
      <w:marTop w:val="0"/>
      <w:marBottom w:val="0"/>
      <w:divBdr>
        <w:top w:val="none" w:sz="0" w:space="0" w:color="auto"/>
        <w:left w:val="none" w:sz="0" w:space="0" w:color="auto"/>
        <w:bottom w:val="none" w:sz="0" w:space="0" w:color="auto"/>
        <w:right w:val="none" w:sz="0" w:space="0" w:color="auto"/>
      </w:divBdr>
    </w:div>
    <w:div w:id="2054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footer" Target="footer2.xml"></Relationship><Relationship Id="rId18" Type="http://schemas.openxmlformats.org/officeDocument/2006/relationships/footer" Target="footer5.xml"></Relationship><Relationship Id="rId3" Type="http://schemas.openxmlformats.org/officeDocument/2006/relationships/customXml" Target="../customXml/item3.xml"></Relationship><Relationship Id="rId21" Type="http://schemas.openxmlformats.org/officeDocument/2006/relationships/header" Target="header4.xml"></Relationship><Relationship Id="rId7" Type="http://schemas.openxmlformats.org/officeDocument/2006/relationships/settings" Target="settings.xml"></Relationship><Relationship Id="rId12" Type="http://schemas.openxmlformats.org/officeDocument/2006/relationships/footer" Target="footer1.xml"></Relationship><Relationship Id="rId17" Type="http://schemas.openxmlformats.org/officeDocument/2006/relationships/header" Target="header2.xml"></Relationship><Relationship Id="rId2" Type="http://schemas.openxmlformats.org/officeDocument/2006/relationships/customXml" Target="../customXml/item2.xml"></Relationship><Relationship Id="rId16" Type="http://schemas.openxmlformats.org/officeDocument/2006/relationships/footer" Target="footer4.xml"></Relationship><Relationship Id="rId20" Type="http://schemas.openxmlformats.org/officeDocument/2006/relationships/footer" Target="footer6.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image" Target="media/image1.emf"></Relationship><Relationship Id="rId24" Type="http://schemas.openxmlformats.org/officeDocument/2006/relationships/theme" Target="theme/theme1.xml"></Relationship><Relationship Id="rId5" Type="http://schemas.openxmlformats.org/officeDocument/2006/relationships/numbering" Target="numbering.xml"></Relationship><Relationship Id="rId15" Type="http://schemas.openxmlformats.org/officeDocument/2006/relationships/header" Target="header1.xml"></Relationship><Relationship Id="rId23" Type="http://schemas.openxmlformats.org/officeDocument/2006/relationships/fontTable" Target="fontTable.xml"></Relationship><Relationship Id="rId10" Type="http://schemas.openxmlformats.org/officeDocument/2006/relationships/endnotes" Target="endnotes.xml"></Relationship><Relationship Id="rId19" Type="http://schemas.openxmlformats.org/officeDocument/2006/relationships/header" Target="header3.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3.xml"></Relationship><Relationship Id="rId22" Type="http://schemas.openxmlformats.org/officeDocument/2006/relationships/footer" Target="footer7.xml"></Relationship><Relationship Id="rId30" Type="http://schemas.microsoft.com/office/2020/10/relationships/intelligence" Target="intelligence2.xml"></Relationship><Relationship Id="rId31" Type="http://schemas.openxmlformats.org/officeDocument/2006/relationships/customXml" Target="../customXml/item5.xml" /></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K/AUTO/?uri=OJ:L:2014:161:TOC" TargetMode="External"/><Relationship Id="rId2" Type="http://schemas.openxmlformats.org/officeDocument/2006/relationships/hyperlink" Target="https://eur-lex.europa.eu/eli/dec/2022/1201" TargetMode="External"/><Relationship Id="rId1" Type="http://schemas.openxmlformats.org/officeDocument/2006/relationships/hyperlink" Target="https://eu-solidarity-ukraine.ec.europa.eu/eu-assistance-ukraine_sk" TargetMode="External"/><Relationship Id="rId5" Type="http://schemas.openxmlformats.org/officeDocument/2006/relationships/hyperlink" Target="https://ec.europa.eu/info/sites/default/files/ukraine-relief-reconstruction_en.pdf" TargetMode="External"/><Relationship Id="rId4" Type="http://schemas.openxmlformats.org/officeDocument/2006/relationships/hyperlink" Target="https://eur-lex.europa.eu/eli/dec/2022/313/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6C08CCF0D84043B4E7C315EFB8EAF3" ma:contentTypeVersion="4" ma:contentTypeDescription="Create a new document." ma:contentTypeScope="" ma:versionID="4125c7f30dcb2c0a9fe505d7bda8097e">
  <xsd:schema xmlns:xsd="http://www.w3.org/2001/XMLSchema" xmlns:xs="http://www.w3.org/2001/XMLSchema" xmlns:p="http://schemas.microsoft.com/office/2006/metadata/properties" xmlns:ns2="c7440682-6439-415b-99df-de01877f7c9b" targetNamespace="http://schemas.microsoft.com/office/2006/metadata/properties" ma:root="true" ma:fieldsID="1f6fa727447f79c1797bb80e8c5c0d2a" ns2:_="">
    <xsd:import namespace="c7440682-6439-415b-99df-de01877f7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0682-6439-415b-99df-de01877f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ref="">
    <f:field ref="objname" par="" edit="true" text="1_SK_ACT_part1_v2"/>
    <f:field ref="objsubject" par="" edit="true" text=""/>
    <f:field ref="objcreatedby" par="" text="Administrator, System"/>
    <f:field ref="objcreatedat" par="" text="8.9.2022 19:45:07"/>
    <f:field ref="objchangedby" par="" text="Administrator, System"/>
    <f:field ref="objmodifiedat" par="" text="8.9.2022 19:45: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2E828A7-1DD5-459E-83E9-81A3D4DF5EDE}">
  <ds:schemaRefs>
    <ds:schemaRef ds:uri="http://schemas.microsoft.com/sharepoint/v3/contenttype/forms"/>
  </ds:schemaRefs>
</ds:datastoreItem>
</file>

<file path=customXml/itemProps2.xml><?xml version="1.0" encoding="utf-8"?>
<ds:datastoreItem xmlns:ds="http://schemas.openxmlformats.org/officeDocument/2006/customXml" ds:itemID="{45C630AB-7838-4258-87B0-E0BAB34F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0682-6439-415b-99df-de01877f7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F163B-2269-4D17-A509-C069948CEF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440682-6439-415b-99df-de01877f7c9b"/>
    <ds:schemaRef ds:uri="http://www.w3.org/XML/1998/namespace"/>
    <ds:schemaRef ds:uri="http://purl.org/dc/dcmitype/"/>
  </ds:schemaRefs>
</ds:datastoreItem>
</file>

<file path=customXml/itemProps4.xml><?xml version="1.0" encoding="utf-8"?>
<ds:datastoreItem xmlns:ds="http://schemas.openxmlformats.org/officeDocument/2006/customXml" ds:itemID="{D411D7E0-F4A0-4574-B0B4-266306206177}">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COM.dotm</Template>
  <TotalTime>61</TotalTime>
  <Pages>47</Pages>
  <Words>16033</Words>
  <Characters>96362</Characters>
  <Application>Microsoft Office Word</Application>
  <DocSecurity>0</DocSecurity>
  <Lines>2409</Lines>
  <Paragraphs>1012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53</cp:revision>
  <cp:lastPrinted>2022-05-25T09:13:00Z</cp:lastPrinted>
  <dcterms:created xsi:type="dcterms:W3CDTF">2022-09-06T20:06:00Z</dcterms:created>
  <dcterms:modified xsi:type="dcterms:W3CDTF">2022-09-08T14:03:00Z</dcterms:modified>
</cp:coreProperties>
</file>

<file path=docProps/custom.xml><?xml version="1.0" encoding="utf-8"?>
<Properties xmlns="http://schemas.openxmlformats.org/officeDocument/2006/custom-properties" xmlns:vt="http://schemas.openxmlformats.org/officeDocument/2006/docPropsVTypes">
  <property name="Category" pid="2" fmtid="{D5CDD505-2E9C-101B-9397-08002B2CF9AE}">
    <vt:lpwstr>COM/PL/ORG</vt:lpwstr>
  </property>
  <property name="Version" pid="3" fmtid="{D5CDD505-2E9C-101B-9397-08002B2CF9AE}">
    <vt:lpwstr>8.0.25.0</vt:lpwstr>
  </property>
  <property name="Last edited using" pid="4" fmtid="{D5CDD505-2E9C-101B-9397-08002B2CF9AE}">
    <vt:lpwstr>LW 8.0.1, Build 20220429</vt:lpwstr>
  </property>
  <property name="Created using" pid="5" fmtid="{D5CDD505-2E9C-101B-9397-08002B2CF9AE}">
    <vt:lpwstr>LW 8.0, Build 20220128</vt:lpwstr>
  </property>
  <property name="Part" pid="6" fmtid="{D5CDD505-2E9C-101B-9397-08002B2CF9AE}">
    <vt:lpwstr>1</vt:lpwstr>
  </property>
  <property name="Total parts" pid="7" fmtid="{D5CDD505-2E9C-101B-9397-08002B2CF9AE}">
    <vt:lpwstr>1</vt:lpwstr>
  </property>
  <property name="Level of sensitivity" pid="8" fmtid="{D5CDD505-2E9C-101B-9397-08002B2CF9AE}">
    <vt:lpwstr>Standard treatment</vt:lpwstr>
  </property>
  <property name="LWTemplateID" pid="9" fmtid="{D5CDD505-2E9C-101B-9397-08002B2CF9AE}">
    <vt:lpwstr>SJ-025</vt:lpwstr>
  </property>
  <property name="ContentTypeId" pid="10" fmtid="{D5CDD505-2E9C-101B-9397-08002B2CF9AE}">
    <vt:lpwstr>0x010100B56C08CCF0D84043B4E7C315EFB8EAF3</vt:lpwstr>
  </property>
  <property name="MSIP_Label_6bd9ddd1-4d20-43f6-abfa-fc3c07406f94_Enabled" pid="11" fmtid="{D5CDD505-2E9C-101B-9397-08002B2CF9AE}">
    <vt:lpwstr>true</vt:lpwstr>
  </property>
  <property name="MSIP_Label_6bd9ddd1-4d20-43f6-abfa-fc3c07406f94_SetDate" pid="12" fmtid="{D5CDD505-2E9C-101B-9397-08002B2CF9AE}">
    <vt:lpwstr>2022-05-21T11:21:05Z</vt:lpwstr>
  </property>
  <property name="MSIP_Label_6bd9ddd1-4d20-43f6-abfa-fc3c07406f94_Method" pid="13" fmtid="{D5CDD505-2E9C-101B-9397-08002B2CF9AE}">
    <vt:lpwstr>Standard</vt:lpwstr>
  </property>
  <property name="MSIP_Label_6bd9ddd1-4d20-43f6-abfa-fc3c07406f94_Name" pid="14" fmtid="{D5CDD505-2E9C-101B-9397-08002B2CF9AE}">
    <vt:lpwstr>Commission Use</vt:lpwstr>
  </property>
  <property name="MSIP_Label_6bd9ddd1-4d20-43f6-abfa-fc3c07406f94_SiteId" pid="15" fmtid="{D5CDD505-2E9C-101B-9397-08002B2CF9AE}">
    <vt:lpwstr>b24c8b06-522c-46fe-9080-70926f8dddb1</vt:lpwstr>
  </property>
  <property name="MSIP_Label_6bd9ddd1-4d20-43f6-abfa-fc3c07406f94_ActionId" pid="16" fmtid="{D5CDD505-2E9C-101B-9397-08002B2CF9AE}">
    <vt:lpwstr>3ff85831-9e9a-4714-af9a-84cc9c166280</vt:lpwstr>
  </property>
  <property name="MSIP_Label_6bd9ddd1-4d20-43f6-abfa-fc3c07406f94_ContentBits" pid="17" fmtid="{D5CDD505-2E9C-101B-9397-08002B2CF9AE}">
    <vt:lpwstr>0</vt:lpwstr>
  </property>
  <property name="DQCStatus" pid="18" fmtid="{D5CDD505-2E9C-101B-9397-08002B2CF9AE}">
    <vt:lpwstr>Green (DQC version 03)</vt:lpwstr>
  </property>
  <property name="FSC#SKEDITIONSLOVLEX@103.510:spravaucastverej" pid="19" fmtid="{D5CDD505-2E9C-101B-9397-08002B2CF9AE}">
    <vt:lpwstr/>
  </property>
  <property name="FSC#SKEDITIONSLOVLEX@103.510:typpredpis" pid="20" fmtid="{D5CDD505-2E9C-101B-9397-08002B2CF9AE}">
    <vt:lpwstr/>
  </property>
  <property name="FSC#SKEDITIONSLOVLEX@103.510:aktualnyrok" pid="21" fmtid="{D5CDD505-2E9C-101B-9397-08002B2CF9AE}">
    <vt:lpwstr>2022</vt:lpwstr>
  </property>
  <property name="FSC#SKEDITIONSLOVLEX@103.510:cisloparlamenttlac" pid="22" fmtid="{D5CDD505-2E9C-101B-9397-08002B2CF9AE}">
    <vt:lpwstr/>
  </property>
  <property name="FSC#SKEDITIONSLOVLEX@103.510:stavpredpis" pid="23" fmtid="{D5CDD505-2E9C-101B-9397-08002B2CF9AE}">
    <vt:lpwstr/>
  </property>
  <property name="FSC#SKEDITIONSLOVLEX@103.510:povodpredpis" pid="24" fmtid="{D5CDD505-2E9C-101B-9397-08002B2CF9AE}">
    <vt:lpwstr/>
  </property>
  <property name="FSC#SKEDITIONSLOVLEX@103.510:legoblast" pid="25" fmtid="{D5CDD505-2E9C-101B-9397-08002B2CF9AE}">
    <vt:lpwstr/>
  </property>
  <property name="FSC#SKEDITIONSLOVLEX@103.510:uzemplat" pid="26" fmtid="{D5CDD505-2E9C-101B-9397-08002B2CF9AE}">
    <vt:lpwstr/>
  </property>
  <property name="FSC#SKEDITIONSLOVLEX@103.510:vztahypredpis" pid="27" fmtid="{D5CDD505-2E9C-101B-9397-08002B2CF9AE}">
    <vt:lpwstr/>
  </property>
  <property name="FSC#SKEDITIONSLOVLEX@103.510:predkladatel" pid="28" fmtid="{D5CDD505-2E9C-101B-9397-08002B2CF9AE}">
    <vt:lpwstr/>
  </property>
  <property name="FSC#SKEDITIONSLOVLEX@103.510:zodppredkladatel" pid="29" fmtid="{D5CDD505-2E9C-101B-9397-08002B2CF9AE}">
    <vt:lpwstr/>
  </property>
  <property name="FSC#SKEDITIONSLOVLEX@103.510:dalsipredkladatel" pid="30" fmtid="{D5CDD505-2E9C-101B-9397-08002B2CF9AE}">
    <vt:lpwstr/>
  </property>
  <property name="FSC#SKEDITIONSLOVLEX@103.510:nazovpredpis" pid="31" fmtid="{D5CDD505-2E9C-101B-9397-08002B2CF9AE}">
    <vt:lpwstr/>
  </property>
  <property name="FSC#SKEDITIONSLOVLEX@103.510:nazovpredpis1" pid="32" fmtid="{D5CDD505-2E9C-101B-9397-08002B2CF9AE}">
    <vt:lpwstr/>
  </property>
  <property name="FSC#SKEDITIONSLOVLEX@103.510:nazovpredpis2" pid="33" fmtid="{D5CDD505-2E9C-101B-9397-08002B2CF9AE}">
    <vt:lpwstr/>
  </property>
  <property name="FSC#SKEDITIONSLOVLEX@103.510:nazovpredpis3" pid="34" fmtid="{D5CDD505-2E9C-101B-9397-08002B2CF9AE}">
    <vt:lpwstr/>
  </property>
  <property name="FSC#SKEDITIONSLOVLEX@103.510:cislopredpis" pid="35" fmtid="{D5CDD505-2E9C-101B-9397-08002B2CF9AE}">
    <vt:lpwstr/>
  </property>
  <property name="FSC#SKEDITIONSLOVLEX@103.510:zodpinstitucia" pid="36" fmtid="{D5CDD505-2E9C-101B-9397-08002B2CF9AE}">
    <vt:lpwstr/>
  </property>
  <property name="FSC#SKEDITIONSLOVLEX@103.510:pripomienkovatelia" pid="37" fmtid="{D5CDD505-2E9C-101B-9397-08002B2CF9AE}">
    <vt:lpwstr/>
  </property>
  <property name="FSC#SKEDITIONSLOVLEX@103.510:autorpredpis" pid="38" fmtid="{D5CDD505-2E9C-101B-9397-08002B2CF9AE}">
    <vt:lpwstr/>
  </property>
  <property name="FSC#SKEDITIONSLOVLEX@103.510:podnetpredpis" pid="39" fmtid="{D5CDD505-2E9C-101B-9397-08002B2CF9AE}">
    <vt:lpwstr/>
  </property>
  <property name="FSC#SKEDITIONSLOVLEX@103.510:plnynazovpredpis" pid="40" fmtid="{D5CDD505-2E9C-101B-9397-08002B2CF9AE}">
    <vt:lpwstr/>
  </property>
  <property name="FSC#SKEDITIONSLOVLEX@103.510:plnynazovpredpis1" pid="41" fmtid="{D5CDD505-2E9C-101B-9397-08002B2CF9AE}">
    <vt:lpwstr/>
  </property>
  <property name="FSC#SKEDITIONSLOVLEX@103.510:plnynazovpredpis2" pid="42" fmtid="{D5CDD505-2E9C-101B-9397-08002B2CF9AE}">
    <vt:lpwstr/>
  </property>
  <property name="FSC#SKEDITIONSLOVLEX@103.510:plnynazovpredpis3" pid="43" fmtid="{D5CDD505-2E9C-101B-9397-08002B2CF9AE}">
    <vt:lpwstr/>
  </property>
  <property name="FSC#SKEDITIONSLOVLEX@103.510:rezortcislopredpis" pid="44" fmtid="{D5CDD505-2E9C-101B-9397-08002B2CF9AE}">
    <vt:lpwstr/>
  </property>
  <property name="FSC#SKEDITIONSLOVLEX@103.510:citaciapredpis" pid="45" fmtid="{D5CDD505-2E9C-101B-9397-08002B2CF9AE}">
    <vt:lpwstr/>
  </property>
  <property name="FSC#SKEDITIONSLOVLEX@103.510:spiscislouv" pid="46" fmtid="{D5CDD505-2E9C-101B-9397-08002B2CF9AE}">
    <vt:lpwstr/>
  </property>
  <property name="FSC#SKEDITIONSLOVLEX@103.510:datumschvalpredpis" pid="47" fmtid="{D5CDD505-2E9C-101B-9397-08002B2CF9AE}">
    <vt:lpwstr/>
  </property>
  <property name="FSC#SKEDITIONSLOVLEX@103.510:platneod" pid="48" fmtid="{D5CDD505-2E9C-101B-9397-08002B2CF9AE}">
    <vt:lpwstr/>
  </property>
  <property name="FSC#SKEDITIONSLOVLEX@103.510:platnedo" pid="49" fmtid="{D5CDD505-2E9C-101B-9397-08002B2CF9AE}">
    <vt:lpwstr/>
  </property>
  <property name="FSC#SKEDITIONSLOVLEX@103.510:ucinnostod" pid="50" fmtid="{D5CDD505-2E9C-101B-9397-08002B2CF9AE}">
    <vt:lpwstr/>
  </property>
  <property name="FSC#SKEDITIONSLOVLEX@103.510:ucinnostdo" pid="51" fmtid="{D5CDD505-2E9C-101B-9397-08002B2CF9AE}">
    <vt:lpwstr/>
  </property>
  <property name="FSC#SKEDITIONSLOVLEX@103.510:datumplatnosti" pid="52" fmtid="{D5CDD505-2E9C-101B-9397-08002B2CF9AE}">
    <vt:lpwstr/>
  </property>
  <property name="FSC#SKEDITIONSLOVLEX@103.510:cislolp" pid="53" fmtid="{D5CDD505-2E9C-101B-9397-08002B2CF9AE}">
    <vt:lpwstr/>
  </property>
  <property name="FSC#SKEDITIONSLOVLEX@103.510:typsprievdok" pid="54" fmtid="{D5CDD505-2E9C-101B-9397-08002B2CF9AE}">
    <vt:lpwstr/>
  </property>
  <property name="FSC#SKEDITIONSLOVLEX@103.510:cislopartlac" pid="55" fmtid="{D5CDD505-2E9C-101B-9397-08002B2CF9AE}">
    <vt:lpwstr/>
  </property>
  <property name="FSC#SKEDITIONSLOVLEX@103.510:AttrStrListDocPropUcelPredmetZmluvy" pid="56" fmtid="{D5CDD505-2E9C-101B-9397-08002B2CF9AE}">
    <vt:lpwstr/>
  </property>
  <property name="FSC#SKEDITIONSLOVLEX@103.510:AttrStrListDocPropUpravaPravFOPRO" pid="57" fmtid="{D5CDD505-2E9C-101B-9397-08002B2CF9AE}">
    <vt:lpwstr/>
  </property>
  <property name="FSC#SKEDITIONSLOVLEX@103.510:AttrStrListDocPropUpravaPredmetuZmluvy" pid="58" fmtid="{D5CDD505-2E9C-101B-9397-08002B2CF9AE}">
    <vt:lpwstr/>
  </property>
  <property name="FSC#SKEDITIONSLOVLEX@103.510:AttrStrListDocPropKategoriaZmluvy74" pid="59" fmtid="{D5CDD505-2E9C-101B-9397-08002B2CF9AE}">
    <vt:lpwstr/>
  </property>
  <property name="FSC#SKEDITIONSLOVLEX@103.510:AttrStrListDocPropKategoriaZmluvy75" pid="60" fmtid="{D5CDD505-2E9C-101B-9397-08002B2CF9AE}">
    <vt:lpwstr/>
  </property>
  <property name="FSC#SKEDITIONSLOVLEX@103.510:AttrStrListDocPropDopadyPrijatiaZmluvy" pid="61" fmtid="{D5CDD505-2E9C-101B-9397-08002B2CF9AE}">
    <vt:lpwstr/>
  </property>
  <property name="FSC#SKEDITIONSLOVLEX@103.510:AttrStrListDocPropProblematikaPPa" pid="62" fmtid="{D5CDD505-2E9C-101B-9397-08002B2CF9AE}">
    <vt:lpwstr/>
  </property>
  <property name="FSC#SKEDITIONSLOVLEX@103.510:AttrStrListDocPropPrimarnePravoEU" pid="63" fmtid="{D5CDD505-2E9C-101B-9397-08002B2CF9AE}">
    <vt:lpwstr/>
  </property>
  <property name="FSC#SKEDITIONSLOVLEX@103.510:AttrStrListDocPropSekundarneLegPravoPO" pid="64" fmtid="{D5CDD505-2E9C-101B-9397-08002B2CF9AE}">
    <vt:lpwstr/>
  </property>
  <property name="FSC#SKEDITIONSLOVLEX@103.510:AttrStrListDocPropSekundarneNelegPravoPO" pid="65" fmtid="{D5CDD505-2E9C-101B-9397-08002B2CF9AE}">
    <vt:lpwstr/>
  </property>
  <property name="FSC#SKEDITIONSLOVLEX@103.510:AttrStrListDocPropSekundarneLegPravoDO" pid="66" fmtid="{D5CDD505-2E9C-101B-9397-08002B2CF9AE}">
    <vt:lpwstr/>
  </property>
  <property name="FSC#SKEDITIONSLOVLEX@103.510:AttrStrListDocPropProblematikaPPb" pid="67" fmtid="{D5CDD505-2E9C-101B-9397-08002B2CF9AE}">
    <vt:lpwstr/>
  </property>
  <property name="FSC#SKEDITIONSLOVLEX@103.510:AttrStrListDocPropNazovPredpisuEU" pid="68" fmtid="{D5CDD505-2E9C-101B-9397-08002B2CF9AE}">
    <vt:lpwstr/>
  </property>
  <property name="FSC#SKEDITIONSLOVLEX@103.510:AttrStrListDocPropLehotaPrebratieSmernice" pid="69" fmtid="{D5CDD505-2E9C-101B-9397-08002B2CF9AE}">
    <vt:lpwstr/>
  </property>
  <property name="FSC#SKEDITIONSLOVLEX@103.510:AttrStrListDocPropLehotaNaPredlozenie" pid="70" fmtid="{D5CDD505-2E9C-101B-9397-08002B2CF9AE}">
    <vt:lpwstr/>
  </property>
  <property name="FSC#SKEDITIONSLOVLEX@103.510:AttrStrListDocPropInfoZaciatokKonania" pid="71" fmtid="{D5CDD505-2E9C-101B-9397-08002B2CF9AE}">
    <vt:lpwstr/>
  </property>
  <property name="FSC#SKEDITIONSLOVLEX@103.510:AttrStrListDocPropInfoUzPreberanePP" pid="72" fmtid="{D5CDD505-2E9C-101B-9397-08002B2CF9AE}">
    <vt:lpwstr/>
  </property>
  <property name="FSC#SKEDITIONSLOVLEX@103.510:AttrStrListDocPropStupenZlucitelnostiPP" pid="73" fmtid="{D5CDD505-2E9C-101B-9397-08002B2CF9AE}">
    <vt:lpwstr/>
  </property>
  <property name="FSC#SKEDITIONSLOVLEX@103.510:AttrStrListDocPropGestorSpolupRezorty" pid="74" fmtid="{D5CDD505-2E9C-101B-9397-08002B2CF9AE}">
    <vt:lpwstr/>
  </property>
  <property name="FSC#SKEDITIONSLOVLEX@103.510:AttrDateDocPropZaciatokPKK" pid="75" fmtid="{D5CDD505-2E9C-101B-9397-08002B2CF9AE}">
    <vt:lpwstr/>
  </property>
  <property name="FSC#SKEDITIONSLOVLEX@103.510:AttrDateDocPropUkonceniePKK" pid="76" fmtid="{D5CDD505-2E9C-101B-9397-08002B2CF9AE}">
    <vt:lpwstr/>
  </property>
  <property name="FSC#SKEDITIONSLOVLEX@103.510:AttrStrDocPropVplyvRozpocetVS" pid="77" fmtid="{D5CDD505-2E9C-101B-9397-08002B2CF9AE}">
    <vt:lpwstr/>
  </property>
  <property name="FSC#SKEDITIONSLOVLEX@103.510:AttrStrDocPropVplyvPodnikatelskeProstr" pid="78" fmtid="{D5CDD505-2E9C-101B-9397-08002B2CF9AE}">
    <vt:lpwstr/>
  </property>
  <property name="FSC#SKEDITIONSLOVLEX@103.510:AttrStrDocPropVplyvSocialny" pid="79" fmtid="{D5CDD505-2E9C-101B-9397-08002B2CF9AE}">
    <vt:lpwstr/>
  </property>
  <property name="FSC#SKEDITIONSLOVLEX@103.510:AttrStrDocPropVplyvNaZivotProstr" pid="80" fmtid="{D5CDD505-2E9C-101B-9397-08002B2CF9AE}">
    <vt:lpwstr/>
  </property>
  <property name="FSC#SKEDITIONSLOVLEX@103.510:AttrStrDocPropVplyvNaInformatizaciu" pid="81" fmtid="{D5CDD505-2E9C-101B-9397-08002B2CF9AE}">
    <vt:lpwstr/>
  </property>
  <property name="FSC#SKEDITIONSLOVLEX@103.510:AttrStrListDocPropPoznamkaVplyv" pid="82" fmtid="{D5CDD505-2E9C-101B-9397-08002B2CF9AE}">
    <vt:lpwstr/>
  </property>
  <property name="FSC#SKEDITIONSLOVLEX@103.510:AttrStrListDocPropAltRiesenia" pid="83" fmtid="{D5CDD505-2E9C-101B-9397-08002B2CF9AE}">
    <vt:lpwstr/>
  </property>
  <property name="FSC#SKEDITIONSLOVLEX@103.510:AttrStrListDocPropStanoviskoGest" pid="84" fmtid="{D5CDD505-2E9C-101B-9397-08002B2CF9AE}">
    <vt:lpwstr/>
  </property>
  <property name="FSC#SKEDITIONSLOVLEX@103.510:AttrStrListDocPropTextKomunike" pid="85" fmtid="{D5CDD505-2E9C-101B-9397-08002B2CF9AE}">
    <vt:lpwstr/>
  </property>
  <property name="FSC#SKEDITIONSLOVLEX@103.510:AttrStrListDocPropUznesenieCastA" pid="86" fmtid="{D5CDD505-2E9C-101B-9397-08002B2CF9AE}">
    <vt:lpwstr/>
  </property>
  <property name="FSC#SKEDITIONSLOVLEX@103.510:AttrStrListDocPropUznesenieZodpovednyA1" pid="87" fmtid="{D5CDD505-2E9C-101B-9397-08002B2CF9AE}">
    <vt:lpwstr/>
  </property>
  <property name="FSC#SKEDITIONSLOVLEX@103.510:AttrStrListDocPropUznesenieTextA1" pid="88" fmtid="{D5CDD505-2E9C-101B-9397-08002B2CF9AE}">
    <vt:lpwstr/>
  </property>
  <property name="FSC#SKEDITIONSLOVLEX@103.510:AttrStrListDocPropUznesenieTerminA1" pid="89" fmtid="{D5CDD505-2E9C-101B-9397-08002B2CF9AE}">
    <vt:lpwstr/>
  </property>
  <property name="FSC#SKEDITIONSLOVLEX@103.510:AttrStrListDocPropUznesenieBODA1" pid="90" fmtid="{D5CDD505-2E9C-101B-9397-08002B2CF9AE}">
    <vt:lpwstr/>
  </property>
  <property name="FSC#SKEDITIONSLOVLEX@103.510:AttrStrListDocPropUznesenieZodpovednyA2" pid="91" fmtid="{D5CDD505-2E9C-101B-9397-08002B2CF9AE}">
    <vt:lpwstr/>
  </property>
  <property name="FSC#SKEDITIONSLOVLEX@103.510:AttrStrListDocPropUznesenieTextA2" pid="92" fmtid="{D5CDD505-2E9C-101B-9397-08002B2CF9AE}">
    <vt:lpwstr/>
  </property>
  <property name="FSC#SKEDITIONSLOVLEX@103.510:AttrStrListDocPropUznesenieTerminA2" pid="93" fmtid="{D5CDD505-2E9C-101B-9397-08002B2CF9AE}">
    <vt:lpwstr/>
  </property>
  <property name="FSC#SKEDITIONSLOVLEX@103.510:AttrStrListDocPropUznesenieBODA3" pid="94" fmtid="{D5CDD505-2E9C-101B-9397-08002B2CF9AE}">
    <vt:lpwstr/>
  </property>
  <property name="FSC#SKEDITIONSLOVLEX@103.510:AttrStrListDocPropUznesenieZodpovednyA3" pid="95" fmtid="{D5CDD505-2E9C-101B-9397-08002B2CF9AE}">
    <vt:lpwstr/>
  </property>
  <property name="FSC#SKEDITIONSLOVLEX@103.510:AttrStrListDocPropUznesenieTextA3" pid="96" fmtid="{D5CDD505-2E9C-101B-9397-08002B2CF9AE}">
    <vt:lpwstr/>
  </property>
  <property name="FSC#SKEDITIONSLOVLEX@103.510:AttrStrListDocPropUznesenieTerminA3" pid="97" fmtid="{D5CDD505-2E9C-101B-9397-08002B2CF9AE}">
    <vt:lpwstr/>
  </property>
  <property name="FSC#SKEDITIONSLOVLEX@103.510:AttrStrListDocPropUznesenieBODA4" pid="98" fmtid="{D5CDD505-2E9C-101B-9397-08002B2CF9AE}">
    <vt:lpwstr/>
  </property>
  <property name="FSC#SKEDITIONSLOVLEX@103.510:AttrStrListDocPropUznesenieZodpovednyA4" pid="99" fmtid="{D5CDD505-2E9C-101B-9397-08002B2CF9AE}">
    <vt:lpwstr/>
  </property>
  <property name="FSC#SKEDITIONSLOVLEX@103.510:AttrStrListDocPropUznesenieTextA4" pid="100" fmtid="{D5CDD505-2E9C-101B-9397-08002B2CF9AE}">
    <vt:lpwstr/>
  </property>
  <property name="FSC#SKEDITIONSLOVLEX@103.510:AttrStrListDocPropUznesenieTerminA4" pid="101" fmtid="{D5CDD505-2E9C-101B-9397-08002B2CF9AE}">
    <vt:lpwstr/>
  </property>
  <property name="FSC#SKEDITIONSLOVLEX@103.510:AttrStrListDocPropUznesenieCastB" pid="102" fmtid="{D5CDD505-2E9C-101B-9397-08002B2CF9AE}">
    <vt:lpwstr/>
  </property>
  <property name="FSC#SKEDITIONSLOVLEX@103.510:AttrStrListDocPropUznesenieBODB1" pid="103" fmtid="{D5CDD505-2E9C-101B-9397-08002B2CF9AE}">
    <vt:lpwstr/>
  </property>
  <property name="FSC#SKEDITIONSLOVLEX@103.510:AttrStrListDocPropUznesenieZodpovednyB1" pid="104" fmtid="{D5CDD505-2E9C-101B-9397-08002B2CF9AE}">
    <vt:lpwstr/>
  </property>
  <property name="FSC#SKEDITIONSLOVLEX@103.510:AttrStrListDocPropUznesenieTextB1" pid="105" fmtid="{D5CDD505-2E9C-101B-9397-08002B2CF9AE}">
    <vt:lpwstr/>
  </property>
  <property name="FSC#SKEDITIONSLOVLEX@103.510:AttrStrListDocPropUznesenieTerminB1" pid="106" fmtid="{D5CDD505-2E9C-101B-9397-08002B2CF9AE}">
    <vt:lpwstr/>
  </property>
  <property name="FSC#SKEDITIONSLOVLEX@103.510:AttrStrListDocPropUznesenieBODB2" pid="107" fmtid="{D5CDD505-2E9C-101B-9397-08002B2CF9AE}">
    <vt:lpwstr/>
  </property>
  <property name="FSC#SKEDITIONSLOVLEX@103.510:AttrStrListDocPropUznesenieZodpovednyB2" pid="108" fmtid="{D5CDD505-2E9C-101B-9397-08002B2CF9AE}">
    <vt:lpwstr/>
  </property>
  <property name="FSC#SKEDITIONSLOVLEX@103.510:AttrStrListDocPropUznesenieTextB2" pid="109" fmtid="{D5CDD505-2E9C-101B-9397-08002B2CF9AE}">
    <vt:lpwstr/>
  </property>
  <property name="FSC#SKEDITIONSLOVLEX@103.510:AttrStrListDocPropUznesenieTerminB2" pid="110" fmtid="{D5CDD505-2E9C-101B-9397-08002B2CF9AE}">
    <vt:lpwstr/>
  </property>
  <property name="FSC#SKEDITIONSLOVLEX@103.510:AttrStrListDocPropUznesenieBODB3" pid="111" fmtid="{D5CDD505-2E9C-101B-9397-08002B2CF9AE}">
    <vt:lpwstr/>
  </property>
  <property name="FSC#SKEDITIONSLOVLEX@103.510:AttrStrListDocPropUznesenieZodpovednyB3" pid="112" fmtid="{D5CDD505-2E9C-101B-9397-08002B2CF9AE}">
    <vt:lpwstr/>
  </property>
  <property name="FSC#SKEDITIONSLOVLEX@103.510:AttrStrListDocPropUznesenieTextB3" pid="113" fmtid="{D5CDD505-2E9C-101B-9397-08002B2CF9AE}">
    <vt:lpwstr/>
  </property>
  <property name="FSC#SKEDITIONSLOVLEX@103.510:AttrStrListDocPropUznesenieTerminB3" pid="114" fmtid="{D5CDD505-2E9C-101B-9397-08002B2CF9AE}">
    <vt:lpwstr/>
  </property>
  <property name="FSC#SKEDITIONSLOVLEX@103.510:AttrStrListDocPropUznesenieBODB4" pid="115" fmtid="{D5CDD505-2E9C-101B-9397-08002B2CF9AE}">
    <vt:lpwstr/>
  </property>
  <property name="FSC#SKEDITIONSLOVLEX@103.510:AttrStrListDocPropUznesenieZodpovednyB4" pid="116" fmtid="{D5CDD505-2E9C-101B-9397-08002B2CF9AE}">
    <vt:lpwstr/>
  </property>
  <property name="FSC#SKEDITIONSLOVLEX@103.510:AttrStrListDocPropUznesenieTextB4" pid="117" fmtid="{D5CDD505-2E9C-101B-9397-08002B2CF9AE}">
    <vt:lpwstr/>
  </property>
  <property name="FSC#SKEDITIONSLOVLEX@103.510:AttrStrListDocPropUznesenieTerminB4" pid="118" fmtid="{D5CDD505-2E9C-101B-9397-08002B2CF9AE}">
    <vt:lpwstr/>
  </property>
  <property name="FSC#SKEDITIONSLOVLEX@103.510:AttrStrListDocPropUznesenieCastC" pid="119" fmtid="{D5CDD505-2E9C-101B-9397-08002B2CF9AE}">
    <vt:lpwstr/>
  </property>
  <property name="FSC#SKEDITIONSLOVLEX@103.510:AttrStrListDocPropUznesenieBODC1" pid="120" fmtid="{D5CDD505-2E9C-101B-9397-08002B2CF9AE}">
    <vt:lpwstr/>
  </property>
  <property name="FSC#SKEDITIONSLOVLEX@103.510:AttrStrListDocPropUznesenieZodpovednyC1" pid="121" fmtid="{D5CDD505-2E9C-101B-9397-08002B2CF9AE}">
    <vt:lpwstr/>
  </property>
  <property name="FSC#SKEDITIONSLOVLEX@103.510:AttrStrListDocPropUznesenieTextC1" pid="122" fmtid="{D5CDD505-2E9C-101B-9397-08002B2CF9AE}">
    <vt:lpwstr/>
  </property>
  <property name="FSC#SKEDITIONSLOVLEX@103.510:AttrStrListDocPropUznesenieTerminC1" pid="123" fmtid="{D5CDD505-2E9C-101B-9397-08002B2CF9AE}">
    <vt:lpwstr/>
  </property>
  <property name="FSC#SKEDITIONSLOVLEX@103.510:AttrStrListDocPropUznesenieBODC2" pid="124" fmtid="{D5CDD505-2E9C-101B-9397-08002B2CF9AE}">
    <vt:lpwstr/>
  </property>
  <property name="FSC#SKEDITIONSLOVLEX@103.510:AttrStrListDocPropUznesenieZodpovednyC2" pid="125" fmtid="{D5CDD505-2E9C-101B-9397-08002B2CF9AE}">
    <vt:lpwstr/>
  </property>
  <property name="FSC#SKEDITIONSLOVLEX@103.510:AttrStrListDocPropUznesenieTextC2" pid="126" fmtid="{D5CDD505-2E9C-101B-9397-08002B2CF9AE}">
    <vt:lpwstr/>
  </property>
  <property name="FSC#SKEDITIONSLOVLEX@103.510:AttrStrListDocPropUznesenieTerminC2" pid="127" fmtid="{D5CDD505-2E9C-101B-9397-08002B2CF9AE}">
    <vt:lpwstr/>
  </property>
  <property name="FSC#SKEDITIONSLOVLEX@103.510:AttrStrListDocPropUznesenieBODC3" pid="128" fmtid="{D5CDD505-2E9C-101B-9397-08002B2CF9AE}">
    <vt:lpwstr/>
  </property>
  <property name="FSC#SKEDITIONSLOVLEX@103.510:AttrStrListDocPropUznesenieZodpovednyC3" pid="129" fmtid="{D5CDD505-2E9C-101B-9397-08002B2CF9AE}">
    <vt:lpwstr/>
  </property>
  <property name="FSC#SKEDITIONSLOVLEX@103.510:AttrStrListDocPropUznesenieTextC3" pid="130" fmtid="{D5CDD505-2E9C-101B-9397-08002B2CF9AE}">
    <vt:lpwstr/>
  </property>
  <property name="FSC#SKEDITIONSLOVLEX@103.510:AttrStrListDocPropUznesenieTerminC3" pid="131" fmtid="{D5CDD505-2E9C-101B-9397-08002B2CF9AE}">
    <vt:lpwstr/>
  </property>
  <property name="FSC#SKEDITIONSLOVLEX@103.510:AttrStrListDocPropUznesenieBODC4" pid="132" fmtid="{D5CDD505-2E9C-101B-9397-08002B2CF9AE}">
    <vt:lpwstr/>
  </property>
  <property name="FSC#SKEDITIONSLOVLEX@103.510:AttrStrListDocPropUznesenieZodpovednyC4" pid="133" fmtid="{D5CDD505-2E9C-101B-9397-08002B2CF9AE}">
    <vt:lpwstr/>
  </property>
  <property name="FSC#SKEDITIONSLOVLEX@103.510:AttrStrListDocPropUznesenieTextC4" pid="134" fmtid="{D5CDD505-2E9C-101B-9397-08002B2CF9AE}">
    <vt:lpwstr/>
  </property>
  <property name="FSC#SKEDITIONSLOVLEX@103.510:AttrStrListDocPropUznesenieTerminC4" pid="135" fmtid="{D5CDD505-2E9C-101B-9397-08002B2CF9AE}">
    <vt:lpwstr/>
  </property>
  <property name="FSC#SKEDITIONSLOVLEX@103.510:AttrStrListDocPropUznesenieCastD" pid="136" fmtid="{D5CDD505-2E9C-101B-9397-08002B2CF9AE}">
    <vt:lpwstr/>
  </property>
  <property name="FSC#SKEDITIONSLOVLEX@103.510:AttrStrListDocPropUznesenieBODD1" pid="137" fmtid="{D5CDD505-2E9C-101B-9397-08002B2CF9AE}">
    <vt:lpwstr/>
  </property>
  <property name="FSC#SKEDITIONSLOVLEX@103.510:AttrStrListDocPropUznesenieZodpovednyD1" pid="138" fmtid="{D5CDD505-2E9C-101B-9397-08002B2CF9AE}">
    <vt:lpwstr/>
  </property>
  <property name="FSC#SKEDITIONSLOVLEX@103.510:AttrStrListDocPropUznesenieTextD1" pid="139" fmtid="{D5CDD505-2E9C-101B-9397-08002B2CF9AE}">
    <vt:lpwstr/>
  </property>
  <property name="FSC#SKEDITIONSLOVLEX@103.510:AttrStrListDocPropUznesenieTerminD1" pid="140" fmtid="{D5CDD505-2E9C-101B-9397-08002B2CF9AE}">
    <vt:lpwstr/>
  </property>
  <property name="FSC#SKEDITIONSLOVLEX@103.510:AttrStrListDocPropUznesenieBODD2" pid="141" fmtid="{D5CDD505-2E9C-101B-9397-08002B2CF9AE}">
    <vt:lpwstr/>
  </property>
  <property name="FSC#SKEDITIONSLOVLEX@103.510:AttrStrListDocPropUznesenieZodpovednyD2" pid="142" fmtid="{D5CDD505-2E9C-101B-9397-08002B2CF9AE}">
    <vt:lpwstr/>
  </property>
  <property name="FSC#SKEDITIONSLOVLEX@103.510:AttrStrListDocPropUznesenieTextD2" pid="143" fmtid="{D5CDD505-2E9C-101B-9397-08002B2CF9AE}">
    <vt:lpwstr/>
  </property>
  <property name="FSC#SKEDITIONSLOVLEX@103.510:AttrStrListDocPropUznesenieTerminD2" pid="144" fmtid="{D5CDD505-2E9C-101B-9397-08002B2CF9AE}">
    <vt:lpwstr/>
  </property>
  <property name="FSC#SKEDITIONSLOVLEX@103.510:AttrStrListDocPropUznesenieBODD3" pid="145" fmtid="{D5CDD505-2E9C-101B-9397-08002B2CF9AE}">
    <vt:lpwstr/>
  </property>
  <property name="FSC#SKEDITIONSLOVLEX@103.510:AttrStrListDocPropUznesenieZodpovednyD3" pid="146" fmtid="{D5CDD505-2E9C-101B-9397-08002B2CF9AE}">
    <vt:lpwstr/>
  </property>
  <property name="FSC#SKEDITIONSLOVLEX@103.510:AttrStrListDocPropUznesenieTextD3" pid="147" fmtid="{D5CDD505-2E9C-101B-9397-08002B2CF9AE}">
    <vt:lpwstr/>
  </property>
  <property name="FSC#SKEDITIONSLOVLEX@103.510:AttrStrListDocPropUznesenieTerminD3" pid="148" fmtid="{D5CDD505-2E9C-101B-9397-08002B2CF9AE}">
    <vt:lpwstr/>
  </property>
  <property name="FSC#SKEDITIONSLOVLEX@103.510:AttrStrListDocPropUznesenieBODD4" pid="149" fmtid="{D5CDD505-2E9C-101B-9397-08002B2CF9AE}">
    <vt:lpwstr/>
  </property>
  <property name="FSC#SKEDITIONSLOVLEX@103.510:AttrStrListDocPropUznesenieZodpovednyD4" pid="150" fmtid="{D5CDD505-2E9C-101B-9397-08002B2CF9AE}">
    <vt:lpwstr/>
  </property>
  <property name="FSC#SKEDITIONSLOVLEX@103.510:AttrStrListDocPropUznesenieTextD4" pid="151" fmtid="{D5CDD505-2E9C-101B-9397-08002B2CF9AE}">
    <vt:lpwstr/>
  </property>
  <property name="FSC#SKEDITIONSLOVLEX@103.510:AttrStrListDocPropUznesenieTerminD4" pid="152" fmtid="{D5CDD505-2E9C-101B-9397-08002B2CF9AE}">
    <vt:lpwstr/>
  </property>
  <property name="FSC#SKEDITIONSLOVLEX@103.510:AttrStrListDocPropUznesenieVykonaju" pid="153" fmtid="{D5CDD505-2E9C-101B-9397-08002B2CF9AE}">
    <vt:lpwstr/>
  </property>
  <property name="FSC#SKEDITIONSLOVLEX@103.510:AttrStrListDocPropUznesenieNaVedomie" pid="154" fmtid="{D5CDD505-2E9C-101B-9397-08002B2CF9AE}">
    <vt:lpwstr/>
  </property>
  <property name="FSC#SKEDITIONSLOVLEX@103.510:funkciaPred" pid="155" fmtid="{D5CDD505-2E9C-101B-9397-08002B2CF9AE}">
    <vt:lpwstr/>
  </property>
  <property name="FSC#SKEDITIONSLOVLEX@103.510:funkciaPredAkuzativ" pid="156" fmtid="{D5CDD505-2E9C-101B-9397-08002B2CF9AE}">
    <vt:lpwstr/>
  </property>
  <property name="FSC#SKEDITIONSLOVLEX@103.510:funkciaPredDativ" pid="157" fmtid="{D5CDD505-2E9C-101B-9397-08002B2CF9AE}">
    <vt:lpwstr/>
  </property>
  <property name="FSC#SKEDITIONSLOVLEX@103.510:funkciaZodpPred" pid="158" fmtid="{D5CDD505-2E9C-101B-9397-08002B2CF9AE}">
    <vt:lpwstr/>
  </property>
  <property name="FSC#SKEDITIONSLOVLEX@103.510:funkciaZodpPredAkuzativ" pid="159" fmtid="{D5CDD505-2E9C-101B-9397-08002B2CF9AE}">
    <vt:lpwstr/>
  </property>
  <property name="FSC#SKEDITIONSLOVLEX@103.510:funkciaZodpPredDativ" pid="160" fmtid="{D5CDD505-2E9C-101B-9397-08002B2CF9AE}">
    <vt:lpwstr/>
  </property>
  <property name="FSC#SKEDITIONSLOVLEX@103.510:funkciaDalsiPred" pid="161" fmtid="{D5CDD505-2E9C-101B-9397-08002B2CF9AE}">
    <vt:lpwstr/>
  </property>
  <property name="FSC#SKEDITIONSLOVLEX@103.510:funkciaDalsiPredAkuzativ" pid="162" fmtid="{D5CDD505-2E9C-101B-9397-08002B2CF9AE}">
    <vt:lpwstr/>
  </property>
  <property name="FSC#SKEDITIONSLOVLEX@103.510:funkciaDalsiPredDativ" pid="163" fmtid="{D5CDD505-2E9C-101B-9397-08002B2CF9AE}">
    <vt:lpwstr/>
  </property>
  <property name="FSC#SKEDITIONSLOVLEX@103.510:predkladateliaObalSD" pid="164" fmtid="{D5CDD505-2E9C-101B-9397-08002B2CF9AE}">
    <vt:lpwstr/>
  </property>
  <property name="FSC#SKEDITIONSLOVLEX@103.510:AttrStrListDocPropTextVseobPrilohy" pid="165" fmtid="{D5CDD505-2E9C-101B-9397-08002B2CF9AE}">
    <vt:lpwstr/>
  </property>
  <property name="FSC#SKEDITIONSLOVLEX@103.510:AttrStrListDocPropTextPredklSpravy" pid="166" fmtid="{D5CDD505-2E9C-101B-9397-08002B2CF9AE}">
    <vt:lpwstr/>
  </property>
  <property name="FSC#SKEDITIONSLOVLEX@103.510:vytvorenedna" pid="167" fmtid="{D5CDD505-2E9C-101B-9397-08002B2CF9AE}">
    <vt:lpwstr>8. 9. 2022</vt:lpwstr>
  </property>
  <property name="FSC#COOSYSTEM@1.1:Container" pid="168" fmtid="{D5CDD505-2E9C-101B-9397-08002B2CF9AE}">
    <vt:lpwstr>COO.2145.1000.3.5174965</vt:lpwstr>
  </property>
  <property name="FSC#FSCFOLIO@1.1001:docpropproject" pid="169" fmtid="{D5CDD505-2E9C-101B-9397-08002B2CF9AE}">
    <vt:lpwstr/>
  </property>
</Properties>
</file>