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A918BC" w:rsidRDefault="00927118" w:rsidP="00927118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18BC">
        <w:rPr>
          <w:rFonts w:ascii="Times New Roman" w:hAnsi="Times New Roman"/>
          <w:b/>
          <w:caps/>
          <w:sz w:val="28"/>
          <w:szCs w:val="28"/>
        </w:rPr>
        <w:t>Vyhodnotenie medzirezortného pripomienkového konania</w:t>
      </w:r>
    </w:p>
    <w:p w:rsidR="00927118" w:rsidRPr="00A918BC" w:rsidRDefault="00927118" w:rsidP="00927118">
      <w:pPr>
        <w:jc w:val="center"/>
        <w:rPr>
          <w:rFonts w:ascii="Times New Roman" w:hAnsi="Times New Roman"/>
        </w:rPr>
      </w:pPr>
    </w:p>
    <w:p w:rsidR="00CE7A7E" w:rsidRPr="00D23F95" w:rsidRDefault="00A8215B">
      <w:pPr>
        <w:jc w:val="center"/>
        <w:divId w:val="471094732"/>
        <w:rPr>
          <w:rFonts w:ascii="Times New Roman" w:hAnsi="Times New Roman"/>
          <w:sz w:val="24"/>
          <w:szCs w:val="24"/>
        </w:rPr>
      </w:pPr>
      <w:r w:rsidRPr="00D23F95">
        <w:rPr>
          <w:rFonts w:ascii="Times New Roman" w:hAnsi="Times New Roman"/>
          <w:sz w:val="24"/>
          <w:szCs w:val="24"/>
        </w:rPr>
        <w:t xml:space="preserve">Návrh </w:t>
      </w:r>
      <w:r w:rsidR="00D23F95" w:rsidRPr="00D23F95">
        <w:rPr>
          <w:rFonts w:ascii="Times New Roman" w:hAnsi="Times New Roman"/>
          <w:sz w:val="24"/>
          <w:szCs w:val="24"/>
        </w:rPr>
        <w:t>Zmluvy medzi Slovenskou republikou a Kirgizskou republikou o zamedzení dvojitého zdanenia v oblasti daní z príjmov a zabránení daňovému úniku a vyhýbaniu sa daňovým povinnostiam</w:t>
      </w:r>
    </w:p>
    <w:p w:rsidR="00927118" w:rsidRPr="00A918BC" w:rsidRDefault="00927118" w:rsidP="00CE47A6">
      <w:pPr>
        <w:rPr>
          <w:rFonts w:ascii="Times New Roman" w:hAnsi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AA14E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EA0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F3EA0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EA0">
              <w:rPr>
                <w:rFonts w:ascii="Times New Roman" w:hAnsi="Times New Roman"/>
                <w:sz w:val="24"/>
                <w:szCs w:val="24"/>
              </w:rPr>
              <w:t>bežné</w:t>
            </w:r>
            <w:r w:rsidR="00927118" w:rsidRPr="00AF3E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1BF" w:rsidRPr="00A8215B" w:rsidTr="00195BF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1BF" w:rsidRPr="00195BF3" w:rsidRDefault="00A251BF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1BF" w:rsidRPr="00195BF3" w:rsidRDefault="003E0D24" w:rsidP="0019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="00195BF3"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3E0D24" w:rsidP="00CE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7974D8" w:rsidP="0019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="00195BF3"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7974D8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="00AF3EA0"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7974D8" w:rsidP="00AF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7A7E" w:rsidRPr="00195BF3">
              <w:rPr>
                <w:rFonts w:ascii="Times New Roman" w:hAnsi="Times New Roman"/>
                <w:sz w:val="24"/>
                <w:szCs w:val="24"/>
              </w:rPr>
              <w:t>/</w:t>
            </w:r>
            <w:r w:rsidR="00AF3EA0" w:rsidRPr="00195B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8215B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BF3">
              <w:rPr>
                <w:rFonts w:ascii="Times New Roman" w:hAnsi="Times New Roman"/>
                <w:bCs/>
                <w:sz w:val="24"/>
                <w:szCs w:val="24"/>
              </w:rPr>
              <w:t>Rozporové</w:t>
            </w:r>
            <w:proofErr w:type="spellEnd"/>
            <w:r w:rsidRPr="00195BF3">
              <w:rPr>
                <w:rFonts w:ascii="Times New Roman" w:hAnsi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BF3">
              <w:rPr>
                <w:rFonts w:ascii="Times New Roman" w:hAnsi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118" w:rsidRPr="00A821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927118" w:rsidP="00E16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BF3">
              <w:rPr>
                <w:rFonts w:ascii="Times New Roman" w:hAnsi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95BF3" w:rsidRDefault="00AF3EA0" w:rsidP="00E1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7118" w:rsidRPr="00A8215B" w:rsidRDefault="00927118" w:rsidP="0092711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27118" w:rsidRPr="00A918BC" w:rsidRDefault="00927118" w:rsidP="00927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EA0">
        <w:rPr>
          <w:rFonts w:ascii="Times New Roman" w:hAnsi="Times New Roman"/>
          <w:sz w:val="24"/>
          <w:szCs w:val="24"/>
        </w:rPr>
        <w:t>Sumarizácia vznesených pripomienok podľa subjektov</w:t>
      </w:r>
    </w:p>
    <w:p w:rsidR="00CE7A7E" w:rsidRPr="00A918BC" w:rsidRDefault="00CE7A7E" w:rsidP="00841FA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8593"/>
        <w:gridCol w:w="1479"/>
        <w:gridCol w:w="1479"/>
        <w:gridCol w:w="1464"/>
        <w:gridCol w:w="1194"/>
      </w:tblGrid>
      <w:tr w:rsidR="00CE7A7E" w:rsidRPr="00A80FFC" w:rsidTr="00AA14E6">
        <w:trPr>
          <w:divId w:val="471094731"/>
          <w:jc w:val="center"/>
        </w:trPr>
        <w:tc>
          <w:tcPr>
            <w:tcW w:w="1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FC">
              <w:rPr>
                <w:rFonts w:ascii="Times New Roman" w:hAnsi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2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FC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FC">
              <w:rPr>
                <w:rFonts w:ascii="Times New Roman" w:hAnsi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FC">
              <w:rPr>
                <w:rFonts w:ascii="Times New Roman" w:hAnsi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FC">
              <w:rPr>
                <w:rFonts w:ascii="Times New Roman" w:hAnsi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FC">
              <w:rPr>
                <w:rFonts w:ascii="Times New Roman" w:hAnsi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CE7A7E" w:rsidRPr="00A80FFC" w:rsidTr="00AA14E6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872AE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Asociácia zamestnávateľ</w:t>
            </w:r>
            <w:r w:rsidR="00CE7A7E" w:rsidRPr="00A80FFC">
              <w:rPr>
                <w:rFonts w:ascii="Times New Roman" w:hAnsi="Times New Roman"/>
                <w:sz w:val="24"/>
                <w:szCs w:val="24"/>
              </w:rPr>
              <w:t>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 w:rsidP="00B3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 w:rsidP="00B32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 w:rsidP="0087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491AF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7B5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 (1o,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872AEE" w:rsidP="0087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6</w:t>
            </w:r>
            <w:r w:rsidR="00AA14E6" w:rsidRPr="00A80F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0FFC">
              <w:rPr>
                <w:rFonts w:ascii="Times New Roman" w:hAnsi="Times New Roman"/>
                <w:sz w:val="24"/>
                <w:szCs w:val="24"/>
              </w:rPr>
              <w:t>6</w:t>
            </w:r>
            <w:r w:rsidR="00AA14E6" w:rsidRPr="00A80FFC">
              <w:rPr>
                <w:rFonts w:ascii="Times New Roman" w:hAnsi="Times New Roman"/>
                <w:sz w:val="24"/>
                <w:szCs w:val="24"/>
              </w:rPr>
              <w:t>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80FFC" w:rsidTr="00AA14E6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80FFC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872AEE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E7A7E" w:rsidRPr="00A80FFC" w:rsidTr="00872AEE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A80FFC" w:rsidRDefault="0087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7E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80FFC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01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24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7 (7o,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BF7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EE2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7A7E" w:rsidRPr="00A80FF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EF79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F1902" w:rsidRPr="00A80FF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Slovenská obchodná a priemyselná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1902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F1902" w:rsidRPr="00A80FF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Slovenská banková asociácia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1902" w:rsidRPr="00A80FFC" w:rsidRDefault="008F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1902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4EB2" w:rsidRPr="00A80FF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4EB2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4EB2" w:rsidRPr="00A80FFC" w:rsidRDefault="00CD4EB2" w:rsidP="00CD4EB2">
            <w:pPr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Slovenská asociácia poisťovní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4EB2" w:rsidRPr="00A80FFC" w:rsidRDefault="00CD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4EB2" w:rsidRPr="00A80FFC" w:rsidRDefault="00CD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4EB2" w:rsidRPr="00A80FFC" w:rsidRDefault="00CD4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4EB2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12C24" w:rsidRPr="00A80FF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12C24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12C24" w:rsidRPr="00A80FFC" w:rsidRDefault="00B12C24" w:rsidP="00CD4EB2">
            <w:pPr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Asociácia obchodníkov s cennými papiermi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12C24" w:rsidRPr="00A80FFC" w:rsidRDefault="00B1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12C24" w:rsidRPr="00A80FFC" w:rsidRDefault="00B1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12C24" w:rsidRPr="00A80FFC" w:rsidRDefault="00B12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12C24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844F6" w:rsidRPr="00A80FF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 w:rsidP="00CD4EB2">
            <w:pPr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Slovenská asociácia podnikových finančníkov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844F6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844F6" w:rsidRPr="00A80FFC" w:rsidTr="00EF7975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 w:rsidP="00CD4EB2">
            <w:pPr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Asociácia leasingových spoločností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844F6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Slovenská komora daňových poradcov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844F6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4F6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4F6" w:rsidRPr="00A80FFC" w:rsidRDefault="008844F6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Slovenská komora audítorov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4F6" w:rsidRPr="00A80FFC" w:rsidRDefault="00884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844F6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E6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80FFC" w:rsidRDefault="007D0C2A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4E6" w:rsidRPr="00A80FFC" w:rsidRDefault="00AA14E6" w:rsidP="00AA1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4E6" w:rsidRPr="00A80FFC" w:rsidRDefault="00AA14E6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14E6" w:rsidRPr="00A80FFC" w:rsidRDefault="007E1181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E7A7E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7D0C2A" w:rsidP="00AA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7A7E" w:rsidRPr="00A80FFC" w:rsidRDefault="00CE7A7E" w:rsidP="00A91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A7E" w:rsidRPr="00A80FFC" w:rsidRDefault="00CE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E7A7E" w:rsidRPr="00A80FFC" w:rsidRDefault="006C63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7D0C2A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7D0C2A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7D0C2A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7D0C2A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7D0C2A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7D0C2A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BA1E38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0C2A" w:rsidRPr="00A80F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4</w:t>
            </w:r>
            <w:r w:rsidR="00100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4</w:t>
            </w:r>
            <w:r w:rsidR="00100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BA1E38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322B7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100D5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Spoločné odbory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0C2A" w:rsidRPr="00A80FFC" w:rsidTr="00B1284B">
        <w:trPr>
          <w:divId w:val="471094731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C2A" w:rsidRPr="00A80FFC" w:rsidRDefault="007D0C2A" w:rsidP="007D0C2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EC5B4F" w:rsidP="00EC5B4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0C2A" w:rsidRPr="00A80F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55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0C2A" w:rsidRPr="00A80FFC">
              <w:rPr>
                <w:rFonts w:ascii="Times New Roman" w:hAnsi="Times New Roman"/>
                <w:sz w:val="24"/>
                <w:szCs w:val="24"/>
              </w:rPr>
              <w:t>o, 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D0C2A" w:rsidP="007D0C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0F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0C2A" w:rsidRPr="00A80FFC" w:rsidRDefault="007E1181" w:rsidP="007D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D0C2A" w:rsidRPr="00A80FFC" w:rsidRDefault="00161530" w:rsidP="007E1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11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F7CE0" w:rsidRPr="00A918BC" w:rsidRDefault="00BF7CE0" w:rsidP="00841FA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18BC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A918BC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A918B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A918B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918B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918BC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41"/>
        <w:gridCol w:w="7263"/>
        <w:gridCol w:w="716"/>
        <w:gridCol w:w="783"/>
        <w:gridCol w:w="4352"/>
      </w:tblGrid>
      <w:tr w:rsidR="00CE7A7E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330A72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330A72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330A72" w:rsidRDefault="00CE7A7E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7A7E" w:rsidRPr="00330A72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E7A7E" w:rsidRPr="00330A72" w:rsidRDefault="00CE7A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A8215B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330A72" w:rsidRDefault="00BA4534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534" w:rsidRPr="00330A72" w:rsidRDefault="00BA4534" w:rsidP="00D068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K predkladacej správe</w:t>
            </w:r>
          </w:p>
          <w:p w:rsidR="00A8215B" w:rsidRPr="00330A72" w:rsidRDefault="00BA4534" w:rsidP="00D068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Zhrnutie vybraných vplyvov neodporúčame predkladateľovi uvádzať v predkladacej správe, ale vo všeobecnej časti dôvodovej správy. </w:t>
            </w:r>
            <w:r w:rsidRPr="00E66961">
              <w:rPr>
                <w:rFonts w:ascii="Times New Roman" w:hAnsi="Times New Roman"/>
                <w:sz w:val="24"/>
                <w:szCs w:val="24"/>
              </w:rPr>
              <w:t>Taktiež odporúčame uviesť aj vplyvy na služby verejnej správy pre občana v súlade s deviatym bodom doložky vybraných vplyvov. Odôvodnenie</w:t>
            </w:r>
            <w:r w:rsidRPr="00330A72">
              <w:rPr>
                <w:rFonts w:ascii="Times New Roman" w:hAnsi="Times New Roman"/>
                <w:sz w:val="24"/>
                <w:szCs w:val="24"/>
              </w:rPr>
              <w:t>: zosúladenie s čl. 19 ods. 2 Legislatívnych pravidiel vlády Slovenskej republiky.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330A72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330A72" w:rsidRDefault="00110E7B" w:rsidP="00FC08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15B" w:rsidRPr="00330A72" w:rsidRDefault="00110E7B" w:rsidP="00E66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Zhrnutie vybraných vplyvov bolo doplnené do všeobecnej časti dôvodovej správy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 súlade s </w:t>
            </w:r>
            <w:r w:rsidRPr="00330A72">
              <w:rPr>
                <w:rFonts w:ascii="Times New Roman" w:hAnsi="Times New Roman"/>
                <w:sz w:val="24"/>
                <w:szCs w:val="24"/>
              </w:rPr>
              <w:t xml:space="preserve">čl. 19 ods. 2 Legislatívnych </w:t>
            </w:r>
            <w:r w:rsidRPr="00E66961">
              <w:rPr>
                <w:rFonts w:ascii="Times New Roman" w:hAnsi="Times New Roman"/>
                <w:sz w:val="24"/>
                <w:szCs w:val="24"/>
              </w:rPr>
              <w:t>pravidiel vlády Slovenskej republiky.</w:t>
            </w:r>
            <w:r w:rsidR="00774BA1" w:rsidRPr="00E66961">
              <w:rPr>
                <w:rFonts w:ascii="Times New Roman" w:hAnsi="Times New Roman"/>
                <w:sz w:val="24"/>
                <w:szCs w:val="24"/>
              </w:rPr>
              <w:t xml:space="preserve"> Zmluva </w:t>
            </w:r>
            <w:r w:rsidR="00E66961" w:rsidRPr="00E66961">
              <w:rPr>
                <w:rFonts w:ascii="Times New Roman" w:hAnsi="Times New Roman"/>
                <w:sz w:val="24"/>
                <w:szCs w:val="24"/>
              </w:rPr>
              <w:t>nepredpokladá potenciálny</w:t>
            </w:r>
            <w:r w:rsidR="00774BA1" w:rsidRPr="00E66961">
              <w:rPr>
                <w:rFonts w:ascii="Times New Roman" w:hAnsi="Times New Roman"/>
                <w:sz w:val="24"/>
                <w:szCs w:val="24"/>
              </w:rPr>
              <w:t xml:space="preserve"> dopad na služby verejnej správy pre občana.</w:t>
            </w:r>
          </w:p>
        </w:tc>
      </w:tr>
      <w:tr w:rsidR="008F5B18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B18" w:rsidRPr="00330A72" w:rsidRDefault="008F5B18" w:rsidP="008F5B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D06890" w:rsidP="008F5B18">
            <w:pPr>
              <w:rPr>
                <w:rFonts w:ascii="Times New Roman" w:hAnsi="Times New Roman"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</w:t>
            </w:r>
            <w:r w:rsidR="008F5B18"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doložke prednosti</w:t>
            </w:r>
            <w:r w:rsidR="008F5B18" w:rsidRPr="00330A72">
              <w:rPr>
                <w:rFonts w:ascii="Times New Roman" w:hAnsi="Times New Roman"/>
                <w:sz w:val="24"/>
                <w:szCs w:val="24"/>
              </w:rPr>
              <w:br/>
              <w:t>Navrhujeme upraviť bod 6 a nahradiť prvú vetu novou vetou v nasledovnom znení: „Z hľadiska obsahu je táto zmluva tzv. prezidentskou medzinárodnou zmluvou, ktorá priamo zakladá práva alebo povinnosti fyzických osôb alebo právnických osôb v zmysle článku 7 odsek 4 Ústavy Slovenskej republiky a ktorá má zároveň podľa článku 7 odsek 5 Ústavy Slovenskej republiky prednosť pred zákonmi.“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5B18" w:rsidRPr="00330A72" w:rsidRDefault="00806A35" w:rsidP="008F5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Doložka prednosti upravená v bode 6 podľa pripomienky.</w:t>
            </w:r>
          </w:p>
        </w:tc>
      </w:tr>
      <w:tr w:rsidR="008F5B18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B18" w:rsidRPr="00330A72" w:rsidRDefault="008F5B18" w:rsidP="008F5B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980632" w:rsidP="008F5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</w:t>
            </w:r>
            <w:r w:rsidR="008F5B18"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dôvodovej správe</w:t>
            </w:r>
            <w:r w:rsidR="008F5B18" w:rsidRPr="00330A72">
              <w:rPr>
                <w:rFonts w:ascii="Times New Roman" w:hAnsi="Times New Roman"/>
                <w:sz w:val="24"/>
                <w:szCs w:val="24"/>
              </w:rPr>
              <w:br/>
              <w:t>Navrhujeme vetu v časti „Názov zmluvy“ nahradiť nasledovnou novou vetou: „Zmluva je podľa Ústavy SR prezidentskou medzinárodnou zmluvou, ktorá priamo zakladá práva alebo povinnosti fyzických osôb alebo právnických osôb a ktorá má zároveň prednosť pred zákonmi.“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5B18" w:rsidRPr="00330A72" w:rsidRDefault="00B177DC" w:rsidP="008F5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Dôvodová správa upravená podľa pripomienky.</w:t>
            </w:r>
          </w:p>
        </w:tc>
      </w:tr>
      <w:tr w:rsidR="008F5B18" w:rsidRPr="00330A72" w:rsidTr="00195BF3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F5B18" w:rsidRPr="00330A72" w:rsidRDefault="008F5B18" w:rsidP="008F5B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F5B18" w:rsidRPr="00330A72" w:rsidRDefault="00980632" w:rsidP="008F5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8F5B18"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návrhu uznesenia vlády SR</w:t>
            </w:r>
            <w:r w:rsidR="008F5B18" w:rsidRPr="00330A72">
              <w:rPr>
                <w:rFonts w:ascii="Times New Roman" w:hAnsi="Times New Roman"/>
                <w:sz w:val="24"/>
                <w:szCs w:val="24"/>
              </w:rPr>
              <w:br/>
              <w:t>V bode D.1 a D.2. navrhujeme vypustiť obidva kontrolné termíny v zmysle zaužívanej praxe.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F5B18" w:rsidRPr="00330A72" w:rsidRDefault="009D5D86" w:rsidP="008F5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8F5B18" w:rsidRPr="00330A72" w:rsidRDefault="009D5D86" w:rsidP="008F5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 gestor zmluvy ponechávame kontrolné termíny na plnenie daných úloh.</w:t>
            </w:r>
          </w:p>
        </w:tc>
      </w:tr>
      <w:tr w:rsidR="008F5B18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B18" w:rsidRPr="00330A72" w:rsidRDefault="008F5B18" w:rsidP="008F5B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980632" w:rsidP="008F5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</w:t>
            </w:r>
            <w:r w:rsidR="008F5B18"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návrhu uznesenia vlády SR</w:t>
            </w:r>
            <w:r w:rsidR="008F5B18" w:rsidRPr="00330A72">
              <w:rPr>
                <w:rFonts w:ascii="Times New Roman" w:hAnsi="Times New Roman"/>
                <w:sz w:val="24"/>
                <w:szCs w:val="24"/>
              </w:rPr>
              <w:br/>
              <w:t>Navrhujeme v bode B.1. doplniť medzi jednotlivé funkcie spojku „alebo“... podpredsedu vlády a ministra financií alebo ministra hospodárstva alebo ministra zahraničných vecí a európskych záležitostí alebo štátneho tajomníka.....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AE1D45" w:rsidP="008F5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F5B18" w:rsidRPr="00330A72" w:rsidRDefault="00D910B3" w:rsidP="008F5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Znenie d</w:t>
            </w:r>
            <w:r w:rsidR="006B638D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plnené</w:t>
            </w:r>
            <w:r w:rsidR="008A1949">
              <w:rPr>
                <w:rFonts w:ascii="Times New Roman" w:hAnsi="Times New Roman"/>
                <w:sz w:val="24"/>
                <w:szCs w:val="24"/>
              </w:rPr>
              <w:t xml:space="preserve"> podľa pripomienky.</w:t>
            </w:r>
          </w:p>
        </w:tc>
      </w:tr>
      <w:tr w:rsidR="008F5B18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B18" w:rsidRPr="00330A72" w:rsidRDefault="008F5B18" w:rsidP="008F5B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980632" w:rsidP="008F5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</w:t>
            </w:r>
            <w:r w:rsidR="008F5B18"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obalu</w:t>
            </w:r>
            <w:r w:rsidR="008F5B18" w:rsidRPr="00330A72">
              <w:rPr>
                <w:rFonts w:ascii="Times New Roman" w:hAnsi="Times New Roman"/>
                <w:sz w:val="24"/>
                <w:szCs w:val="24"/>
              </w:rPr>
              <w:br/>
              <w:t xml:space="preserve">Na obale je potrebné uviesť, že materiál </w:t>
            </w:r>
            <w:proofErr w:type="spellStart"/>
            <w:r w:rsidR="008F5B18" w:rsidRPr="00330A72">
              <w:rPr>
                <w:rFonts w:ascii="Times New Roman" w:hAnsi="Times New Roman"/>
                <w:sz w:val="24"/>
                <w:szCs w:val="24"/>
              </w:rPr>
              <w:t>spolupodpisuje</w:t>
            </w:r>
            <w:proofErr w:type="spellEnd"/>
            <w:r w:rsidR="008F5B18" w:rsidRPr="00330A72">
              <w:rPr>
                <w:rFonts w:ascii="Times New Roman" w:hAnsi="Times New Roman"/>
                <w:sz w:val="24"/>
                <w:szCs w:val="24"/>
              </w:rPr>
              <w:t xml:space="preserve"> minister zahraničných vecí a európskych záležitostí Slovenskej republiky.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5B18" w:rsidRPr="00330A72" w:rsidRDefault="008F5B18" w:rsidP="008F5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F5B18" w:rsidRPr="006B638D" w:rsidRDefault="009A0740" w:rsidP="008F5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38D">
              <w:rPr>
                <w:rFonts w:ascii="Times New Roman" w:hAnsi="Times New Roman"/>
                <w:sz w:val="24"/>
                <w:szCs w:val="24"/>
              </w:rPr>
              <w:t>Obal doplnený</w:t>
            </w:r>
            <w:r w:rsidR="008A1949">
              <w:rPr>
                <w:rFonts w:ascii="Times New Roman" w:hAnsi="Times New Roman"/>
                <w:sz w:val="24"/>
                <w:szCs w:val="24"/>
              </w:rPr>
              <w:t xml:space="preserve"> podľa pripomienky.</w:t>
            </w:r>
          </w:p>
        </w:tc>
      </w:tr>
      <w:tr w:rsidR="00A8215B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15B" w:rsidRPr="00330A72" w:rsidRDefault="00A8215B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28D2" w:rsidRPr="00330A72" w:rsidRDefault="00980632" w:rsidP="00A821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</w:t>
            </w:r>
            <w:r w:rsidR="008F5B18"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predkladacej správe</w:t>
            </w:r>
          </w:p>
          <w:p w:rsidR="00A8215B" w:rsidRPr="00330A72" w:rsidRDefault="008F5B18" w:rsidP="00A82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72">
              <w:rPr>
                <w:rFonts w:ascii="Times New Roman" w:hAnsi="Times New Roman"/>
                <w:sz w:val="24"/>
                <w:szCs w:val="24"/>
              </w:rPr>
              <w:t>V štvrtom odseku navrhujeme prvú a druhú vetu nahradiť novou nasledovnou vetou: „Z hľadiska vecnej podstaty predkladaného materiálu ide o tzv. prezidentskú medzinárodnú zmluvu, ktorá priamo zakladá práva alebo povinnosti fyzických osôb alebo právnických osôb v zmysle článku 7 odsek 4 Ústavy Slovenskej republiky a ktorá má zároveň podľa článku 7 odsek 5 Ústavy Slovenskej republiky prednosť pred zákonmi.“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330A72" w:rsidRDefault="00A8215B" w:rsidP="00A821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215B" w:rsidRPr="00330A72" w:rsidRDefault="00D227AC" w:rsidP="00D22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215B" w:rsidRPr="00330A72" w:rsidRDefault="00A75294" w:rsidP="008A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Predkladacia správa zmenená</w:t>
            </w:r>
            <w:r w:rsidR="008A1949">
              <w:rPr>
                <w:rFonts w:ascii="Times New Roman" w:hAnsi="Times New Roman"/>
                <w:sz w:val="24"/>
                <w:szCs w:val="24"/>
              </w:rPr>
              <w:t xml:space="preserve"> podľa pripomienky.</w:t>
            </w:r>
          </w:p>
        </w:tc>
      </w:tr>
      <w:tr w:rsidR="00A42F32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F32" w:rsidRPr="00330A72" w:rsidRDefault="00A42F32" w:rsidP="00A42F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A42F32" w:rsidP="00A42F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zmluva_EN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br/>
              <w:t>Pred slovom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habitual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“ navrhujeme zmeniť člen z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“ na „a“ keďže fonetický prepis výslovnosti je /h?'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b?t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?.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u.?l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/, teda začiatočný zvuk slova znie ako spoluhláska nie ako samohláska.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D673CC" w:rsidP="00A42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447BE8" w:rsidP="00A42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D4D50" w:rsidRDefault="009D4D50" w:rsidP="00B85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Znenie </w:t>
            </w:r>
            <w:r w:rsidR="00B06DCD">
              <w:rPr>
                <w:rFonts w:ascii="Times New Roman" w:hAnsi="Times New Roman"/>
                <w:sz w:val="24"/>
                <w:szCs w:val="24"/>
              </w:rPr>
              <w:t xml:space="preserve">zmluvy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B3B9E">
              <w:rPr>
                <w:rFonts w:ascii="Times New Roman" w:hAnsi="Times New Roman"/>
                <w:sz w:val="24"/>
                <w:szCs w:val="24"/>
              </w:rPr>
              <w:t> anglickom jazyku primárne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vychádza z Modelovej zmluvy OECD o príjmoch a o</w:t>
            </w:r>
            <w:r w:rsidR="00DB3B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majetku</w:t>
            </w:r>
            <w:r w:rsidR="00DB3B9E">
              <w:rPr>
                <w:rFonts w:ascii="Times New Roman" w:hAnsi="Times New Roman"/>
                <w:sz w:val="24"/>
                <w:szCs w:val="24"/>
              </w:rPr>
              <w:t>, ktorá je dostupná na nasledovnom linku, kde je možné nájsť aj konkrétne ustanovenie:</w:t>
            </w:r>
            <w:r w:rsidR="00857DBB">
              <w:t xml:space="preserve"> </w:t>
            </w:r>
            <w:hyperlink r:id="rId8" w:history="1">
              <w:r w:rsidR="00857DBB" w:rsidRPr="005C0454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https://www.oecd.org/tax/model-tax-convention-on</w:t>
              </w:r>
              <w:r w:rsidR="00857DBB" w:rsidRPr="005C0454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-</w:t>
              </w:r>
              <w:r w:rsidR="00857DBB" w:rsidRPr="005C0454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income-and-on-capital-condensed-version-20745419.htm</w:t>
              </w:r>
            </w:hyperlink>
            <w:r w:rsidR="00857D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F32" w:rsidRPr="00330A72" w:rsidRDefault="00A42F32" w:rsidP="00B85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32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F32" w:rsidRPr="00330A72" w:rsidRDefault="00A42F32" w:rsidP="00A42F3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A42F32" w:rsidP="00A42F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zmluva_EN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br/>
              <w:t>V článku 11 v bode 3. navrhujeme doplniť určitý člen pred slovným spojením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Kyrgyz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Republic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D673CC" w:rsidP="00A42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857DBB" w:rsidRDefault="0047597C" w:rsidP="00A42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DB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42F32" w:rsidRPr="00857DBB" w:rsidRDefault="00CC0A79" w:rsidP="00857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BB">
              <w:rPr>
                <w:rFonts w:ascii="Times New Roman" w:hAnsi="Times New Roman"/>
                <w:sz w:val="24"/>
                <w:szCs w:val="24"/>
              </w:rPr>
              <w:t xml:space="preserve">Text zmluvy v anglickom jazyku </w:t>
            </w:r>
            <w:r w:rsidR="00857DBB">
              <w:rPr>
                <w:rFonts w:ascii="Times New Roman" w:hAnsi="Times New Roman"/>
                <w:sz w:val="24"/>
                <w:szCs w:val="24"/>
              </w:rPr>
              <w:t xml:space="preserve">je technicky dorokovaný, bilaterálne odsúhlasený, </w:t>
            </w:r>
            <w:r w:rsidR="00641F1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857DBB">
              <w:rPr>
                <w:rFonts w:ascii="Times New Roman" w:hAnsi="Times New Roman"/>
                <w:sz w:val="24"/>
                <w:szCs w:val="24"/>
              </w:rPr>
              <w:t xml:space="preserve">preto nie je 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>možné upravovať</w:t>
            </w:r>
            <w:r w:rsidR="00857DBB">
              <w:rPr>
                <w:rFonts w:ascii="Times New Roman" w:hAnsi="Times New Roman"/>
                <w:sz w:val="24"/>
                <w:szCs w:val="24"/>
              </w:rPr>
              <w:t xml:space="preserve"> znenie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>, pokiaľ nejde o</w:t>
            </w:r>
            <w:r w:rsidR="00857DBB">
              <w:rPr>
                <w:rFonts w:ascii="Times New Roman" w:hAnsi="Times New Roman"/>
                <w:sz w:val="24"/>
                <w:szCs w:val="24"/>
              </w:rPr>
              <w:t> 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>substantívnu</w:t>
            </w:r>
            <w:r w:rsidR="00857DBB">
              <w:rPr>
                <w:rFonts w:ascii="Times New Roman" w:hAnsi="Times New Roman"/>
                <w:sz w:val="24"/>
                <w:szCs w:val="24"/>
              </w:rPr>
              <w:t xml:space="preserve"> zásadnú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 xml:space="preserve"> zmenu.</w:t>
            </w:r>
          </w:p>
        </w:tc>
      </w:tr>
      <w:tr w:rsidR="00641F15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F15" w:rsidRPr="00330A72" w:rsidRDefault="00641F15" w:rsidP="00641F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ŠÚSR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15" w:rsidRPr="00330A72" w:rsidRDefault="00641F15" w:rsidP="00641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zmluva_EN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br/>
              <w:t>V článku 22 v bode 3. navrhujeme zmeniť americký variant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favorably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“ na britský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favourably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15" w:rsidRPr="00330A72" w:rsidRDefault="00641F15" w:rsidP="00641F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15" w:rsidRPr="00330A72" w:rsidRDefault="00641F15" w:rsidP="00641F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1F15" w:rsidRPr="00641F15" w:rsidRDefault="009F6A12" w:rsidP="00641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BB">
              <w:rPr>
                <w:rFonts w:ascii="Times New Roman" w:hAnsi="Times New Roman"/>
                <w:sz w:val="24"/>
                <w:szCs w:val="24"/>
              </w:rPr>
              <w:t xml:space="preserve">Text zmluvy v anglickom jazyku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technicky dorokovaný, bilaterálne odsúhlasený, a preto nie je 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>možné upravovať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znenie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>, pokiaľ nejde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>substantívnu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zásadnú</w:t>
            </w:r>
            <w:r w:rsidRPr="00857DBB">
              <w:rPr>
                <w:rFonts w:ascii="Times New Roman" w:hAnsi="Times New Roman"/>
                <w:sz w:val="24"/>
                <w:szCs w:val="24"/>
              </w:rPr>
              <w:t xml:space="preserve"> zmenu.</w:t>
            </w:r>
          </w:p>
        </w:tc>
      </w:tr>
      <w:tr w:rsidR="0084569D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69D" w:rsidRPr="00330A72" w:rsidRDefault="0084569D" w:rsidP="00845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69D" w:rsidRPr="00330A72" w:rsidRDefault="0084569D" w:rsidP="008456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zmluva_EN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br/>
              <w:t>V článku 23 v bode 1. v prvej vete navrhujeme vynechať určitý člen pred zámenom „he“.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69D" w:rsidRPr="00330A72" w:rsidRDefault="0084569D" w:rsidP="008456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69D" w:rsidRPr="00587863" w:rsidRDefault="00587863" w:rsidP="00845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4569D" w:rsidRPr="00587863" w:rsidRDefault="0084569D" w:rsidP="00845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9E6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79E6" w:rsidRPr="00330A72" w:rsidRDefault="002F79E6" w:rsidP="002F7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9E6" w:rsidRPr="00330A72" w:rsidRDefault="002F79E6" w:rsidP="002F79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zmluva_EN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br/>
              <w:t>V článku 28 navrhujeme v prvej vete doplniť do vety členy tak aby znela: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Agreement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shall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ratified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accordance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procedures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both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Contracting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States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shall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enter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into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force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third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following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receipt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of a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later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diplomatic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note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confirming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procedures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been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completed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.“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9E6" w:rsidRPr="00330A72" w:rsidRDefault="002F79E6" w:rsidP="002F7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79E6" w:rsidRPr="00305A21" w:rsidRDefault="002F79E6" w:rsidP="002F7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A2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316B6" w:rsidRPr="00BB1EC1" w:rsidRDefault="008316B6" w:rsidP="00BB1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C1">
              <w:rPr>
                <w:rFonts w:ascii="Times New Roman" w:hAnsi="Times New Roman"/>
                <w:sz w:val="24"/>
                <w:szCs w:val="24"/>
              </w:rPr>
              <w:t>Uvedené znenie je odsúhlasené s </w:t>
            </w:r>
            <w:proofErr w:type="spellStart"/>
            <w:r w:rsidRPr="00BB1EC1">
              <w:rPr>
                <w:rFonts w:ascii="Times New Roman" w:hAnsi="Times New Roman"/>
                <w:sz w:val="24"/>
                <w:szCs w:val="24"/>
              </w:rPr>
              <w:t>MZVaEZ</w:t>
            </w:r>
            <w:proofErr w:type="spellEnd"/>
            <w:r w:rsidRPr="00BB1EC1">
              <w:rPr>
                <w:rFonts w:ascii="Times New Roman" w:hAnsi="Times New Roman"/>
                <w:sz w:val="24"/>
                <w:szCs w:val="24"/>
              </w:rPr>
              <w:t xml:space="preserve"> SR</w:t>
            </w:r>
            <w:r w:rsidR="007E73F5" w:rsidRPr="00BB1EC1">
              <w:rPr>
                <w:rFonts w:ascii="Times New Roman" w:hAnsi="Times New Roman"/>
                <w:sz w:val="24"/>
                <w:szCs w:val="24"/>
              </w:rPr>
              <w:t>, pričom nejde o substantívny problém.</w:t>
            </w:r>
          </w:p>
        </w:tc>
      </w:tr>
      <w:tr w:rsidR="00305A21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21" w:rsidRPr="00330A72" w:rsidRDefault="00305A21" w:rsidP="00305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A21" w:rsidRPr="00330A72" w:rsidRDefault="00305A21" w:rsidP="00305A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zmluva_EN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br/>
              <w:t>V článku 29 v bode 1. navrhujeme doplniť neurčitý člen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“ pred slovo „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indefinite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A21" w:rsidRPr="00330A72" w:rsidRDefault="00305A21" w:rsidP="00305A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5A21" w:rsidRPr="00305A21" w:rsidRDefault="00305A21" w:rsidP="00305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2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05A21" w:rsidRPr="00305A21" w:rsidRDefault="00BB1EC1" w:rsidP="00305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C1">
              <w:rPr>
                <w:rFonts w:ascii="Times New Roman" w:hAnsi="Times New Roman"/>
                <w:sz w:val="24"/>
                <w:szCs w:val="24"/>
              </w:rPr>
              <w:t>Uvedené znenie je odsúhlasené s </w:t>
            </w:r>
            <w:proofErr w:type="spellStart"/>
            <w:r w:rsidRPr="00BB1EC1">
              <w:rPr>
                <w:rFonts w:ascii="Times New Roman" w:hAnsi="Times New Roman"/>
                <w:sz w:val="24"/>
                <w:szCs w:val="24"/>
              </w:rPr>
              <w:t>MZVaEZ</w:t>
            </w:r>
            <w:proofErr w:type="spellEnd"/>
            <w:r w:rsidRPr="00BB1EC1">
              <w:rPr>
                <w:rFonts w:ascii="Times New Roman" w:hAnsi="Times New Roman"/>
                <w:sz w:val="24"/>
                <w:szCs w:val="24"/>
              </w:rPr>
              <w:t xml:space="preserve"> SR, pričom nejde o substantívny problém.</w:t>
            </w:r>
          </w:p>
        </w:tc>
      </w:tr>
      <w:tr w:rsidR="00A42F32" w:rsidRPr="00330A72" w:rsidTr="00A8215B">
        <w:trPr>
          <w:divId w:val="471094726"/>
        </w:trPr>
        <w:tc>
          <w:tcPr>
            <w:tcW w:w="49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F32" w:rsidRPr="00330A72" w:rsidRDefault="00A42F32" w:rsidP="00A42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A42F32" w:rsidP="00A42F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zmluva_EN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br/>
              <w:t xml:space="preserve">V poslednej vete navrhujeme doplniť čiarku za úvodnú frázu tak aby veta znela: In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divergence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interpretation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text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shall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A72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330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D673CC" w:rsidP="00A42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2F32" w:rsidRPr="00330A72" w:rsidRDefault="00F11E29" w:rsidP="00A42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42F32" w:rsidRPr="00330A72" w:rsidRDefault="00BB1EC1" w:rsidP="00F1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C1">
              <w:rPr>
                <w:rFonts w:ascii="Times New Roman" w:hAnsi="Times New Roman"/>
                <w:sz w:val="24"/>
                <w:szCs w:val="24"/>
              </w:rPr>
              <w:t>Uvedené znenie je odsúhlasené s </w:t>
            </w:r>
            <w:proofErr w:type="spellStart"/>
            <w:r w:rsidRPr="00BB1EC1">
              <w:rPr>
                <w:rFonts w:ascii="Times New Roman" w:hAnsi="Times New Roman"/>
                <w:sz w:val="24"/>
                <w:szCs w:val="24"/>
              </w:rPr>
              <w:t>MZVaEZ</w:t>
            </w:r>
            <w:proofErr w:type="spellEnd"/>
            <w:r w:rsidRPr="00BB1EC1">
              <w:rPr>
                <w:rFonts w:ascii="Times New Roman" w:hAnsi="Times New Roman"/>
                <w:sz w:val="24"/>
                <w:szCs w:val="24"/>
              </w:rPr>
              <w:t xml:space="preserve"> SR, pričom nejde o substantívny problém.</w:t>
            </w:r>
          </w:p>
        </w:tc>
      </w:tr>
    </w:tbl>
    <w:p w:rsidR="00A42F32" w:rsidRPr="00A918BC" w:rsidRDefault="00A42F32" w:rsidP="00CE47A6">
      <w:pPr>
        <w:rPr>
          <w:rFonts w:ascii="Times New Roman" w:hAnsi="Times New Roman"/>
        </w:rPr>
      </w:pPr>
    </w:p>
    <w:sectPr w:rsidR="00A42F32" w:rsidRPr="00A918BC" w:rsidSect="0067196A">
      <w:footerReference w:type="default" r:id="rId9"/>
      <w:pgSz w:w="16839" w:h="11907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6D" w:rsidRDefault="0031136D" w:rsidP="000A67D5">
      <w:pPr>
        <w:spacing w:after="0" w:line="240" w:lineRule="auto"/>
      </w:pPr>
      <w:r>
        <w:separator/>
      </w:r>
    </w:p>
  </w:endnote>
  <w:endnote w:type="continuationSeparator" w:id="0">
    <w:p w:rsidR="0031136D" w:rsidRDefault="0031136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34" w:rsidRDefault="0098653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974D8">
      <w:rPr>
        <w:noProof/>
      </w:rPr>
      <w:t>7</w:t>
    </w:r>
    <w:r>
      <w:fldChar w:fldCharType="end"/>
    </w:r>
  </w:p>
  <w:p w:rsidR="00986534" w:rsidRDefault="009865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6D" w:rsidRDefault="0031136D" w:rsidP="000A67D5">
      <w:pPr>
        <w:spacing w:after="0" w:line="240" w:lineRule="auto"/>
      </w:pPr>
      <w:r>
        <w:separator/>
      </w:r>
    </w:p>
  </w:footnote>
  <w:footnote w:type="continuationSeparator" w:id="0">
    <w:p w:rsidR="0031136D" w:rsidRDefault="0031136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11087"/>
    <w:rsid w:val="00024402"/>
    <w:rsid w:val="000324A3"/>
    <w:rsid w:val="00051220"/>
    <w:rsid w:val="0006543E"/>
    <w:rsid w:val="000A67D5"/>
    <w:rsid w:val="000C4CBD"/>
    <w:rsid w:val="000E25CA"/>
    <w:rsid w:val="000F7A42"/>
    <w:rsid w:val="00100D51"/>
    <w:rsid w:val="00110E7B"/>
    <w:rsid w:val="00146547"/>
    <w:rsid w:val="00146B48"/>
    <w:rsid w:val="00150388"/>
    <w:rsid w:val="00154A91"/>
    <w:rsid w:val="00161530"/>
    <w:rsid w:val="0016220B"/>
    <w:rsid w:val="00195BF3"/>
    <w:rsid w:val="00196C54"/>
    <w:rsid w:val="001E11D9"/>
    <w:rsid w:val="002109B0"/>
    <w:rsid w:val="0021228E"/>
    <w:rsid w:val="00230F3C"/>
    <w:rsid w:val="00244F65"/>
    <w:rsid w:val="0024509B"/>
    <w:rsid w:val="00251673"/>
    <w:rsid w:val="002654AA"/>
    <w:rsid w:val="002827B4"/>
    <w:rsid w:val="00292EC4"/>
    <w:rsid w:val="002A5577"/>
    <w:rsid w:val="002C5A4A"/>
    <w:rsid w:val="002D7471"/>
    <w:rsid w:val="002F79E6"/>
    <w:rsid w:val="00305A21"/>
    <w:rsid w:val="00310A55"/>
    <w:rsid w:val="0031136D"/>
    <w:rsid w:val="00322014"/>
    <w:rsid w:val="00330A72"/>
    <w:rsid w:val="00342C19"/>
    <w:rsid w:val="0039526D"/>
    <w:rsid w:val="003B348A"/>
    <w:rsid w:val="003B435B"/>
    <w:rsid w:val="003D101C"/>
    <w:rsid w:val="003D5E45"/>
    <w:rsid w:val="003E0D24"/>
    <w:rsid w:val="003E4226"/>
    <w:rsid w:val="004020C7"/>
    <w:rsid w:val="004075B2"/>
    <w:rsid w:val="00436C44"/>
    <w:rsid w:val="00447BE8"/>
    <w:rsid w:val="00474A9D"/>
    <w:rsid w:val="0047597C"/>
    <w:rsid w:val="00491AF1"/>
    <w:rsid w:val="004A5AD8"/>
    <w:rsid w:val="00501230"/>
    <w:rsid w:val="00532574"/>
    <w:rsid w:val="00577380"/>
    <w:rsid w:val="00587863"/>
    <w:rsid w:val="0059081C"/>
    <w:rsid w:val="005A5F99"/>
    <w:rsid w:val="005E7C53"/>
    <w:rsid w:val="00627DEF"/>
    <w:rsid w:val="00641F15"/>
    <w:rsid w:val="00642FB8"/>
    <w:rsid w:val="0067196A"/>
    <w:rsid w:val="006A3681"/>
    <w:rsid w:val="006A36B3"/>
    <w:rsid w:val="006B42D8"/>
    <w:rsid w:val="006B638D"/>
    <w:rsid w:val="006C631F"/>
    <w:rsid w:val="006D7CA8"/>
    <w:rsid w:val="006F52A9"/>
    <w:rsid w:val="007156F5"/>
    <w:rsid w:val="00731414"/>
    <w:rsid w:val="00754163"/>
    <w:rsid w:val="0076114E"/>
    <w:rsid w:val="00762055"/>
    <w:rsid w:val="00774BA1"/>
    <w:rsid w:val="00782055"/>
    <w:rsid w:val="007974D8"/>
    <w:rsid w:val="007A1010"/>
    <w:rsid w:val="007B5054"/>
    <w:rsid w:val="007B7F1A"/>
    <w:rsid w:val="007D0C2A"/>
    <w:rsid w:val="007D7AE6"/>
    <w:rsid w:val="007E1181"/>
    <w:rsid w:val="007E4294"/>
    <w:rsid w:val="007E73D6"/>
    <w:rsid w:val="007E73F5"/>
    <w:rsid w:val="00806A35"/>
    <w:rsid w:val="00812189"/>
    <w:rsid w:val="008316B6"/>
    <w:rsid w:val="0083793D"/>
    <w:rsid w:val="00841FA6"/>
    <w:rsid w:val="0084569D"/>
    <w:rsid w:val="00856FFA"/>
    <w:rsid w:val="00857DBB"/>
    <w:rsid w:val="008628D2"/>
    <w:rsid w:val="00872AEE"/>
    <w:rsid w:val="008844F6"/>
    <w:rsid w:val="008A1949"/>
    <w:rsid w:val="008A1964"/>
    <w:rsid w:val="008E2844"/>
    <w:rsid w:val="008F1902"/>
    <w:rsid w:val="008F5B18"/>
    <w:rsid w:val="0090100E"/>
    <w:rsid w:val="009239D9"/>
    <w:rsid w:val="00927118"/>
    <w:rsid w:val="00933121"/>
    <w:rsid w:val="00943EB2"/>
    <w:rsid w:val="00980632"/>
    <w:rsid w:val="009826EC"/>
    <w:rsid w:val="00986534"/>
    <w:rsid w:val="0099665B"/>
    <w:rsid w:val="009A0740"/>
    <w:rsid w:val="009B0AFF"/>
    <w:rsid w:val="009C6C5C"/>
    <w:rsid w:val="009D4D50"/>
    <w:rsid w:val="009D5D86"/>
    <w:rsid w:val="009F6A12"/>
    <w:rsid w:val="009F7218"/>
    <w:rsid w:val="00A14071"/>
    <w:rsid w:val="00A251BF"/>
    <w:rsid w:val="00A42F32"/>
    <w:rsid w:val="00A54A16"/>
    <w:rsid w:val="00A75294"/>
    <w:rsid w:val="00A80FFC"/>
    <w:rsid w:val="00A8215B"/>
    <w:rsid w:val="00A918BC"/>
    <w:rsid w:val="00A947FE"/>
    <w:rsid w:val="00AA14E6"/>
    <w:rsid w:val="00AC0982"/>
    <w:rsid w:val="00AD2EC9"/>
    <w:rsid w:val="00AE1D45"/>
    <w:rsid w:val="00AF3EA0"/>
    <w:rsid w:val="00B06DCD"/>
    <w:rsid w:val="00B1284B"/>
    <w:rsid w:val="00B12C24"/>
    <w:rsid w:val="00B177DC"/>
    <w:rsid w:val="00B322B7"/>
    <w:rsid w:val="00B721A5"/>
    <w:rsid w:val="00B76589"/>
    <w:rsid w:val="00B8590E"/>
    <w:rsid w:val="00B8767E"/>
    <w:rsid w:val="00BA1E38"/>
    <w:rsid w:val="00BA4534"/>
    <w:rsid w:val="00BB1EC1"/>
    <w:rsid w:val="00BB470F"/>
    <w:rsid w:val="00BD1FAB"/>
    <w:rsid w:val="00BD6267"/>
    <w:rsid w:val="00BE7302"/>
    <w:rsid w:val="00BF74D8"/>
    <w:rsid w:val="00BF7CE0"/>
    <w:rsid w:val="00C05AAE"/>
    <w:rsid w:val="00CA44D2"/>
    <w:rsid w:val="00CC0A79"/>
    <w:rsid w:val="00CD4EB2"/>
    <w:rsid w:val="00CE47A6"/>
    <w:rsid w:val="00CE7A7E"/>
    <w:rsid w:val="00CF3D59"/>
    <w:rsid w:val="00D06890"/>
    <w:rsid w:val="00D227AC"/>
    <w:rsid w:val="00D23F95"/>
    <w:rsid w:val="00D261C9"/>
    <w:rsid w:val="00D42081"/>
    <w:rsid w:val="00D673CC"/>
    <w:rsid w:val="00D85172"/>
    <w:rsid w:val="00D910B3"/>
    <w:rsid w:val="00D969AC"/>
    <w:rsid w:val="00DA55CF"/>
    <w:rsid w:val="00DB3B9E"/>
    <w:rsid w:val="00DF7085"/>
    <w:rsid w:val="00E165A9"/>
    <w:rsid w:val="00E342F3"/>
    <w:rsid w:val="00E66961"/>
    <w:rsid w:val="00E85710"/>
    <w:rsid w:val="00E96CCF"/>
    <w:rsid w:val="00EB772A"/>
    <w:rsid w:val="00EC5B4F"/>
    <w:rsid w:val="00EE25C1"/>
    <w:rsid w:val="00EE50C4"/>
    <w:rsid w:val="00EF1425"/>
    <w:rsid w:val="00EF7975"/>
    <w:rsid w:val="00EF79ED"/>
    <w:rsid w:val="00F11E29"/>
    <w:rsid w:val="00F26A4A"/>
    <w:rsid w:val="00F46F9E"/>
    <w:rsid w:val="00F5355C"/>
    <w:rsid w:val="00F727F0"/>
    <w:rsid w:val="00F8562E"/>
    <w:rsid w:val="00FC0816"/>
    <w:rsid w:val="00FE298F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E7F2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7118"/>
    <w:rPr>
      <w:rFonts w:ascii="Calibri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F7CE0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character" w:styleId="Siln">
    <w:name w:val="Strong"/>
    <w:basedOn w:val="Predvolenpsmoodseku"/>
    <w:uiPriority w:val="22"/>
    <w:qFormat/>
    <w:rsid w:val="001E11D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57DB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7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tax/model-tax-convention-on-income-and-on-capital-condensed-version-2074541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7.2020 9:14:53"/>
    <f:field ref="objchangedby" par="" text="Administrator, System"/>
    <f:field ref="objmodifiedat" par="" text="28.7.2020 9:14:5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256D39-5CE8-41F8-B862-9AF79C1A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2022-09-23T08:30:00Z</dcterms:created>
  <dcterms:modified xsi:type="dcterms:W3CDTF">2022-09-29T09:09:00Z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dohovory_x000d__x000d_Dane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Jakub Kuchár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Zmluvy medzi Slovenskou republikou a Novým Zélandom o zamedzení dvojitému zdaneniu v oblasti daní z príjmov a zabránení daňovému úniku a vyhýbaniu sa daňovým povinnostiam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Zmluvy medzi Slovenskou republikou a Novým Zélandom o zamedzení dvojitému zdaneniu v oblasti daní z príjmov a zabránení daňovému úniku a vyhýbaniu sa daňovým povinnostiam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MF/012216/2020-724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LP/2020/219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financií</vt:lpwstr>
  </property>
  <property fmtid="{D5CDD505-2E9C-101B-9397-08002B2CF9AE}" pid="141" name="FSC#SKEDITIONSLOVLEX@103.510:funkciaZodpPredAkuzativ">
    <vt:lpwstr>ministra financií Slovenskej republiky</vt:lpwstr>
  </property>
  <property fmtid="{D5CDD505-2E9C-101B-9397-08002B2CF9AE}" pid="142" name="FSC#SKEDITIONSLOVLEX@103.510:funkciaZodpPredDativ">
    <vt:lpwstr>ministrovi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Eduard Heger_x000d__x000d_minister financií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COO.2145.1000.3.3952908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28. 7. 2020</vt:lpwstr>
  </property>
</Properties>
</file>