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B0AB" w14:textId="77777777" w:rsidR="00C509E8" w:rsidRPr="004A5970" w:rsidRDefault="00021155" w:rsidP="004A5970">
      <w:pPr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bookmarkStart w:id="0" w:name="_GoBack"/>
      <w:bookmarkEnd w:id="0"/>
      <w:r w:rsidRPr="004A5970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Predkladacia správa</w:t>
      </w:r>
    </w:p>
    <w:p w14:paraId="70967A38" w14:textId="77777777" w:rsidR="00C509E8" w:rsidRPr="004A5970" w:rsidRDefault="00C509E8" w:rsidP="004A5970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205585D" w14:textId="77777777" w:rsidR="00E45FB4" w:rsidRPr="004A5970" w:rsidRDefault="00E45FB4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E621F60" w14:textId="058A2A14" w:rsidR="00CA3AEB" w:rsidRPr="004A5970" w:rsidRDefault="00CA3AEB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Na základe § 70 ods. 2 zákona Národnej rady Slovenskej republiky č. 350/1996 Z. z. o rokovacom poriadku Národnej rady Slovenskej republiky Ministerstvo práce, sociálnych vecí a rodiny Slovenskej republiky</w:t>
      </w:r>
      <w:r w:rsidR="003B6C38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ako ústredný orgán štátnej správy </w:t>
      </w:r>
      <w:r w:rsidR="00F8240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 </w:t>
      </w:r>
      <w:r w:rsidR="005245C6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pracovnoprávne vzťahy</w:t>
      </w:r>
      <w:r w:rsidR="00F8240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predkladá na rokovanie vlády Slovenskej republiky návrh </w:t>
      </w:r>
      <w:r w:rsidR="005245C6" w:rsidRPr="004A5970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poslancov Národnej rady Slovenskej republiky Martina Nemkyho a Borisa Suska na vydanie zákona, ktorým sa mení a dopĺňa zákon</w:t>
      </w:r>
      <w:r w:rsidR="00F9483E" w:rsidRPr="004A5970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br/>
      </w:r>
      <w:r w:rsidR="005245C6" w:rsidRPr="004A5970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č. 311/2001 Z. z. Zákonník práce v znení neskorších predpisov (tlač 1141)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14:paraId="355A5947" w14:textId="77777777" w:rsidR="00C509E8" w:rsidRPr="004A5970" w:rsidRDefault="00C509E8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61FC37F" w14:textId="77777777" w:rsidR="00C509E8" w:rsidRPr="004A5970" w:rsidRDefault="00844FD9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Ministerstvo práce</w:t>
      </w:r>
      <w:r w:rsidR="003B6C38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C509E8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k predloženému návrhu zákona uvádza:</w:t>
      </w:r>
    </w:p>
    <w:p w14:paraId="6B9BBCA5" w14:textId="2D4E5661" w:rsidR="00C509E8" w:rsidRPr="004A5970" w:rsidRDefault="00C509E8" w:rsidP="004A5970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sk-SK"/>
        </w:rPr>
      </w:pPr>
    </w:p>
    <w:p w14:paraId="3154A38D" w14:textId="77777777" w:rsidR="00065B6E" w:rsidRPr="004A5970" w:rsidRDefault="00065B6E" w:rsidP="004A5970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sk-SK"/>
        </w:rPr>
      </w:pPr>
    </w:p>
    <w:p w14:paraId="50A0FA28" w14:textId="77777777" w:rsidR="00C509E8" w:rsidRPr="004A5970" w:rsidRDefault="00C509E8" w:rsidP="004A5970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Všeobecne</w:t>
      </w:r>
    </w:p>
    <w:p w14:paraId="4AA99FE1" w14:textId="77777777" w:rsidR="00B352E5" w:rsidRPr="004A5970" w:rsidRDefault="00B352E5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FEC02DE" w14:textId="211F4AB6" w:rsidR="00065B6E" w:rsidRPr="004A5970" w:rsidRDefault="005245C6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Predmetom návrhu zákona je zmena 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spôsobu určovania súm minimálnych mzdových nárokov pre jednotlivé stupne náročnosti práce podľa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§ 120 Zákonníka práce, ako aj zmena 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spôsobu určovania náhrady za 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neaktívnu časť pracovnej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pohotovos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ti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(§ 96 ods. 5 Zákonníka práce)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, mzdového zvýhodnenia za prácu v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sobotu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(§ 122a Zákonníka práce)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, mzdového zvýhodnenia za prácu v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nedeľu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(§ 122b Zákonníka práce)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, mzdového zvýhodnenia za nočnú prácu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(§ 123 Zákonníka práce)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mzdovej kompenzácie za sťažený výkon práce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(§ 124 Zákonníka práce) 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a zvýšenia odmeny za prácu vo sviatok zamestnancov, ktorí vykonávajú prácu na základe dohôd o prácach vykonávaných mimo pracovného pomeru</w:t>
      </w:r>
      <w:r w:rsidR="00844C91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(§ 223 ods. 2 Zákonníka práce)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</w:p>
    <w:p w14:paraId="78C3F9F6" w14:textId="77777777" w:rsidR="00065B6E" w:rsidRPr="004A5970" w:rsidRDefault="00065B6E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D14F086" w14:textId="6BD2894C" w:rsidR="005245C6" w:rsidRPr="004A5970" w:rsidRDefault="005245C6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Aktuálna </w:t>
      </w:r>
      <w:r w:rsidR="00065B6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právna 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úprava v daných oblastiach bola zavedená zákonom č. 294/2020 Z. z., ktorým sa mení a dopĺňa zákon č. 663/2007 Z. z. o minimálnej mzde v znení neskorších predpisov a ktorým sa mení a dopĺňa zákon č. 311/2001 Z. z. Zákonník práce v znení neskorších predpisov. </w:t>
      </w:r>
      <w:r w:rsidR="00D01DD2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Uvedeným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zákonom sa ustanovili sumy </w:t>
      </w:r>
      <w:r w:rsidR="00D01DD2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náhrady za pracovnú pohotovosť, mzdového zvýhodnenia za prácu v sobotu, mzdového zvýhodnenia za prácu v nedeľu, mzdového zvýhodnenia za nočnú prácu, mzdovej kompenzácie za sťažený výkon práce a</w:t>
      </w:r>
      <w:r w:rsidR="00F9483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 zvýšenia </w:t>
      </w:r>
      <w:r w:rsidR="00D01DD2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odmeny za prácu vo sviatok zamestnancov, ktorí vykonávajú prácu na základe dohôd o prácach vykonávaných mimo pracovného pomeru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, pevnou sumou, pričom výpočet týchto súm vychádza</w:t>
      </w:r>
      <w:r w:rsidR="00D01DD2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l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zo sumy minimálnej mzdy na rok 2021. Zároveň </w:t>
      </w:r>
      <w:r w:rsidR="00D01DD2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uvedený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zákon nárast minimálnych mzdových nárokov od roku 2021 naviaza</w:t>
      </w:r>
      <w:r w:rsidR="00D01DD2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l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medziročnú zmenu mesačnej minimálnej mzdy a ich suma rastie o</w:t>
      </w:r>
      <w:r w:rsidR="00F9483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 nárast sumy minimálnej mzdy</w:t>
      </w: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medzi jednotlivými kalendárnymi rokmi. Uvedený zákon reagoval na osobitný nepredvídateľný vývoj v Slovenskej republike.</w:t>
      </w:r>
    </w:p>
    <w:p w14:paraId="056369B4" w14:textId="02DCA66E" w:rsidR="00D01DD2" w:rsidRPr="004A5970" w:rsidRDefault="00D01DD2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5E97904" w14:textId="6E25FD2F" w:rsidR="00D01DD2" w:rsidRPr="004A5970" w:rsidRDefault="00D01DD2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Účelom predloženého poslaneckého návrhu zákona je naviazanie výpočtu určovania minimálnych mzdových nárokov a vyššie uvedených mzdových zvýhodnení za prácu na sumu minimálnej mzdy platnú v čase ich poskytovania. Predloženým poslaneckým návrhom sa teda navrhuje nastoliť právny stav platný pred prijatím zákona č. 294/2020 Z. z.</w:t>
      </w:r>
    </w:p>
    <w:p w14:paraId="1BCED799" w14:textId="21F3B32B" w:rsidR="00652C1A" w:rsidRPr="004A5970" w:rsidRDefault="00652C1A" w:rsidP="004A5970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B39867F" w14:textId="77777777" w:rsidR="005D3B74" w:rsidRPr="004A5970" w:rsidRDefault="005D3B74" w:rsidP="004A5970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931DC20" w14:textId="77777777" w:rsidR="00C22734" w:rsidRPr="004A5970" w:rsidRDefault="00C22734" w:rsidP="004A5970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Stanovisko</w:t>
      </w:r>
    </w:p>
    <w:p w14:paraId="38D6A5C5" w14:textId="77777777" w:rsidR="00C22734" w:rsidRPr="004A5970" w:rsidRDefault="00C22734" w:rsidP="004A5970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0EE1B9E7" w14:textId="77777777" w:rsidR="00844C91" w:rsidRPr="004A5970" w:rsidRDefault="005245C6" w:rsidP="004A597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Podľa súčasného znenia § 120 Zákonníka práce nárast minimálnych mzdových nárokov je naviazaný na medziročnú zmenu minimálnej mzdy. Suma minimálnych mzdových nárokov každoročne rastie o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nárast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sumy minimálnej mzdy medzi jednotlivými kalendárnymi rokmi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, čím je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zabezpeč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ená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každoročn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á valorizácia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súm minimálnych mzdových nárokov. Sumy minimálnych mzdových nárokov pre nasledujúci kalendárny rok sa podľa § 120 ods. 8 Zákonníka práce oznamujú v Zbierke zákonov Slovenskej republiky najneskôr do 1. novembra príslušného kalendárneho roka. V súlade s týmto ustanovením boli sumy minimálnych mzdových nárokov na rok 2023 oznámené v Zbierke zákonov Slovenskej republiky oznámením Ministerstva práce, sociálnych vecí a rodiny Slovenskej republiky č. 301/2022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Z. z.</w:t>
      </w:r>
    </w:p>
    <w:p w14:paraId="1F71C076" w14:textId="77777777" w:rsidR="00844C91" w:rsidRPr="004A5970" w:rsidRDefault="00844C91" w:rsidP="004A597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8C3C09" w14:textId="704C6269" w:rsidR="005245C6" w:rsidRPr="004A5970" w:rsidRDefault="005245C6" w:rsidP="004A5970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V súčasnosti je suma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náhrady za neaktívnu časť pracovnej pohotovosti, suma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mzdového zvýhodnenia za prácu v sobotu, suma mzdového zvýhodnenia za prácu v nedeľu, suma mzdového zvýhodnenia za nočnú prácu, suma mzdovej kompenzácie za sťažený výkon práce a suma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zvýšenia odmeny </w:t>
      </w:r>
      <w:r w:rsidR="00F9483E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prácu vo sviatok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zamestnanc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pracujúc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ic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h na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základe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doh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>ôd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o prácach vykonávaných mimo pracovného pomeru určená pevnou sumou. Aktuálne sumy </w:t>
      </w:r>
      <w:r w:rsidR="00844C9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uvedených mzdových zvýhodnení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vychádzali zo sumy minimálnej mzdy pre rok 2021. Stanovenie pevných súm </w:t>
      </w:r>
      <w:r w:rsidR="00147084" w:rsidRPr="004A5970">
        <w:rPr>
          <w:rFonts w:ascii="Times New Roman" w:hAnsi="Times New Roman" w:cs="Times New Roman"/>
          <w:sz w:val="24"/>
          <w:szCs w:val="24"/>
          <w:lang w:val="sk-SK"/>
        </w:rPr>
        <w:t>týchto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mzdových zvýhodnení reagovalo na osobitný nepredvídateľný vývoj v</w:t>
      </w:r>
      <w:r w:rsidR="00F9483E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 Slovenskej republike v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roku 2020 v súvislosti s pandémiou Covid-19, ktorá mohla pretrvávať aj v ďalších rokoch. V tejto súvislosti možno konštatovať, že dôvody vedúce k uvádzanej legislatívnej úprave, t. j. osobitný nepredvídateľný vývoj v Slovenskej republike, nepominuli a naďalej pretrvávajú, pričom </w:t>
      </w:r>
      <w:r w:rsidR="00F9483E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Ministerstvo práce, sociálnych vecí a rodiny Slovenskej republiky</w:t>
      </w:r>
      <w:r w:rsidR="00F9483E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ich pravidelne vyhodnocuje.</w:t>
      </w:r>
    </w:p>
    <w:p w14:paraId="5A2843C4" w14:textId="3657AB1B" w:rsidR="00D33CDB" w:rsidRPr="004A5970" w:rsidRDefault="00D33CDB" w:rsidP="004A59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C4BEFF7" w14:textId="77777777" w:rsidR="00C35B33" w:rsidRPr="004A5970" w:rsidRDefault="00C35B33" w:rsidP="004A597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9FA5765" w14:textId="24864894" w:rsidR="00FE63CB" w:rsidRPr="004A5970" w:rsidRDefault="006A1867" w:rsidP="004A5970">
      <w:pPr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Ministerstvo práce, sociálnych vecí a rodiny Slovenskej republiky</w:t>
      </w:r>
      <w:r w:rsidRPr="004A597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FE63CB" w:rsidRPr="004A5970">
        <w:rPr>
          <w:rFonts w:ascii="Times New Roman" w:hAnsi="Times New Roman" w:cs="Times New Roman"/>
          <w:bCs/>
          <w:sz w:val="24"/>
          <w:szCs w:val="24"/>
          <w:lang w:val="sk-SK"/>
        </w:rPr>
        <w:t>prerokovalo svoje stanovisko k poslaneckému návrhu zákona v súlade s čl. 31 Legislatívnych pravidiel vlády Slovenskej republiky v pripomienkovom konaní. V rámci pripomienkového konania boli uplatnené tieto zásadné pripomienky:</w:t>
      </w:r>
    </w:p>
    <w:p w14:paraId="644CFFA4" w14:textId="7FF13D86" w:rsidR="00FE63CB" w:rsidRPr="004A5970" w:rsidRDefault="00FE63CB" w:rsidP="004A5970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64D22B99" w14:textId="5A6418A6" w:rsidR="00C35B33" w:rsidRPr="004A5970" w:rsidRDefault="00C35B33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bCs/>
          <w:sz w:val="24"/>
          <w:szCs w:val="24"/>
          <w:lang w:val="sk-SK"/>
        </w:rPr>
        <w:t>Ministerstvo hospodárstva Slovenskej republiky</w:t>
      </w:r>
      <w:r w:rsidRPr="004A597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nesúhlasí s predloženým poslaneckým návrhom.</w:t>
      </w:r>
    </w:p>
    <w:p w14:paraId="114C2103" w14:textId="77777777" w:rsidR="00C35B33" w:rsidRPr="004A5970" w:rsidRDefault="00C35B33" w:rsidP="004A5970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253FE35F" w14:textId="5A5E8C45" w:rsidR="00FE63CB" w:rsidRPr="004A5970" w:rsidRDefault="00FE63CB" w:rsidP="004A5970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bCs/>
          <w:sz w:val="24"/>
          <w:szCs w:val="24"/>
          <w:lang w:val="sk-SK"/>
        </w:rPr>
        <w:t>Ministerstvo financií Slovenskej republiky</w:t>
      </w:r>
      <w:r w:rsidRPr="004A597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sa nestotožňuje s tvrdením uvedeným v doložke vplyvov, že návrh bude mať len pozitívny vplyv na rozpočet verejnej správy. Návrh zákona bude mať, v prípade jeho schválenia, okrem pozitívneho vplyvu v súvislosti so zvýšením odvodových príjmov aj negatívny vplyv na rozpočet verejnej správy v nadväznosti na zvýšenie mzdových výdavkov zamestnancov verejného sektora. V súlade s § 33 ods. 1 zákona č. 523/2004 Z. z. o rozpočtových pravidlách verejnej správy a o zmene a doplnení niektorých zákonov v znení neskorších predpisov je potrebné uviesť a zdôvodniť predpokladané finančné dôsledky na rozpočet verejnej správy, a to nielen na bežný rok, ale aj na tri nasledujúce rozpočtové roky. Spolu s tým musia byť uvedené aj návrhy na úhradu zvýšených výdavkov. V </w:t>
      </w:r>
      <w:r w:rsidRPr="004A5970">
        <w:rPr>
          <w:rFonts w:ascii="Times New Roman" w:hAnsi="Times New Roman" w:cs="Times New Roman"/>
          <w:bCs/>
          <w:sz w:val="24"/>
          <w:szCs w:val="24"/>
          <w:lang w:val="sk-SK"/>
        </w:rPr>
        <w:lastRenderedPageBreak/>
        <w:t>prípade schválenia návrhu zákona dôjde k nekrytému vplyvu na rozpočet verejnej správy, pretože návrh rozpočtu verejnej správy na roky 2023 až 2025 s predmetnými výdavkami neuvažuje. S nekrytým vplyvom na rozpočet verejnej správy Ministerstvo financií Slovenskej republiky nesúhlasí.</w:t>
      </w:r>
    </w:p>
    <w:p w14:paraId="02D96D12" w14:textId="77777777" w:rsidR="00FE63CB" w:rsidRPr="004A5970" w:rsidRDefault="00FE63CB" w:rsidP="004A5970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3E702B77" w14:textId="20048BE2" w:rsidR="00FE63CB" w:rsidRPr="004A5970" w:rsidRDefault="00FE63CB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sz w:val="24"/>
          <w:szCs w:val="24"/>
          <w:lang w:val="sk-SK"/>
        </w:rPr>
        <w:t>Asociácia zamestnávateľských zväzov a združení Slovenskej republiky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nesúhlasí s predloženým poslaneckým návrhom.</w:t>
      </w:r>
    </w:p>
    <w:p w14:paraId="18DF7378" w14:textId="6AE0310C" w:rsidR="00C35B33" w:rsidRPr="004A5970" w:rsidRDefault="00C35B33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5C6887B" w14:textId="2ABF7C61" w:rsidR="00C35B33" w:rsidRPr="004A5970" w:rsidRDefault="00C35B33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sz w:val="24"/>
          <w:szCs w:val="24"/>
          <w:lang w:val="sk-SK"/>
        </w:rPr>
        <w:t>Republiková únia zamestnávateľov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nesúhlasí s predloženým poslaneckým návrhom.</w:t>
      </w:r>
    </w:p>
    <w:p w14:paraId="0F13687D" w14:textId="44F1E7C3" w:rsidR="00C35B33" w:rsidRPr="004A5970" w:rsidRDefault="00C35B33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F54EA6D" w14:textId="63252A6E" w:rsidR="00C35B33" w:rsidRPr="004A5970" w:rsidRDefault="00C35B33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sz w:val="24"/>
          <w:szCs w:val="24"/>
          <w:lang w:val="sk-SK"/>
        </w:rPr>
        <w:t>Združenie miest a obcí Slovenska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nesúhlasí s predloženým poslaneckým návrhom.</w:t>
      </w:r>
    </w:p>
    <w:p w14:paraId="0C33F1B3" w14:textId="70BA6138" w:rsidR="00FE63CB" w:rsidRPr="004A5970" w:rsidRDefault="00FE63CB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E8FEC06" w14:textId="1392D15F" w:rsidR="00FE63CB" w:rsidRPr="004A5970" w:rsidRDefault="00FE63CB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sz w:val="24"/>
          <w:szCs w:val="24"/>
          <w:lang w:val="sk-SK"/>
        </w:rPr>
        <w:t>Konfederácia odborových zväzov Slovenskej republiky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súhlasí s predloženým poslaneckým návrhom.</w:t>
      </w:r>
    </w:p>
    <w:p w14:paraId="39309A81" w14:textId="1B74B811" w:rsidR="00FE63CB" w:rsidRPr="004A5970" w:rsidRDefault="00FE63CB" w:rsidP="004A597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812C90C" w14:textId="05A44E59" w:rsidR="00AA6A61" w:rsidRPr="004A5970" w:rsidRDefault="00AA6A61" w:rsidP="004A59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Ministerstvo </w:t>
      </w:r>
      <w:r w:rsidR="00820854" w:rsidRPr="004A5970">
        <w:rPr>
          <w:rFonts w:ascii="Times New Roman" w:hAnsi="Times New Roman" w:cs="Times New Roman"/>
          <w:color w:val="000000"/>
          <w:sz w:val="24"/>
          <w:szCs w:val="24"/>
          <w:lang w:val="sk-SK"/>
        </w:rPr>
        <w:t>práce, sociálnych vecí a rodiny Slovenskej republiky</w:t>
      </w:r>
      <w:r w:rsidR="00820854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súčasne odporúča vláde Slovenskej republiky uplatniť nasledujúce legislatívno-technické pripomienky:</w:t>
      </w:r>
    </w:p>
    <w:p w14:paraId="6B15A8F9" w14:textId="760A6C36" w:rsidR="00AA6A61" w:rsidRPr="00857B36" w:rsidRDefault="00AA6A61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57B36">
        <w:rPr>
          <w:rFonts w:ascii="Times New Roman" w:hAnsi="Times New Roman" w:cs="Times New Roman"/>
          <w:sz w:val="24"/>
          <w:szCs w:val="24"/>
          <w:lang w:val="sk-SK"/>
        </w:rPr>
        <w:t>V názve návrhu zákona a úvodnej vete k čl. I sa vypúšťajú slová „a dopĺňa“.</w:t>
      </w:r>
    </w:p>
    <w:p w14:paraId="4C8900FE" w14:textId="4FC7336E" w:rsidR="00A16BB5" w:rsidRPr="004A5970" w:rsidRDefault="00A16BB5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>V úvodnej vete k čl. I sa slová „zákona č. 76/2021 Z. z. a zákona č. 215/2021 Z. z., 407/2021 Z. z., 412/2021 Z. z., 539/2021 Z. z., 82/2022 Z. z., 125/2022 Z. z.“ nahrádzajú slovami „zákona č. 76/2021 Z. z., zákona č. 215/2021 Z. z., zákona č. 407/2021 Z. z., zákona č. 412/2021 Z. z., uznesenia Ústavného súdu Slovenskej republiky č. 539/2021 Z. z., zákona č. 82/2022 Z. z., zákona č. 125/2022 Z. z., zákona č. 222/2022 Z. z. a zákona č. 248/2022 Z. z.“.</w:t>
      </w:r>
    </w:p>
    <w:p w14:paraId="53008052" w14:textId="2AFEDCBC" w:rsidR="00A16BB5" w:rsidRPr="004A5970" w:rsidRDefault="00A16BB5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>V čl. I bode 1 úvodnej vete sa slová „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§ 120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ods. 4“ nahrádzajú slovami „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V § 120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odsek 4“.</w:t>
      </w:r>
    </w:p>
    <w:p w14:paraId="6C36F840" w14:textId="48FFFF98" w:rsidR="007E230E" w:rsidRDefault="007E230E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čl. I bode 1 § 120 ods. 4 sa slovo </w:t>
      </w:r>
      <w:r w:rsidR="00FD6C0A">
        <w:rPr>
          <w:rFonts w:ascii="Times New Roman" w:hAnsi="Times New Roman" w:cs="Times New Roman"/>
          <w:sz w:val="24"/>
          <w:szCs w:val="24"/>
          <w:lang w:val="sk-SK"/>
        </w:rPr>
        <w:t xml:space="preserve">„Sadzba“ nahrádza slovom „Suma“ a slovo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„násobkom“ </w:t>
      </w:r>
      <w:r w:rsidR="00FD6C0A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sk-SK"/>
        </w:rPr>
        <w:t>nahrádza slovom „súčinom“.</w:t>
      </w:r>
    </w:p>
    <w:p w14:paraId="5906998B" w14:textId="2E2B22EF" w:rsidR="007860DA" w:rsidRPr="004A5970" w:rsidRDefault="007860DA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>V čl. I</w:t>
      </w:r>
      <w:r w:rsidR="0076646B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 sa spájajú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body 2 až 4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>. Úvodná veta k spojeným bodom 2 až 4 znie: „§ 122a, § 122b a</w:t>
      </w:r>
      <w:r w:rsidR="004A597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>123 vrátane nadpisov znejú:“.</w:t>
      </w:r>
    </w:p>
    <w:p w14:paraId="481F35AE" w14:textId="77777777" w:rsidR="00041B47" w:rsidRPr="004A5970" w:rsidRDefault="00041B47" w:rsidP="00B90FC5">
      <w:pPr>
        <w:spacing w:before="120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Nasledujúce body sa primerane preznačia. </w:t>
      </w:r>
    </w:p>
    <w:p w14:paraId="3062DCC9" w14:textId="0DC4F5A3" w:rsidR="007860DA" w:rsidRPr="004A5970" w:rsidRDefault="007860DA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>V čl. I bode 5 úvodnej vete sa slová „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§ 124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ods. 3“ nahrádzajú slovami „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V § 124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odsek 3“.</w:t>
      </w:r>
    </w:p>
    <w:p w14:paraId="6C4FD335" w14:textId="7F149691" w:rsidR="007860DA" w:rsidRPr="004A5970" w:rsidRDefault="007860DA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>V čl. I sa bod 6 zaradí pred bod 1 a v úvodnej vete sa slová „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§ 96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ods. 5“ nahrádzajú slovami „</w:t>
      </w:r>
      <w:r w:rsidR="002C6071"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V § 96 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odsek 5“.</w:t>
      </w:r>
    </w:p>
    <w:p w14:paraId="5A63A7C5" w14:textId="7FEE92FB" w:rsidR="007860DA" w:rsidRDefault="007860DA" w:rsidP="00B90FC5">
      <w:pPr>
        <w:pStyle w:val="Odsekzoznamu"/>
        <w:numPr>
          <w:ilvl w:val="0"/>
          <w:numId w:val="9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sz w:val="24"/>
          <w:szCs w:val="24"/>
          <w:lang w:val="sk-SK"/>
        </w:rPr>
        <w:t>V čl. I bode 7 sa slová „sa slová „Zamestnancom, ktorí vykonávajú prácu na základe dohôd o</w:t>
      </w:r>
      <w:r w:rsidR="004A597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prácach vykonávaných mimo pracovného pomeru, patrí za každú hodinu práce vo sviatok dohodnutá odmena zvýšená najmenej o 3,58 eura.“ menia na slová</w:t>
      </w:r>
      <w:r w:rsidR="0076646B" w:rsidRPr="004A5970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 xml:space="preserve"> nahrádzajú slovami </w:t>
      </w:r>
      <w:r w:rsidR="0076646B" w:rsidRPr="004A5970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štvrtá veta znie:</w:t>
      </w:r>
      <w:r w:rsidR="0076646B" w:rsidRPr="004A5970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4A597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E89A1EA" w14:textId="10B6E094" w:rsidR="00D02516" w:rsidRPr="00820854" w:rsidRDefault="00D02516" w:rsidP="0082085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2D24AAE" w14:textId="6CCC292E" w:rsidR="00820854" w:rsidRPr="00820854" w:rsidRDefault="00820854" w:rsidP="0082085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20854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Ministerstvo práce, sociálnych vecí a rodiny Slovenskej republiky zároveň upozorňuje, že v poslaneckom návrhu zákona je potrebné vysporiadať sa s tým, že sumy minimálnych mzdových nárokov na rok 2023 už boli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 súlade s § 120 ods. 8 Zákonníka práce </w:t>
      </w:r>
      <w:r w:rsidRPr="00820854">
        <w:rPr>
          <w:rFonts w:ascii="Times New Roman" w:hAnsi="Times New Roman" w:cs="Times New Roman"/>
          <w:sz w:val="24"/>
          <w:szCs w:val="24"/>
          <w:lang w:val="sk-SK"/>
        </w:rPr>
        <w:t xml:space="preserve">zverejnené oznámením Ministerstva práce, sociálnych vecí a rodiny Slovenskej republiky </w:t>
      </w:r>
      <w:r w:rsidR="00B90FC5">
        <w:rPr>
          <w:rFonts w:ascii="Times New Roman" w:hAnsi="Times New Roman" w:cs="Times New Roman"/>
          <w:sz w:val="24"/>
          <w:szCs w:val="24"/>
          <w:lang w:val="sk-SK"/>
        </w:rPr>
        <w:t>č. 301/2022 Z. z.</w:t>
      </w:r>
      <w:r w:rsidRPr="0082085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63D6DBE" w14:textId="497CB481" w:rsidR="00F7386F" w:rsidRDefault="00F7386F" w:rsidP="00B90FC5">
      <w:pPr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25970C" w14:textId="77777777" w:rsidR="00B90FC5" w:rsidRPr="00820854" w:rsidRDefault="00B90FC5" w:rsidP="00B90FC5">
      <w:pPr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D35420" w14:textId="77777777" w:rsidR="00844FD9" w:rsidRPr="004A5970" w:rsidRDefault="00CF3B2C" w:rsidP="004A5970">
      <w:pPr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Záver</w:t>
      </w:r>
    </w:p>
    <w:p w14:paraId="184F371B" w14:textId="77777777" w:rsidR="00CF3B2C" w:rsidRPr="004A5970" w:rsidRDefault="00CF3B2C" w:rsidP="004A5970">
      <w:pPr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FE29C69" w14:textId="0E7ED286" w:rsidR="00C35B33" w:rsidRPr="004A5970" w:rsidRDefault="004B02C3" w:rsidP="00B90FC5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Vzhľadom na uvedené </w:t>
      </w:r>
      <w:r w:rsidR="00C35B33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stanovisko </w:t>
      </w:r>
      <w:r w:rsidR="00CF3B2C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Ministerstvo práce, sociálnych vecí a rodin</w:t>
      </w:r>
      <w:r w:rsidR="003B6C38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y Slovenskej republiky odporúča </w:t>
      </w:r>
      <w:r w:rsidR="00CF3B2C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vláde Slovenskej republiky vysloviť s </w:t>
      </w:r>
      <w:r w:rsidR="00D33CDB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návrh</w:t>
      </w:r>
      <w:r w:rsidR="005D3B74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om</w:t>
      </w:r>
      <w:r w:rsidR="00D33CDB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5245C6" w:rsidRPr="004A59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k-SK"/>
        </w:rPr>
        <w:t>poslancov Národnej rady Slovenskej republiky Martina Nemkyho a Borisa Suska na vydanie zákona, ktorým sa mení a dopĺňa zákon</w:t>
      </w:r>
      <w:r w:rsidR="00C35B33" w:rsidRPr="004A59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k-SK"/>
        </w:rPr>
        <w:t xml:space="preserve"> </w:t>
      </w:r>
      <w:r w:rsidR="005245C6" w:rsidRPr="004A5970">
        <w:rPr>
          <w:rFonts w:ascii="Times New Roman" w:hAnsi="Times New Roman" w:cs="Times New Roman"/>
          <w:bCs/>
          <w:color w:val="000000" w:themeColor="text1"/>
          <w:sz w:val="24"/>
          <w:szCs w:val="24"/>
          <w:lang w:val="sk-SK"/>
        </w:rPr>
        <w:t>č. 311/2001 Z. z. Zákonník práce v znení neskorších predpisov (tlač 1141)</w:t>
      </w:r>
      <w:r w:rsidR="00BC6CAD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7D69D9" w:rsidRPr="004A5970">
        <w:rPr>
          <w:rFonts w:ascii="Times New Roman" w:hAnsi="Times New Roman" w:cs="Times New Roman"/>
          <w:b/>
          <w:sz w:val="24"/>
          <w:szCs w:val="24"/>
          <w:lang w:val="sk-SK"/>
        </w:rPr>
        <w:t>nesúhlas</w:t>
      </w:r>
      <w:r w:rsidR="00CF3B2C" w:rsidRPr="004A597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sectPr w:rsidR="00C35B33" w:rsidRPr="004A5970" w:rsidSect="00711B5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BEBA" w14:textId="77777777" w:rsidR="00F256DA" w:rsidRDefault="00F256DA" w:rsidP="00AA4C7F">
      <w:r>
        <w:separator/>
      </w:r>
    </w:p>
  </w:endnote>
  <w:endnote w:type="continuationSeparator" w:id="0">
    <w:p w14:paraId="54DDA213" w14:textId="77777777" w:rsidR="00F256DA" w:rsidRDefault="00F256DA" w:rsidP="00AA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202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AF0791" w14:textId="3922B4B7" w:rsidR="00AA4C7F" w:rsidRPr="00DC7EF6" w:rsidRDefault="00AA4C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7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E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791A" w:rsidRPr="0030791A">
          <w:rPr>
            <w:rFonts w:ascii="Times New Roman" w:hAnsi="Times New Roman" w:cs="Times New Roman"/>
            <w:noProof/>
            <w:sz w:val="24"/>
            <w:szCs w:val="24"/>
            <w:lang w:val="sk-SK"/>
          </w:rPr>
          <w:t>1</w:t>
        </w:r>
        <w:r w:rsidRPr="00DC7E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8ACB" w14:textId="77777777" w:rsidR="00F256DA" w:rsidRDefault="00F256DA" w:rsidP="00AA4C7F">
      <w:r>
        <w:separator/>
      </w:r>
    </w:p>
  </w:footnote>
  <w:footnote w:type="continuationSeparator" w:id="0">
    <w:p w14:paraId="52652D47" w14:textId="77777777" w:rsidR="00F256DA" w:rsidRDefault="00F256DA" w:rsidP="00AA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9C"/>
    <w:multiLevelType w:val="hybridMultilevel"/>
    <w:tmpl w:val="D6EE13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6A61031"/>
    <w:multiLevelType w:val="hybridMultilevel"/>
    <w:tmpl w:val="C368FD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67F6D"/>
    <w:multiLevelType w:val="hybridMultilevel"/>
    <w:tmpl w:val="F9FCBE04"/>
    <w:lvl w:ilvl="0" w:tplc="D16CC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35429"/>
    <w:multiLevelType w:val="hybridMultilevel"/>
    <w:tmpl w:val="D8A6D042"/>
    <w:lvl w:ilvl="0" w:tplc="DB222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C59AB"/>
    <w:multiLevelType w:val="hybridMultilevel"/>
    <w:tmpl w:val="56C0601C"/>
    <w:lvl w:ilvl="0" w:tplc="800859D4">
      <w:start w:val="1"/>
      <w:numFmt w:val="lowerLetter"/>
      <w:lvlText w:val="5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0B1F"/>
    <w:multiLevelType w:val="hybridMultilevel"/>
    <w:tmpl w:val="90BCFD08"/>
    <w:lvl w:ilvl="0" w:tplc="4C2247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C4C97"/>
    <w:multiLevelType w:val="hybridMultilevel"/>
    <w:tmpl w:val="F9EA0C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E7247"/>
    <w:multiLevelType w:val="hybridMultilevel"/>
    <w:tmpl w:val="9FA63E2E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5"/>
    <w:rsid w:val="00021155"/>
    <w:rsid w:val="00026D66"/>
    <w:rsid w:val="00041B47"/>
    <w:rsid w:val="00054C2A"/>
    <w:rsid w:val="0005522B"/>
    <w:rsid w:val="00065B6E"/>
    <w:rsid w:val="00086D3B"/>
    <w:rsid w:val="000A5511"/>
    <w:rsid w:val="000C76D0"/>
    <w:rsid w:val="000D72FD"/>
    <w:rsid w:val="000E61D2"/>
    <w:rsid w:val="00104BE6"/>
    <w:rsid w:val="00122250"/>
    <w:rsid w:val="001243DD"/>
    <w:rsid w:val="00147084"/>
    <w:rsid w:val="00171E7B"/>
    <w:rsid w:val="001C6E27"/>
    <w:rsid w:val="001E1430"/>
    <w:rsid w:val="0020536C"/>
    <w:rsid w:val="00212E9C"/>
    <w:rsid w:val="002443E1"/>
    <w:rsid w:val="00256C71"/>
    <w:rsid w:val="00272FF0"/>
    <w:rsid w:val="0027384C"/>
    <w:rsid w:val="00297700"/>
    <w:rsid w:val="002C6071"/>
    <w:rsid w:val="002F6626"/>
    <w:rsid w:val="0030791A"/>
    <w:rsid w:val="00322A45"/>
    <w:rsid w:val="00326DD3"/>
    <w:rsid w:val="00333618"/>
    <w:rsid w:val="003354A6"/>
    <w:rsid w:val="00346779"/>
    <w:rsid w:val="00363913"/>
    <w:rsid w:val="00372829"/>
    <w:rsid w:val="003B6C38"/>
    <w:rsid w:val="003C23FD"/>
    <w:rsid w:val="003E572A"/>
    <w:rsid w:val="00407C1D"/>
    <w:rsid w:val="0042465F"/>
    <w:rsid w:val="004264AA"/>
    <w:rsid w:val="0044796C"/>
    <w:rsid w:val="0046128F"/>
    <w:rsid w:val="00463C4B"/>
    <w:rsid w:val="004646E3"/>
    <w:rsid w:val="004668AF"/>
    <w:rsid w:val="004A5970"/>
    <w:rsid w:val="004B02C3"/>
    <w:rsid w:val="004B06FC"/>
    <w:rsid w:val="004E2B5D"/>
    <w:rsid w:val="005245C6"/>
    <w:rsid w:val="00535040"/>
    <w:rsid w:val="005461EC"/>
    <w:rsid w:val="00551D73"/>
    <w:rsid w:val="0055335B"/>
    <w:rsid w:val="005626D4"/>
    <w:rsid w:val="00575CA5"/>
    <w:rsid w:val="0058208E"/>
    <w:rsid w:val="005D374C"/>
    <w:rsid w:val="005D3B74"/>
    <w:rsid w:val="005E1B21"/>
    <w:rsid w:val="00603C2D"/>
    <w:rsid w:val="00614C85"/>
    <w:rsid w:val="00621E19"/>
    <w:rsid w:val="00626C51"/>
    <w:rsid w:val="00644C13"/>
    <w:rsid w:val="006465BE"/>
    <w:rsid w:val="00652C1A"/>
    <w:rsid w:val="0068647E"/>
    <w:rsid w:val="006A1867"/>
    <w:rsid w:val="006B76F7"/>
    <w:rsid w:val="006E6CDF"/>
    <w:rsid w:val="006E7810"/>
    <w:rsid w:val="00706CB8"/>
    <w:rsid w:val="00711B5D"/>
    <w:rsid w:val="00737BBB"/>
    <w:rsid w:val="00750D65"/>
    <w:rsid w:val="00751AB8"/>
    <w:rsid w:val="0076646B"/>
    <w:rsid w:val="00775D8B"/>
    <w:rsid w:val="007770D9"/>
    <w:rsid w:val="00781AFA"/>
    <w:rsid w:val="0078419F"/>
    <w:rsid w:val="007860DA"/>
    <w:rsid w:val="0079505E"/>
    <w:rsid w:val="00796DB7"/>
    <w:rsid w:val="007D69D9"/>
    <w:rsid w:val="007E230E"/>
    <w:rsid w:val="007F2F2E"/>
    <w:rsid w:val="00817BB3"/>
    <w:rsid w:val="00820854"/>
    <w:rsid w:val="008232EB"/>
    <w:rsid w:val="00825D90"/>
    <w:rsid w:val="00836673"/>
    <w:rsid w:val="00844C91"/>
    <w:rsid w:val="00844FD9"/>
    <w:rsid w:val="008530A3"/>
    <w:rsid w:val="00857B36"/>
    <w:rsid w:val="00870AAD"/>
    <w:rsid w:val="00876FE6"/>
    <w:rsid w:val="008A2A35"/>
    <w:rsid w:val="008B1EBD"/>
    <w:rsid w:val="008D6B2D"/>
    <w:rsid w:val="008E5E7F"/>
    <w:rsid w:val="00900FE6"/>
    <w:rsid w:val="0091343A"/>
    <w:rsid w:val="00931E1C"/>
    <w:rsid w:val="00986D1E"/>
    <w:rsid w:val="009A4E76"/>
    <w:rsid w:val="009E35F1"/>
    <w:rsid w:val="009F1D13"/>
    <w:rsid w:val="00A0103E"/>
    <w:rsid w:val="00A04418"/>
    <w:rsid w:val="00A05F6A"/>
    <w:rsid w:val="00A12BFC"/>
    <w:rsid w:val="00A16BB5"/>
    <w:rsid w:val="00A3165E"/>
    <w:rsid w:val="00A45455"/>
    <w:rsid w:val="00A70F56"/>
    <w:rsid w:val="00A80EB7"/>
    <w:rsid w:val="00AA4C7F"/>
    <w:rsid w:val="00AA6A61"/>
    <w:rsid w:val="00AA74B0"/>
    <w:rsid w:val="00AB714E"/>
    <w:rsid w:val="00AC2410"/>
    <w:rsid w:val="00AE0325"/>
    <w:rsid w:val="00AE3329"/>
    <w:rsid w:val="00AE3D11"/>
    <w:rsid w:val="00B152BA"/>
    <w:rsid w:val="00B237A8"/>
    <w:rsid w:val="00B352E5"/>
    <w:rsid w:val="00B4552F"/>
    <w:rsid w:val="00B457A4"/>
    <w:rsid w:val="00B515E6"/>
    <w:rsid w:val="00B64539"/>
    <w:rsid w:val="00B70823"/>
    <w:rsid w:val="00B84EA8"/>
    <w:rsid w:val="00B90FC5"/>
    <w:rsid w:val="00BA4687"/>
    <w:rsid w:val="00BC059D"/>
    <w:rsid w:val="00BC6CAD"/>
    <w:rsid w:val="00BE41EF"/>
    <w:rsid w:val="00C22734"/>
    <w:rsid w:val="00C35B33"/>
    <w:rsid w:val="00C509E8"/>
    <w:rsid w:val="00C6360A"/>
    <w:rsid w:val="00C84149"/>
    <w:rsid w:val="00C855BA"/>
    <w:rsid w:val="00C91B79"/>
    <w:rsid w:val="00CA3AEB"/>
    <w:rsid w:val="00CC1EDD"/>
    <w:rsid w:val="00CF3B2C"/>
    <w:rsid w:val="00D01DD2"/>
    <w:rsid w:val="00D02516"/>
    <w:rsid w:val="00D11FD4"/>
    <w:rsid w:val="00D16A1E"/>
    <w:rsid w:val="00D33CDB"/>
    <w:rsid w:val="00D4721A"/>
    <w:rsid w:val="00D5673D"/>
    <w:rsid w:val="00DB0ECE"/>
    <w:rsid w:val="00DC7EF6"/>
    <w:rsid w:val="00DD7492"/>
    <w:rsid w:val="00DE045E"/>
    <w:rsid w:val="00DF2549"/>
    <w:rsid w:val="00E12E3F"/>
    <w:rsid w:val="00E2573E"/>
    <w:rsid w:val="00E40EE4"/>
    <w:rsid w:val="00E45FB4"/>
    <w:rsid w:val="00E575E6"/>
    <w:rsid w:val="00E62A5A"/>
    <w:rsid w:val="00E96CAE"/>
    <w:rsid w:val="00ED0C0E"/>
    <w:rsid w:val="00ED2441"/>
    <w:rsid w:val="00ED2675"/>
    <w:rsid w:val="00EE5B3F"/>
    <w:rsid w:val="00EE733A"/>
    <w:rsid w:val="00F0036A"/>
    <w:rsid w:val="00F03C22"/>
    <w:rsid w:val="00F16B68"/>
    <w:rsid w:val="00F256DA"/>
    <w:rsid w:val="00F31C1E"/>
    <w:rsid w:val="00F34E39"/>
    <w:rsid w:val="00F56ED8"/>
    <w:rsid w:val="00F70A91"/>
    <w:rsid w:val="00F7386F"/>
    <w:rsid w:val="00F82401"/>
    <w:rsid w:val="00F9483E"/>
    <w:rsid w:val="00FB52FD"/>
    <w:rsid w:val="00FD2357"/>
    <w:rsid w:val="00FD6BC4"/>
    <w:rsid w:val="00FD6C0A"/>
    <w:rsid w:val="00FE3BD9"/>
    <w:rsid w:val="00FE6038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D0C5"/>
  <w15:docId w15:val="{BAD63A1E-F571-470B-BC3D-CB73FE0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2E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52E5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352E5"/>
    <w:pPr>
      <w:spacing w:after="200" w:line="276" w:lineRule="auto"/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2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C1A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551D73"/>
    <w:rPr>
      <w:rFonts w:ascii="Calibri" w:hAnsi="Calibri" w:cs="Calibri"/>
    </w:rPr>
  </w:style>
  <w:style w:type="paragraph" w:styleId="Normlnywebov">
    <w:name w:val="Normal (Web)"/>
    <w:basedOn w:val="Normlny"/>
    <w:uiPriority w:val="99"/>
    <w:unhideWhenUsed/>
    <w:rsid w:val="00D4721A"/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PostScript">
    <w:name w:val="PostScript"/>
    <w:rsid w:val="004264AA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numbering" w:customStyle="1" w:styleId="WWNum2">
    <w:name w:val="WWNum2"/>
    <w:basedOn w:val="Bezzoznamu"/>
    <w:rsid w:val="004264AA"/>
    <w:pPr>
      <w:numPr>
        <w:numId w:val="5"/>
      </w:numPr>
    </w:pPr>
  </w:style>
  <w:style w:type="paragraph" w:styleId="Hlavika">
    <w:name w:val="header"/>
    <w:basedOn w:val="Normlny"/>
    <w:link w:val="HlavikaChar"/>
    <w:uiPriority w:val="99"/>
    <w:unhideWhenUsed/>
    <w:rsid w:val="00AA4C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C7F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A4C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C7F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AB7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71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714E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71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714E"/>
    <w:rPr>
      <w:rFonts w:ascii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12BF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Cebulakova Monika</cp:lastModifiedBy>
  <cp:revision>2</cp:revision>
  <cp:lastPrinted>2022-10-26T08:50:00Z</cp:lastPrinted>
  <dcterms:created xsi:type="dcterms:W3CDTF">2022-10-27T07:36:00Z</dcterms:created>
  <dcterms:modified xsi:type="dcterms:W3CDTF">2022-10-27T07:36:00Z</dcterms:modified>
</cp:coreProperties>
</file>