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DB" w:rsidRPr="00F452D0" w:rsidRDefault="00DA10DB" w:rsidP="00DA10DB">
      <w:pPr>
        <w:jc w:val="center"/>
        <w:rPr>
          <w:rFonts w:ascii="Times New Roman" w:hAnsi="Times New Roman"/>
          <w:sz w:val="24"/>
          <w:szCs w:val="24"/>
          <w:lang w:eastAsia="en-US"/>
        </w:rPr>
      </w:pPr>
      <w:bookmarkStart w:id="0" w:name="_GoBack"/>
      <w:bookmarkEnd w:id="0"/>
      <w:r w:rsidRPr="00F452D0">
        <w:rPr>
          <w:rFonts w:ascii="Times New Roman" w:hAnsi="Times New Roman"/>
          <w:b/>
          <w:caps/>
          <w:spacing w:val="30"/>
          <w:kern w:val="0"/>
          <w:sz w:val="24"/>
          <w:szCs w:val="24"/>
        </w:rPr>
        <w:t>Predkladacia správa</w:t>
      </w:r>
    </w:p>
    <w:p w:rsidR="00DA10DB" w:rsidRPr="00F452D0" w:rsidRDefault="00DA10DB" w:rsidP="00DA10DB">
      <w:pPr>
        <w:ind w:firstLine="709"/>
        <w:jc w:val="both"/>
        <w:rPr>
          <w:rFonts w:ascii="Times New Roman" w:hAnsi="Times New Roman"/>
          <w:sz w:val="24"/>
          <w:szCs w:val="24"/>
          <w:lang w:eastAsia="en-US"/>
        </w:rPr>
      </w:pPr>
    </w:p>
    <w:p w:rsidR="00DA10DB" w:rsidRPr="00F452D0" w:rsidRDefault="00DA10DB" w:rsidP="00DA10DB">
      <w:pPr>
        <w:ind w:firstLine="709"/>
        <w:jc w:val="both"/>
        <w:rPr>
          <w:rFonts w:ascii="Times New Roman" w:hAnsi="Times New Roman"/>
          <w:sz w:val="24"/>
          <w:szCs w:val="24"/>
          <w:lang w:eastAsia="en-US"/>
        </w:rPr>
      </w:pPr>
      <w:r w:rsidRPr="00F452D0">
        <w:rPr>
          <w:rFonts w:ascii="Times New Roman" w:hAnsi="Times New Roman"/>
          <w:sz w:val="24"/>
          <w:szCs w:val="24"/>
          <w:lang w:eastAsia="en-US"/>
        </w:rPr>
        <w:t xml:space="preserve">Na základe § 70 ods. 2 zákona Národnej rady Slovenskej republiky č. 350/1996 Z. z. o rokovacom poriadku Národnej rady Slovenskej republiky Ministerstvo práce, sociálnych vecí a rodiny Slovenskej republiky (ďalej len „ministerstvo“) ako ústredný orgán štátnej správy pre </w:t>
      </w:r>
      <w:r w:rsidR="00EF26BE" w:rsidRPr="00F452D0">
        <w:rPr>
          <w:rFonts w:ascii="Times New Roman" w:hAnsi="Times New Roman"/>
          <w:sz w:val="24"/>
          <w:szCs w:val="24"/>
          <w:lang w:eastAsia="en-US"/>
        </w:rPr>
        <w:t>doplnkové dôchodkové sporenie</w:t>
      </w:r>
      <w:r w:rsidRPr="00F452D0">
        <w:rPr>
          <w:rFonts w:ascii="Times New Roman" w:hAnsi="Times New Roman"/>
          <w:sz w:val="24"/>
          <w:szCs w:val="24"/>
          <w:lang w:eastAsia="en-US"/>
        </w:rPr>
        <w:t xml:space="preserve"> predkladá na rokovanie vlády Slovenskej republiky návrh skupiny poslancov Národnej rady Slovenskej republiky na vydanie zákona, </w:t>
      </w:r>
      <w:r w:rsidRPr="00F452D0">
        <w:rPr>
          <w:rFonts w:ascii="Times New Roman" w:hAnsi="Times New Roman"/>
          <w:bCs/>
          <w:sz w:val="24"/>
          <w:szCs w:val="24"/>
          <w:lang w:eastAsia="en-US"/>
        </w:rPr>
        <w:t xml:space="preserve">ktorým sa </w:t>
      </w:r>
      <w:r w:rsidRPr="00F452D0">
        <w:rPr>
          <w:rFonts w:ascii="Times New Roman" w:hAnsi="Times New Roman"/>
          <w:sz w:val="24"/>
          <w:szCs w:val="24"/>
          <w:lang w:eastAsia="en-US"/>
        </w:rPr>
        <w:t xml:space="preserve">mení zákon č. </w:t>
      </w:r>
      <w:r w:rsidR="00EF26BE" w:rsidRPr="00F452D0">
        <w:rPr>
          <w:rFonts w:ascii="Times New Roman" w:hAnsi="Times New Roman"/>
          <w:sz w:val="24"/>
          <w:szCs w:val="24"/>
          <w:lang w:eastAsia="en-US"/>
        </w:rPr>
        <w:t>650</w:t>
      </w:r>
      <w:r w:rsidRPr="00F452D0">
        <w:rPr>
          <w:rFonts w:ascii="Times New Roman" w:hAnsi="Times New Roman"/>
          <w:sz w:val="24"/>
          <w:szCs w:val="24"/>
          <w:lang w:eastAsia="en-US"/>
        </w:rPr>
        <w:t>/200</w:t>
      </w:r>
      <w:r w:rsidR="00EF26BE" w:rsidRPr="00F452D0">
        <w:rPr>
          <w:rFonts w:ascii="Times New Roman" w:hAnsi="Times New Roman"/>
          <w:sz w:val="24"/>
          <w:szCs w:val="24"/>
          <w:lang w:eastAsia="en-US"/>
        </w:rPr>
        <w:t>4</w:t>
      </w:r>
      <w:r w:rsidRPr="00F452D0">
        <w:rPr>
          <w:rFonts w:ascii="Times New Roman" w:hAnsi="Times New Roman"/>
          <w:sz w:val="24"/>
          <w:szCs w:val="24"/>
          <w:lang w:eastAsia="en-US"/>
        </w:rPr>
        <w:t xml:space="preserve"> Z. z. o</w:t>
      </w:r>
      <w:r w:rsidR="00EF26BE" w:rsidRPr="00F452D0">
        <w:rPr>
          <w:rFonts w:ascii="Times New Roman" w:hAnsi="Times New Roman"/>
          <w:sz w:val="24"/>
          <w:szCs w:val="24"/>
          <w:lang w:eastAsia="en-US"/>
        </w:rPr>
        <w:t> doplnkovom dôchodkovom sporení a o zmene a doplnení niektorých zákonov</w:t>
      </w:r>
      <w:r w:rsidRPr="00F452D0">
        <w:rPr>
          <w:rFonts w:ascii="Times New Roman" w:hAnsi="Times New Roman"/>
          <w:sz w:val="24"/>
          <w:szCs w:val="24"/>
          <w:lang w:eastAsia="en-US"/>
        </w:rPr>
        <w:t xml:space="preserve"> v znení neskorších predpisov (tlač </w:t>
      </w:r>
      <w:r w:rsidR="00EF26BE" w:rsidRPr="00F452D0">
        <w:rPr>
          <w:rFonts w:ascii="Times New Roman" w:hAnsi="Times New Roman"/>
          <w:sz w:val="24"/>
          <w:szCs w:val="24"/>
          <w:lang w:eastAsia="en-US"/>
        </w:rPr>
        <w:t>1120</w:t>
      </w:r>
      <w:r w:rsidRPr="00F452D0">
        <w:rPr>
          <w:rFonts w:ascii="Times New Roman" w:hAnsi="Times New Roman"/>
          <w:sz w:val="24"/>
          <w:szCs w:val="24"/>
          <w:lang w:eastAsia="en-US"/>
        </w:rPr>
        <w:t>) (ďalej len „poslanecký návrh“).</w:t>
      </w:r>
    </w:p>
    <w:p w:rsidR="00DA10DB" w:rsidRPr="00F452D0" w:rsidRDefault="00DA10DB" w:rsidP="00DA10DB">
      <w:pPr>
        <w:ind w:firstLine="709"/>
        <w:jc w:val="both"/>
        <w:rPr>
          <w:rFonts w:ascii="Times New Roman" w:hAnsi="Times New Roman"/>
          <w:sz w:val="24"/>
          <w:szCs w:val="24"/>
          <w:lang w:eastAsia="en-US"/>
        </w:rPr>
      </w:pPr>
    </w:p>
    <w:p w:rsidR="00DA10DB" w:rsidRPr="00F452D0" w:rsidRDefault="00DA10DB" w:rsidP="00DA10DB">
      <w:pPr>
        <w:ind w:firstLine="709"/>
        <w:jc w:val="both"/>
        <w:rPr>
          <w:rFonts w:ascii="Times New Roman" w:hAnsi="Times New Roman"/>
          <w:sz w:val="24"/>
          <w:szCs w:val="24"/>
          <w:lang w:eastAsia="en-US"/>
        </w:rPr>
      </w:pPr>
      <w:r w:rsidRPr="00F452D0">
        <w:rPr>
          <w:rFonts w:ascii="Times New Roman" w:hAnsi="Times New Roman"/>
          <w:sz w:val="24"/>
          <w:szCs w:val="24"/>
          <w:lang w:eastAsia="en-US"/>
        </w:rPr>
        <w:t>Ministerstvo k predloženému poslaneckému návrhu uvádza:</w:t>
      </w:r>
    </w:p>
    <w:p w:rsidR="00DA10DB" w:rsidRPr="00F452D0" w:rsidRDefault="00DA10DB" w:rsidP="00DA10DB">
      <w:pPr>
        <w:ind w:firstLine="709"/>
        <w:jc w:val="both"/>
        <w:rPr>
          <w:rFonts w:ascii="Times New Roman" w:hAnsi="Times New Roman"/>
          <w:b/>
          <w:sz w:val="24"/>
          <w:szCs w:val="24"/>
          <w:lang w:eastAsia="en-US"/>
        </w:rPr>
      </w:pPr>
    </w:p>
    <w:p w:rsidR="00DA10DB" w:rsidRPr="00F452D0" w:rsidRDefault="00DA10DB" w:rsidP="00DA10DB">
      <w:pPr>
        <w:ind w:firstLine="709"/>
        <w:jc w:val="both"/>
        <w:rPr>
          <w:rFonts w:ascii="Times New Roman" w:hAnsi="Times New Roman"/>
          <w:b/>
          <w:sz w:val="24"/>
          <w:szCs w:val="24"/>
          <w:lang w:eastAsia="en-US"/>
        </w:rPr>
      </w:pPr>
      <w:r w:rsidRPr="00F452D0">
        <w:rPr>
          <w:rFonts w:ascii="Times New Roman" w:hAnsi="Times New Roman"/>
          <w:b/>
          <w:sz w:val="24"/>
          <w:szCs w:val="24"/>
          <w:lang w:eastAsia="en-US"/>
        </w:rPr>
        <w:t>Všeobecne</w:t>
      </w:r>
    </w:p>
    <w:p w:rsidR="00DA10DB" w:rsidRPr="00F452D0" w:rsidRDefault="00DA10DB" w:rsidP="00DA10DB">
      <w:pPr>
        <w:ind w:firstLine="709"/>
        <w:jc w:val="both"/>
        <w:rPr>
          <w:rFonts w:ascii="Times New Roman" w:hAnsi="Times New Roman"/>
          <w:sz w:val="24"/>
          <w:szCs w:val="24"/>
          <w:lang w:eastAsia="en-US"/>
        </w:rPr>
      </w:pPr>
    </w:p>
    <w:p w:rsidR="00DA10DB" w:rsidRPr="00F452D0" w:rsidRDefault="00DA10DB" w:rsidP="00DA10DB">
      <w:pPr>
        <w:ind w:firstLine="709"/>
        <w:jc w:val="both"/>
        <w:rPr>
          <w:rFonts w:ascii="Times New Roman" w:hAnsi="Times New Roman"/>
          <w:sz w:val="24"/>
          <w:szCs w:val="24"/>
          <w:lang w:eastAsia="en-US"/>
        </w:rPr>
      </w:pPr>
      <w:r w:rsidRPr="00F452D0">
        <w:rPr>
          <w:rFonts w:ascii="Times New Roman" w:hAnsi="Times New Roman"/>
          <w:sz w:val="24"/>
          <w:szCs w:val="24"/>
          <w:lang w:eastAsia="en-US"/>
        </w:rPr>
        <w:t xml:space="preserve">Poslanecký návrh sa predkladá </w:t>
      </w:r>
      <w:r w:rsidR="00EF26BE" w:rsidRPr="00F452D0">
        <w:rPr>
          <w:rFonts w:ascii="Times New Roman" w:hAnsi="Times New Roman"/>
          <w:sz w:val="24"/>
          <w:szCs w:val="24"/>
          <w:lang w:eastAsia="en-US"/>
        </w:rPr>
        <w:t>s cieľom zatraktívnenia a zefektívnenia doplnkového dôchodkového sporenia, a to znížením odplaty za správu príspevkového doplnkového dôchodkového fondu z maximálnej hodnoty 1,2 % z priemernej ročnej čistej hodnoty majetku v príspevkovom doplnkovom dôchodkovom fonde na maximálnu hodnotu 0,6 %</w:t>
      </w:r>
      <w:r w:rsidRPr="00F452D0">
        <w:rPr>
          <w:rFonts w:ascii="Times New Roman" w:hAnsi="Times New Roman"/>
          <w:sz w:val="24"/>
          <w:szCs w:val="24"/>
          <w:lang w:eastAsia="en-US"/>
        </w:rPr>
        <w:t>.</w:t>
      </w:r>
      <w:r w:rsidR="00B533AB" w:rsidRPr="00F452D0">
        <w:rPr>
          <w:rFonts w:ascii="Times New Roman" w:hAnsi="Times New Roman"/>
          <w:sz w:val="24"/>
          <w:szCs w:val="24"/>
          <w:lang w:eastAsia="en-US"/>
        </w:rPr>
        <w:t xml:space="preserve"> </w:t>
      </w:r>
    </w:p>
    <w:p w:rsidR="00DA10DB" w:rsidRPr="00F452D0" w:rsidRDefault="00DA10DB" w:rsidP="00DA10DB">
      <w:pPr>
        <w:ind w:firstLine="709"/>
        <w:jc w:val="both"/>
        <w:rPr>
          <w:rFonts w:ascii="Times New Roman" w:hAnsi="Times New Roman"/>
          <w:sz w:val="24"/>
          <w:szCs w:val="24"/>
          <w:lang w:eastAsia="en-US"/>
        </w:rPr>
      </w:pPr>
    </w:p>
    <w:p w:rsidR="005017B8" w:rsidRPr="00F452D0" w:rsidRDefault="005017B8" w:rsidP="00DA10DB">
      <w:pPr>
        <w:ind w:firstLine="709"/>
        <w:jc w:val="both"/>
        <w:rPr>
          <w:rFonts w:ascii="Times New Roman" w:hAnsi="Times New Roman"/>
          <w:sz w:val="24"/>
          <w:szCs w:val="24"/>
          <w:lang w:eastAsia="en-US"/>
        </w:rPr>
      </w:pPr>
      <w:r w:rsidRPr="00F452D0">
        <w:rPr>
          <w:rFonts w:ascii="Times New Roman" w:hAnsi="Times New Roman"/>
          <w:sz w:val="24"/>
          <w:szCs w:val="24"/>
          <w:lang w:eastAsia="en-US"/>
        </w:rPr>
        <w:t>Podľa poslaneckého návrhu zákona je jedným z vážnych problémov tzv. III. piliera, nesprávne nastavenie regulácie odplát – konkrétne odplaty za správu príspevkového doplnkového dôchodkového fondu. Z tohto dôvodu účastníci prichádzajú o príliš vysokú časť svojho majetku a zároveň doplnkové dôchodkové spoločnosti</w:t>
      </w:r>
      <w:r w:rsidR="00F27705" w:rsidRPr="00F452D0">
        <w:rPr>
          <w:rFonts w:ascii="Times New Roman" w:hAnsi="Times New Roman"/>
          <w:sz w:val="24"/>
          <w:szCs w:val="24"/>
          <w:lang w:eastAsia="en-US"/>
        </w:rPr>
        <w:t xml:space="preserve"> </w:t>
      </w:r>
      <w:r w:rsidR="00F27705" w:rsidRPr="00F452D0">
        <w:rPr>
          <w:rFonts w:ascii="Times New Roman" w:hAnsi="Times New Roman"/>
          <w:bCs/>
          <w:sz w:val="24"/>
          <w:szCs w:val="24"/>
        </w:rPr>
        <w:t>(ďalej len „DDS“)</w:t>
      </w:r>
      <w:r w:rsidRPr="00F452D0">
        <w:rPr>
          <w:rFonts w:ascii="Times New Roman" w:hAnsi="Times New Roman"/>
          <w:sz w:val="24"/>
          <w:szCs w:val="24"/>
          <w:lang w:eastAsia="en-US"/>
        </w:rPr>
        <w:t xml:space="preserve"> sú nedostatočne motivované zhodnocovať úspory, keďže väčšinu ich príjmov tvorí odplata za správu. Výsledkom má byť to, že bez príspevkov zamestnávateľa nie je pre zamestnancov výhodné sporiť si v III. pilieri a preto si takto sporí menej ako 10 % účastníkov. Podľa predkladateľov návrhu zákona na toto nastavenie dopláca aj štát, ktorého stimuly </w:t>
      </w:r>
      <w:r w:rsidR="00B533AB" w:rsidRPr="00F452D0">
        <w:rPr>
          <w:rFonts w:ascii="Times New Roman" w:hAnsi="Times New Roman"/>
          <w:sz w:val="24"/>
          <w:szCs w:val="24"/>
          <w:lang w:eastAsia="en-US"/>
        </w:rPr>
        <w:t xml:space="preserve">(daňovo-odvodové) </w:t>
      </w:r>
      <w:r w:rsidRPr="00F452D0">
        <w:rPr>
          <w:rFonts w:ascii="Times New Roman" w:hAnsi="Times New Roman"/>
          <w:sz w:val="24"/>
          <w:szCs w:val="24"/>
          <w:lang w:eastAsia="en-US"/>
        </w:rPr>
        <w:t xml:space="preserve">sa adekvátne neodrážajú na zvýšení dôchodkových úspor. </w:t>
      </w:r>
    </w:p>
    <w:p w:rsidR="005017B8" w:rsidRPr="00F452D0" w:rsidRDefault="005017B8" w:rsidP="00DA10DB">
      <w:pPr>
        <w:ind w:firstLine="709"/>
        <w:jc w:val="both"/>
        <w:rPr>
          <w:rFonts w:ascii="Times New Roman" w:hAnsi="Times New Roman"/>
          <w:sz w:val="24"/>
          <w:szCs w:val="24"/>
          <w:lang w:eastAsia="en-US"/>
        </w:rPr>
      </w:pPr>
    </w:p>
    <w:p w:rsidR="00DA10DB" w:rsidRPr="00F452D0" w:rsidRDefault="00B533AB" w:rsidP="00DA10DB">
      <w:pPr>
        <w:ind w:firstLine="709"/>
        <w:jc w:val="both"/>
        <w:rPr>
          <w:rFonts w:ascii="Times New Roman" w:hAnsi="Times New Roman"/>
          <w:sz w:val="24"/>
          <w:szCs w:val="24"/>
          <w:lang w:eastAsia="en-US"/>
        </w:rPr>
      </w:pPr>
      <w:r w:rsidRPr="00F452D0">
        <w:rPr>
          <w:rFonts w:ascii="Times New Roman" w:hAnsi="Times New Roman"/>
          <w:sz w:val="24"/>
          <w:szCs w:val="24"/>
          <w:lang w:eastAsia="en-US"/>
        </w:rPr>
        <w:t>Predkladatelia poslaneckého návrhu podporne uvádzajú</w:t>
      </w:r>
      <w:r w:rsidR="00285307" w:rsidRPr="00F452D0">
        <w:rPr>
          <w:rFonts w:ascii="Times New Roman" w:hAnsi="Times New Roman"/>
          <w:sz w:val="24"/>
          <w:szCs w:val="24"/>
          <w:lang w:eastAsia="en-US"/>
        </w:rPr>
        <w:t xml:space="preserve"> analytické výstupy Ministerstva financií Slovenskej republiky, z ktorých vyplýva, že výška odplát a poplatkov v </w:t>
      </w:r>
      <w:r w:rsidR="005017B8" w:rsidRPr="00F452D0">
        <w:rPr>
          <w:rFonts w:ascii="Times New Roman" w:hAnsi="Times New Roman"/>
          <w:sz w:val="24"/>
          <w:szCs w:val="24"/>
          <w:lang w:eastAsia="en-US"/>
        </w:rPr>
        <w:t>III. pilier</w:t>
      </w:r>
      <w:r w:rsidR="00285307" w:rsidRPr="00F452D0">
        <w:rPr>
          <w:rFonts w:ascii="Times New Roman" w:hAnsi="Times New Roman"/>
          <w:sz w:val="24"/>
          <w:szCs w:val="24"/>
          <w:lang w:eastAsia="en-US"/>
        </w:rPr>
        <w:t>i</w:t>
      </w:r>
      <w:r w:rsidR="005017B8" w:rsidRPr="00F452D0">
        <w:rPr>
          <w:rFonts w:ascii="Times New Roman" w:hAnsi="Times New Roman"/>
          <w:sz w:val="24"/>
          <w:szCs w:val="24"/>
          <w:lang w:eastAsia="en-US"/>
        </w:rPr>
        <w:t xml:space="preserve"> je v porovnaní s</w:t>
      </w:r>
      <w:r w:rsidR="00285307" w:rsidRPr="00F452D0">
        <w:rPr>
          <w:rFonts w:ascii="Times New Roman" w:hAnsi="Times New Roman"/>
          <w:sz w:val="24"/>
          <w:szCs w:val="24"/>
          <w:lang w:eastAsia="en-US"/>
        </w:rPr>
        <w:t> </w:t>
      </w:r>
      <w:r w:rsidR="005017B8" w:rsidRPr="00F452D0">
        <w:rPr>
          <w:rFonts w:ascii="Times New Roman" w:hAnsi="Times New Roman"/>
          <w:sz w:val="24"/>
          <w:szCs w:val="24"/>
          <w:lang w:eastAsia="en-US"/>
        </w:rPr>
        <w:t>priemerom</w:t>
      </w:r>
      <w:r w:rsidR="00285307" w:rsidRPr="00F452D0">
        <w:rPr>
          <w:rFonts w:ascii="Times New Roman" w:hAnsi="Times New Roman"/>
          <w:sz w:val="24"/>
          <w:szCs w:val="24"/>
          <w:lang w:eastAsia="en-US"/>
        </w:rPr>
        <w:t xml:space="preserve"> krajín</w:t>
      </w:r>
      <w:r w:rsidR="005017B8" w:rsidRPr="00F452D0">
        <w:rPr>
          <w:rFonts w:ascii="Times New Roman" w:hAnsi="Times New Roman"/>
          <w:sz w:val="24"/>
          <w:szCs w:val="24"/>
          <w:lang w:eastAsia="en-US"/>
        </w:rPr>
        <w:t xml:space="preserve"> </w:t>
      </w:r>
      <w:r w:rsidR="005017B8" w:rsidRPr="00F452D0">
        <w:rPr>
          <w:rFonts w:ascii="Times New Roman" w:hAnsi="Times New Roman"/>
          <w:sz w:val="24"/>
          <w:szCs w:val="24"/>
          <w:lang w:eastAsia="en-US"/>
        </w:rPr>
        <w:lastRenderedPageBreak/>
        <w:t xml:space="preserve">OECD napriek dlhodobému poklesu viac než dvojnásobná.  Pre porovnanie </w:t>
      </w:r>
      <w:r w:rsidR="00285307" w:rsidRPr="00F452D0">
        <w:rPr>
          <w:rFonts w:ascii="Times New Roman" w:hAnsi="Times New Roman"/>
          <w:sz w:val="24"/>
          <w:szCs w:val="24"/>
          <w:lang w:eastAsia="en-US"/>
        </w:rPr>
        <w:t xml:space="preserve">sa uvádza </w:t>
      </w:r>
      <w:r w:rsidR="009449A7" w:rsidRPr="00F452D0">
        <w:rPr>
          <w:rFonts w:ascii="Times New Roman" w:hAnsi="Times New Roman"/>
          <w:sz w:val="24"/>
          <w:szCs w:val="24"/>
          <w:lang w:eastAsia="en-US"/>
        </w:rPr>
        <w:t xml:space="preserve">aj </w:t>
      </w:r>
      <w:r w:rsidR="00285307" w:rsidRPr="00F452D0">
        <w:rPr>
          <w:rFonts w:ascii="Times New Roman" w:hAnsi="Times New Roman"/>
          <w:sz w:val="24"/>
          <w:szCs w:val="24"/>
          <w:lang w:eastAsia="en-US"/>
        </w:rPr>
        <w:t xml:space="preserve">výška odplaty za správu </w:t>
      </w:r>
      <w:r w:rsidR="005017B8" w:rsidRPr="00F452D0">
        <w:rPr>
          <w:rFonts w:ascii="Times New Roman" w:hAnsi="Times New Roman"/>
          <w:sz w:val="24"/>
          <w:szCs w:val="24"/>
          <w:lang w:eastAsia="en-US"/>
        </w:rPr>
        <w:t>v</w:t>
      </w:r>
      <w:r w:rsidR="00285307" w:rsidRPr="00F452D0">
        <w:rPr>
          <w:rFonts w:ascii="Times New Roman" w:hAnsi="Times New Roman"/>
          <w:sz w:val="24"/>
          <w:szCs w:val="24"/>
          <w:lang w:eastAsia="en-US"/>
        </w:rPr>
        <w:t xml:space="preserve"> starobnom dôchodkovom sporení (tzv. II. pilier), kde je maximum ustanovené </w:t>
      </w:r>
      <w:r w:rsidR="005017B8" w:rsidRPr="00F452D0">
        <w:rPr>
          <w:rFonts w:ascii="Times New Roman" w:hAnsi="Times New Roman"/>
          <w:sz w:val="24"/>
          <w:szCs w:val="24"/>
          <w:lang w:eastAsia="en-US"/>
        </w:rPr>
        <w:t>na úrovni 0,3</w:t>
      </w:r>
      <w:r w:rsidR="00285307" w:rsidRPr="00F452D0">
        <w:rPr>
          <w:rFonts w:ascii="Times New Roman" w:hAnsi="Times New Roman"/>
          <w:sz w:val="24"/>
          <w:szCs w:val="24"/>
          <w:lang w:eastAsia="en-US"/>
        </w:rPr>
        <w:t xml:space="preserve"> </w:t>
      </w:r>
      <w:r w:rsidR="005017B8" w:rsidRPr="00F452D0">
        <w:rPr>
          <w:rFonts w:ascii="Times New Roman" w:hAnsi="Times New Roman"/>
          <w:sz w:val="24"/>
          <w:szCs w:val="24"/>
          <w:lang w:eastAsia="en-US"/>
        </w:rPr>
        <w:t xml:space="preserve">% z </w:t>
      </w:r>
      <w:r w:rsidR="00285307" w:rsidRPr="00F452D0">
        <w:rPr>
          <w:rFonts w:ascii="Times New Roman" w:hAnsi="Times New Roman"/>
          <w:sz w:val="24"/>
          <w:szCs w:val="24"/>
          <w:lang w:eastAsia="en-US"/>
        </w:rPr>
        <w:t>priemernej ročnej čistej hodnoty majetku v dôchodkovom fonde</w:t>
      </w:r>
      <w:r w:rsidR="00DA10DB" w:rsidRPr="00F452D0">
        <w:rPr>
          <w:rFonts w:ascii="Times New Roman" w:hAnsi="Times New Roman"/>
          <w:sz w:val="24"/>
          <w:szCs w:val="24"/>
          <w:lang w:eastAsia="en-US"/>
        </w:rPr>
        <w:t>.</w:t>
      </w:r>
    </w:p>
    <w:p w:rsidR="007B2041" w:rsidRPr="00F452D0" w:rsidRDefault="007B2041" w:rsidP="00DA10DB">
      <w:pPr>
        <w:ind w:firstLine="709"/>
        <w:jc w:val="both"/>
        <w:rPr>
          <w:rFonts w:ascii="Times New Roman" w:hAnsi="Times New Roman"/>
          <w:sz w:val="24"/>
          <w:szCs w:val="24"/>
          <w:lang w:eastAsia="en-US"/>
        </w:rPr>
      </w:pPr>
    </w:p>
    <w:p w:rsidR="007B2041" w:rsidRPr="00F452D0" w:rsidRDefault="007B2041" w:rsidP="007B2041">
      <w:pPr>
        <w:ind w:firstLine="567"/>
        <w:jc w:val="both"/>
        <w:rPr>
          <w:rFonts w:ascii="Times New Roman" w:hAnsi="Times New Roman"/>
          <w:bCs/>
          <w:sz w:val="24"/>
          <w:szCs w:val="24"/>
        </w:rPr>
      </w:pPr>
      <w:r w:rsidRPr="00F452D0">
        <w:rPr>
          <w:rFonts w:ascii="Times New Roman" w:hAnsi="Times New Roman"/>
          <w:bCs/>
          <w:sz w:val="24"/>
          <w:szCs w:val="24"/>
        </w:rPr>
        <w:t xml:space="preserve">Predkladatelia poslaneckého návrhu v doložke vybraných vplyvov označili, že návrh zákona má pozitívne sociálne vplyvy. V poznámke v časti A.3. doložky vybraných vplyvov  sa uvádza, že v prechodnom období môže prísť k zníženiu príjmov </w:t>
      </w:r>
      <w:r w:rsidR="00F27705" w:rsidRPr="00F452D0">
        <w:rPr>
          <w:rFonts w:ascii="Times New Roman" w:hAnsi="Times New Roman"/>
          <w:bCs/>
          <w:sz w:val="24"/>
          <w:szCs w:val="24"/>
        </w:rPr>
        <w:t>DDS</w:t>
      </w:r>
      <w:r w:rsidRPr="00F452D0">
        <w:rPr>
          <w:rFonts w:ascii="Times New Roman" w:hAnsi="Times New Roman"/>
          <w:bCs/>
          <w:sz w:val="24"/>
          <w:szCs w:val="24"/>
        </w:rPr>
        <w:t xml:space="preserve"> a k miernemu zníženiu výberu dane z príjmov </w:t>
      </w:r>
      <w:r w:rsidR="00F27705" w:rsidRPr="00F452D0">
        <w:rPr>
          <w:rFonts w:ascii="Times New Roman" w:hAnsi="Times New Roman"/>
          <w:bCs/>
          <w:sz w:val="24"/>
          <w:szCs w:val="24"/>
        </w:rPr>
        <w:t>právnických osôb</w:t>
      </w:r>
      <w:r w:rsidRPr="00F452D0">
        <w:rPr>
          <w:rFonts w:ascii="Times New Roman" w:hAnsi="Times New Roman"/>
          <w:bCs/>
          <w:sz w:val="24"/>
          <w:szCs w:val="24"/>
        </w:rPr>
        <w:t xml:space="preserve">. Návrh zákona nemá žiadne vplyvy na životné prostredie, na informatizáciu spoločnosti, na manželstvo, rodičovstvo a rodinu. </w:t>
      </w:r>
    </w:p>
    <w:p w:rsidR="007B2041" w:rsidRPr="00F452D0" w:rsidRDefault="007B2041" w:rsidP="00DA10DB">
      <w:pPr>
        <w:ind w:firstLine="709"/>
        <w:jc w:val="both"/>
        <w:rPr>
          <w:rFonts w:ascii="Times New Roman" w:hAnsi="Times New Roman"/>
          <w:sz w:val="24"/>
          <w:szCs w:val="24"/>
          <w:lang w:eastAsia="en-US"/>
        </w:rPr>
      </w:pPr>
    </w:p>
    <w:p w:rsidR="00DA10DB" w:rsidRPr="00F452D0" w:rsidRDefault="00DA10DB" w:rsidP="00DA10DB">
      <w:pPr>
        <w:ind w:firstLine="709"/>
        <w:jc w:val="both"/>
        <w:rPr>
          <w:rFonts w:ascii="Times New Roman" w:hAnsi="Times New Roman"/>
          <w:b/>
          <w:sz w:val="24"/>
          <w:szCs w:val="24"/>
          <w:lang w:eastAsia="en-US"/>
        </w:rPr>
      </w:pPr>
      <w:r w:rsidRPr="00F452D0">
        <w:rPr>
          <w:rFonts w:ascii="Times New Roman" w:hAnsi="Times New Roman"/>
          <w:b/>
          <w:sz w:val="24"/>
          <w:szCs w:val="24"/>
          <w:lang w:eastAsia="en-US"/>
        </w:rPr>
        <w:t>Stanovisko</w:t>
      </w:r>
    </w:p>
    <w:p w:rsidR="00DA10DB" w:rsidRPr="00F452D0" w:rsidRDefault="00DA10DB" w:rsidP="00DA10DB">
      <w:pPr>
        <w:ind w:firstLine="709"/>
        <w:jc w:val="both"/>
        <w:rPr>
          <w:rFonts w:ascii="Times New Roman" w:hAnsi="Times New Roman"/>
          <w:sz w:val="24"/>
          <w:szCs w:val="24"/>
          <w:lang w:eastAsia="en-US"/>
        </w:rPr>
      </w:pPr>
    </w:p>
    <w:p w:rsidR="001467D4" w:rsidRPr="00F452D0" w:rsidRDefault="001467D4" w:rsidP="009449A7">
      <w:pPr>
        <w:adjustRightInd w:val="0"/>
        <w:ind w:firstLine="708"/>
        <w:jc w:val="both"/>
        <w:rPr>
          <w:rFonts w:ascii="Times New Roman" w:hAnsi="Times New Roman"/>
          <w:b/>
          <w:bCs/>
          <w:color w:val="000000"/>
          <w:sz w:val="24"/>
          <w:szCs w:val="24"/>
        </w:rPr>
      </w:pPr>
      <w:r w:rsidRPr="00F452D0">
        <w:rPr>
          <w:rFonts w:ascii="Times New Roman" w:hAnsi="Times New Roman"/>
          <w:bCs/>
          <w:color w:val="000000"/>
          <w:sz w:val="24"/>
          <w:szCs w:val="24"/>
        </w:rPr>
        <w:t>Ministerstvo vníma potrebu zvýšenia efektívnosti doplnkového dôchodkového sporenia a najmä zavedenia opatrení na jeho zatraktívnenie</w:t>
      </w:r>
      <w:r w:rsidR="006E6A30" w:rsidRPr="00F452D0">
        <w:rPr>
          <w:rFonts w:ascii="Times New Roman" w:hAnsi="Times New Roman"/>
          <w:bCs/>
          <w:color w:val="000000"/>
          <w:sz w:val="24"/>
          <w:szCs w:val="24"/>
        </w:rPr>
        <w:t>, pričom sa stotožňuje s predkladateľmi v tvrdení, že celková úroveň nákladov je v III. pilieri vysoká a je potrebné hľadať riešenia pre nízke zastúpenie dobrovoľných dôchodkových schém medzi ekonomicky aktívnou populáciou na Slovensku.</w:t>
      </w:r>
    </w:p>
    <w:p w:rsidR="001467D4" w:rsidRPr="00F452D0" w:rsidRDefault="001467D4" w:rsidP="001467D4">
      <w:pPr>
        <w:adjustRightInd w:val="0"/>
        <w:ind w:firstLine="567"/>
        <w:jc w:val="both"/>
        <w:rPr>
          <w:rFonts w:ascii="Times New Roman" w:hAnsi="Times New Roman"/>
          <w:sz w:val="24"/>
          <w:szCs w:val="24"/>
        </w:rPr>
      </w:pPr>
    </w:p>
    <w:p w:rsidR="001467D4" w:rsidRPr="00F452D0" w:rsidRDefault="001467D4" w:rsidP="001467D4">
      <w:pPr>
        <w:ind w:firstLine="709"/>
        <w:jc w:val="both"/>
        <w:rPr>
          <w:rFonts w:ascii="Times New Roman" w:hAnsi="Times New Roman"/>
          <w:sz w:val="24"/>
          <w:szCs w:val="24"/>
          <w:lang w:eastAsia="en-US"/>
        </w:rPr>
      </w:pPr>
      <w:r w:rsidRPr="00F452D0">
        <w:rPr>
          <w:rFonts w:ascii="Times New Roman" w:hAnsi="Times New Roman"/>
          <w:sz w:val="24"/>
          <w:szCs w:val="24"/>
        </w:rPr>
        <w:t xml:space="preserve">Predkladatelia </w:t>
      </w:r>
      <w:r w:rsidR="00151CE4" w:rsidRPr="00F452D0">
        <w:rPr>
          <w:rFonts w:ascii="Times New Roman" w:hAnsi="Times New Roman"/>
          <w:sz w:val="24"/>
          <w:szCs w:val="24"/>
        </w:rPr>
        <w:t xml:space="preserve">k </w:t>
      </w:r>
      <w:r w:rsidRPr="00F452D0">
        <w:rPr>
          <w:rFonts w:ascii="Times New Roman" w:hAnsi="Times New Roman"/>
          <w:sz w:val="24"/>
          <w:szCs w:val="24"/>
        </w:rPr>
        <w:t>svoj</w:t>
      </w:r>
      <w:r w:rsidR="00151CE4" w:rsidRPr="00F452D0">
        <w:rPr>
          <w:rFonts w:ascii="Times New Roman" w:hAnsi="Times New Roman"/>
          <w:sz w:val="24"/>
          <w:szCs w:val="24"/>
        </w:rPr>
        <w:t>mu</w:t>
      </w:r>
      <w:r w:rsidRPr="00F452D0">
        <w:rPr>
          <w:rFonts w:ascii="Times New Roman" w:hAnsi="Times New Roman"/>
          <w:sz w:val="24"/>
          <w:szCs w:val="24"/>
        </w:rPr>
        <w:t xml:space="preserve"> návrh</w:t>
      </w:r>
      <w:r w:rsidR="00151CE4" w:rsidRPr="00F452D0">
        <w:rPr>
          <w:rFonts w:ascii="Times New Roman" w:hAnsi="Times New Roman"/>
          <w:sz w:val="24"/>
          <w:szCs w:val="24"/>
        </w:rPr>
        <w:t>u</w:t>
      </w:r>
      <w:r w:rsidRPr="00F452D0">
        <w:rPr>
          <w:rFonts w:ascii="Times New Roman" w:hAnsi="Times New Roman"/>
          <w:sz w:val="24"/>
          <w:szCs w:val="24"/>
        </w:rPr>
        <w:t xml:space="preserve"> </w:t>
      </w:r>
      <w:r w:rsidR="00151CE4" w:rsidRPr="00F452D0">
        <w:rPr>
          <w:rFonts w:ascii="Times New Roman" w:hAnsi="Times New Roman"/>
          <w:sz w:val="24"/>
          <w:szCs w:val="24"/>
        </w:rPr>
        <w:t xml:space="preserve">nepripojili žiaden </w:t>
      </w:r>
      <w:r w:rsidRPr="00F452D0">
        <w:rPr>
          <w:rFonts w:ascii="Times New Roman" w:hAnsi="Times New Roman"/>
          <w:sz w:val="24"/>
          <w:szCs w:val="24"/>
        </w:rPr>
        <w:t xml:space="preserve">analytický materiál, ktorý by </w:t>
      </w:r>
      <w:r w:rsidR="00151CE4" w:rsidRPr="00F452D0">
        <w:rPr>
          <w:rFonts w:ascii="Times New Roman" w:hAnsi="Times New Roman"/>
          <w:sz w:val="24"/>
          <w:szCs w:val="24"/>
        </w:rPr>
        <w:t>obsahoval nielen vplyvy na DDS</w:t>
      </w:r>
      <w:r w:rsidR="00F27705" w:rsidRPr="00F452D0">
        <w:rPr>
          <w:rFonts w:ascii="Times New Roman" w:hAnsi="Times New Roman"/>
          <w:sz w:val="24"/>
          <w:szCs w:val="24"/>
        </w:rPr>
        <w:t>,</w:t>
      </w:r>
      <w:r w:rsidR="00151CE4" w:rsidRPr="00F452D0">
        <w:rPr>
          <w:rFonts w:ascii="Times New Roman" w:hAnsi="Times New Roman"/>
          <w:sz w:val="24"/>
          <w:szCs w:val="24"/>
        </w:rPr>
        <w:t xml:space="preserve"> ale na sektor doplnkového </w:t>
      </w:r>
      <w:r w:rsidR="005E2877" w:rsidRPr="00F452D0">
        <w:rPr>
          <w:rFonts w:ascii="Times New Roman" w:hAnsi="Times New Roman"/>
          <w:sz w:val="24"/>
          <w:szCs w:val="24"/>
        </w:rPr>
        <w:t xml:space="preserve">dôchodkového </w:t>
      </w:r>
      <w:r w:rsidR="00151CE4" w:rsidRPr="00F452D0">
        <w:rPr>
          <w:rFonts w:ascii="Times New Roman" w:hAnsi="Times New Roman"/>
          <w:sz w:val="24"/>
          <w:szCs w:val="24"/>
        </w:rPr>
        <w:t>sporenia na dôchodok ako celok</w:t>
      </w:r>
      <w:r w:rsidRPr="00F452D0">
        <w:rPr>
          <w:rFonts w:ascii="Times New Roman" w:hAnsi="Times New Roman"/>
          <w:sz w:val="24"/>
          <w:szCs w:val="24"/>
        </w:rPr>
        <w:t xml:space="preserve">, i keď pozitívny vplyv na hodnotu dôchodkových úspor jednotlivca </w:t>
      </w:r>
      <w:r w:rsidR="00AC5C09" w:rsidRPr="00F452D0">
        <w:rPr>
          <w:rFonts w:ascii="Times New Roman" w:hAnsi="Times New Roman"/>
          <w:sz w:val="24"/>
          <w:szCs w:val="24"/>
        </w:rPr>
        <w:t>by bol</w:t>
      </w:r>
      <w:r w:rsidRPr="00F452D0">
        <w:rPr>
          <w:rFonts w:ascii="Times New Roman" w:hAnsi="Times New Roman"/>
          <w:sz w:val="24"/>
          <w:szCs w:val="24"/>
        </w:rPr>
        <w:t xml:space="preserve"> nespochybniteľný.</w:t>
      </w:r>
    </w:p>
    <w:p w:rsidR="001467D4" w:rsidRPr="00F452D0" w:rsidRDefault="001467D4" w:rsidP="00DA10DB">
      <w:pPr>
        <w:ind w:firstLine="709"/>
        <w:jc w:val="both"/>
        <w:rPr>
          <w:rFonts w:ascii="Times New Roman" w:hAnsi="Times New Roman"/>
          <w:sz w:val="24"/>
          <w:szCs w:val="24"/>
          <w:lang w:eastAsia="en-US"/>
        </w:rPr>
      </w:pPr>
    </w:p>
    <w:p w:rsidR="00DA10DB" w:rsidRPr="00F452D0" w:rsidRDefault="00151CE4" w:rsidP="00DA10DB">
      <w:pPr>
        <w:ind w:firstLine="709"/>
        <w:jc w:val="both"/>
        <w:rPr>
          <w:rFonts w:ascii="Times New Roman" w:hAnsi="Times New Roman"/>
          <w:sz w:val="24"/>
          <w:szCs w:val="24"/>
          <w:lang w:eastAsia="en-US"/>
        </w:rPr>
      </w:pPr>
      <w:r w:rsidRPr="00F452D0">
        <w:rPr>
          <w:rFonts w:ascii="Times New Roman" w:hAnsi="Times New Roman"/>
          <w:sz w:val="24"/>
          <w:szCs w:val="24"/>
          <w:lang w:eastAsia="en-US"/>
        </w:rPr>
        <w:t xml:space="preserve">Ministerstvo </w:t>
      </w:r>
      <w:r w:rsidR="00B1444C" w:rsidRPr="00F452D0">
        <w:rPr>
          <w:rFonts w:ascii="Times New Roman" w:hAnsi="Times New Roman"/>
          <w:sz w:val="24"/>
          <w:szCs w:val="24"/>
          <w:lang w:eastAsia="en-US"/>
        </w:rPr>
        <w:t>v roku 2018</w:t>
      </w:r>
      <w:r w:rsidR="00B1444C" w:rsidRPr="00F452D0">
        <w:rPr>
          <w:rStyle w:val="Odkaznapoznmkupodiarou"/>
          <w:rFonts w:ascii="Times New Roman" w:hAnsi="Times New Roman"/>
          <w:sz w:val="24"/>
          <w:szCs w:val="24"/>
          <w:lang w:eastAsia="en-US"/>
        </w:rPr>
        <w:footnoteReference w:id="1"/>
      </w:r>
      <w:r w:rsidR="00B1444C" w:rsidRPr="00F452D0">
        <w:rPr>
          <w:rFonts w:ascii="Times New Roman" w:hAnsi="Times New Roman"/>
          <w:sz w:val="24"/>
          <w:szCs w:val="24"/>
          <w:lang w:eastAsia="en-US"/>
        </w:rPr>
        <w:t>)</w:t>
      </w:r>
      <w:r w:rsidRPr="00F452D0">
        <w:rPr>
          <w:rFonts w:ascii="Times New Roman" w:hAnsi="Times New Roman"/>
          <w:sz w:val="24"/>
          <w:szCs w:val="24"/>
          <w:lang w:eastAsia="en-US"/>
        </w:rPr>
        <w:t xml:space="preserve"> vypracovalo</w:t>
      </w:r>
      <w:r w:rsidR="00285307" w:rsidRPr="00F452D0">
        <w:rPr>
          <w:rFonts w:ascii="Times New Roman" w:hAnsi="Times New Roman"/>
          <w:sz w:val="24"/>
          <w:szCs w:val="24"/>
          <w:lang w:eastAsia="en-US"/>
        </w:rPr>
        <w:t xml:space="preserve"> Analýzu opatrení podporujúcich efektívnejšie rozloženie úspor medzi </w:t>
      </w:r>
      <w:r w:rsidR="002B03D2" w:rsidRPr="00F452D0">
        <w:rPr>
          <w:rFonts w:ascii="Times New Roman" w:hAnsi="Times New Roman"/>
          <w:sz w:val="24"/>
          <w:szCs w:val="24"/>
          <w:lang w:eastAsia="en-US"/>
        </w:rPr>
        <w:t>triedami</w:t>
      </w:r>
      <w:r w:rsidR="00285307" w:rsidRPr="00F452D0">
        <w:rPr>
          <w:rFonts w:ascii="Times New Roman" w:hAnsi="Times New Roman"/>
          <w:sz w:val="24"/>
          <w:szCs w:val="24"/>
          <w:lang w:eastAsia="en-US"/>
        </w:rPr>
        <w:t xml:space="preserve"> aktív v II. a III. pilieri dôchodkového sporenia</w:t>
      </w:r>
      <w:r w:rsidR="002B03D2" w:rsidRPr="00F452D0">
        <w:rPr>
          <w:rFonts w:ascii="Times New Roman" w:hAnsi="Times New Roman"/>
          <w:sz w:val="24"/>
          <w:szCs w:val="24"/>
          <w:lang w:eastAsia="en-US"/>
        </w:rPr>
        <w:t xml:space="preserve"> (ďalej len „</w:t>
      </w:r>
      <w:r w:rsidR="00F27705" w:rsidRPr="00F452D0">
        <w:rPr>
          <w:rFonts w:ascii="Times New Roman" w:hAnsi="Times New Roman"/>
          <w:sz w:val="24"/>
          <w:szCs w:val="24"/>
          <w:lang w:eastAsia="en-US"/>
        </w:rPr>
        <w:t>analýza</w:t>
      </w:r>
      <w:r w:rsidR="002B03D2" w:rsidRPr="00F452D0">
        <w:rPr>
          <w:rFonts w:ascii="Times New Roman" w:hAnsi="Times New Roman"/>
          <w:sz w:val="24"/>
          <w:szCs w:val="24"/>
          <w:lang w:eastAsia="en-US"/>
        </w:rPr>
        <w:t>“)</w:t>
      </w:r>
      <w:r w:rsidR="00B1444C" w:rsidRPr="00F452D0">
        <w:rPr>
          <w:rFonts w:ascii="Times New Roman" w:hAnsi="Times New Roman"/>
          <w:sz w:val="24"/>
          <w:szCs w:val="24"/>
          <w:lang w:eastAsia="en-US"/>
        </w:rPr>
        <w:t>, v ktorej analyzovalo skokové zníženie odplaty za správu príspevkového doplnkového dôchodkového</w:t>
      </w:r>
      <w:r w:rsidR="00D3747A" w:rsidRPr="00F452D0">
        <w:rPr>
          <w:rFonts w:ascii="Times New Roman" w:hAnsi="Times New Roman"/>
          <w:sz w:val="24"/>
          <w:szCs w:val="24"/>
          <w:lang w:eastAsia="en-US"/>
        </w:rPr>
        <w:t xml:space="preserve"> fondu. </w:t>
      </w:r>
      <w:r w:rsidR="002B03D2" w:rsidRPr="00F452D0">
        <w:rPr>
          <w:rFonts w:ascii="Times New Roman" w:hAnsi="Times New Roman"/>
          <w:sz w:val="24"/>
          <w:szCs w:val="24"/>
          <w:lang w:eastAsia="en-US"/>
        </w:rPr>
        <w:t xml:space="preserve">V predmetnom </w:t>
      </w:r>
      <w:r w:rsidR="00F27705" w:rsidRPr="00F452D0">
        <w:rPr>
          <w:rFonts w:ascii="Times New Roman" w:hAnsi="Times New Roman"/>
          <w:sz w:val="24"/>
          <w:szCs w:val="24"/>
          <w:lang w:eastAsia="en-US"/>
        </w:rPr>
        <w:t xml:space="preserve">materiáli </w:t>
      </w:r>
      <w:r w:rsidR="002B03D2" w:rsidRPr="00F452D0">
        <w:rPr>
          <w:rFonts w:ascii="Times New Roman" w:hAnsi="Times New Roman"/>
          <w:sz w:val="24"/>
          <w:szCs w:val="24"/>
          <w:lang w:eastAsia="en-US"/>
        </w:rPr>
        <w:t xml:space="preserve">sa v časti 5.3.2 skúma potenciál pre zníženie odplaty za správu príspevkového doplnkového dôchodkového fondu, pričom jedným z analyzovaných scenárov je aj jednorazové zníženie tejto odplaty na 0,6 % v roku 2021. V uvedenej analýze ministerstvo analyzovalo vplyv zníženia odplaty za správu na hospodárenie jednotlivých </w:t>
      </w:r>
      <w:r w:rsidR="00F27705" w:rsidRPr="00F452D0">
        <w:rPr>
          <w:rFonts w:ascii="Times New Roman" w:hAnsi="Times New Roman"/>
          <w:sz w:val="24"/>
          <w:szCs w:val="24"/>
          <w:lang w:eastAsia="en-US"/>
        </w:rPr>
        <w:t>DDS</w:t>
      </w:r>
      <w:r w:rsidR="00F17A4B" w:rsidRPr="00F452D0">
        <w:rPr>
          <w:rFonts w:ascii="Times New Roman" w:hAnsi="Times New Roman"/>
          <w:sz w:val="24"/>
          <w:szCs w:val="24"/>
          <w:lang w:eastAsia="en-US"/>
        </w:rPr>
        <w:t xml:space="preserve"> – ich výnosy aj ziskovosť</w:t>
      </w:r>
      <w:r w:rsidR="003F440A" w:rsidRPr="00F452D0">
        <w:rPr>
          <w:rFonts w:ascii="Times New Roman" w:hAnsi="Times New Roman"/>
          <w:sz w:val="24"/>
          <w:szCs w:val="24"/>
          <w:lang w:eastAsia="en-US"/>
        </w:rPr>
        <w:t xml:space="preserve"> – </w:t>
      </w:r>
      <w:r w:rsidR="003F440A" w:rsidRPr="00F452D0">
        <w:rPr>
          <w:rFonts w:ascii="Times New Roman" w:hAnsi="Times New Roman"/>
          <w:sz w:val="24"/>
          <w:szCs w:val="24"/>
          <w:lang w:eastAsia="en-US"/>
        </w:rPr>
        <w:lastRenderedPageBreak/>
        <w:t>kvantifikovalo tiež možný pozitívny vplyv na účastníka v modelovom príklade</w:t>
      </w:r>
      <w:r w:rsidR="00F17A4B" w:rsidRPr="00F452D0">
        <w:rPr>
          <w:rFonts w:ascii="Times New Roman" w:hAnsi="Times New Roman"/>
          <w:sz w:val="24"/>
          <w:szCs w:val="24"/>
          <w:lang w:eastAsia="en-US"/>
        </w:rPr>
        <w:t xml:space="preserve">. Ministerstvo v analýze konštatuje, že implementovaním skokového zníženia odplaty za správu príspevkového doplnkového dôchodkového fondu </w:t>
      </w:r>
      <w:r w:rsidR="002848DA" w:rsidRPr="00F452D0">
        <w:rPr>
          <w:rFonts w:ascii="Times New Roman" w:hAnsi="Times New Roman"/>
          <w:sz w:val="24"/>
          <w:szCs w:val="24"/>
          <w:lang w:eastAsia="en-US"/>
        </w:rPr>
        <w:t>by</w:t>
      </w:r>
      <w:r w:rsidR="00F17A4B" w:rsidRPr="00F452D0">
        <w:rPr>
          <w:rFonts w:ascii="Times New Roman" w:hAnsi="Times New Roman"/>
          <w:sz w:val="24"/>
          <w:szCs w:val="24"/>
          <w:lang w:eastAsia="en-US"/>
        </w:rPr>
        <w:t xml:space="preserve"> podľa predikcie </w:t>
      </w:r>
      <w:r w:rsidR="002848DA" w:rsidRPr="00F452D0">
        <w:rPr>
          <w:rFonts w:ascii="Times New Roman" w:hAnsi="Times New Roman"/>
          <w:sz w:val="24"/>
          <w:szCs w:val="24"/>
          <w:lang w:eastAsia="en-US"/>
        </w:rPr>
        <w:t xml:space="preserve">došlo k dramatickému poklesu výnosov (40 %) a významnému </w:t>
      </w:r>
      <w:r w:rsidR="00F17A4B" w:rsidRPr="00F452D0">
        <w:rPr>
          <w:rFonts w:ascii="Times New Roman" w:hAnsi="Times New Roman"/>
          <w:sz w:val="24"/>
          <w:szCs w:val="24"/>
          <w:lang w:eastAsia="en-US"/>
        </w:rPr>
        <w:t>zníž</w:t>
      </w:r>
      <w:r w:rsidR="002848DA" w:rsidRPr="00F452D0">
        <w:rPr>
          <w:rFonts w:ascii="Times New Roman" w:hAnsi="Times New Roman"/>
          <w:sz w:val="24"/>
          <w:szCs w:val="24"/>
          <w:lang w:eastAsia="en-US"/>
        </w:rPr>
        <w:t>eniu</w:t>
      </w:r>
      <w:r w:rsidR="00F17A4B" w:rsidRPr="00F452D0">
        <w:rPr>
          <w:rFonts w:ascii="Times New Roman" w:hAnsi="Times New Roman"/>
          <w:sz w:val="24"/>
          <w:szCs w:val="24"/>
          <w:lang w:eastAsia="en-US"/>
        </w:rPr>
        <w:t xml:space="preserve"> čistého zisku </w:t>
      </w:r>
      <w:r w:rsidR="00F27705" w:rsidRPr="00F452D0">
        <w:rPr>
          <w:rFonts w:ascii="Times New Roman" w:hAnsi="Times New Roman"/>
          <w:sz w:val="24"/>
          <w:szCs w:val="24"/>
          <w:lang w:eastAsia="en-US"/>
        </w:rPr>
        <w:t>DDS</w:t>
      </w:r>
      <w:r w:rsidR="00F17A4B" w:rsidRPr="00F452D0">
        <w:rPr>
          <w:rFonts w:ascii="Times New Roman" w:hAnsi="Times New Roman"/>
          <w:sz w:val="24"/>
          <w:szCs w:val="24"/>
          <w:lang w:eastAsia="en-US"/>
        </w:rPr>
        <w:t xml:space="preserve"> </w:t>
      </w:r>
      <w:r w:rsidR="002848DA" w:rsidRPr="00F452D0">
        <w:rPr>
          <w:rFonts w:ascii="Times New Roman" w:hAnsi="Times New Roman"/>
          <w:sz w:val="24"/>
          <w:szCs w:val="24"/>
          <w:lang w:eastAsia="en-US"/>
        </w:rPr>
        <w:t>(</w:t>
      </w:r>
      <w:r w:rsidR="00F17A4B" w:rsidRPr="00F452D0">
        <w:rPr>
          <w:rFonts w:ascii="Times New Roman" w:hAnsi="Times New Roman"/>
          <w:sz w:val="24"/>
          <w:szCs w:val="24"/>
          <w:lang w:eastAsia="en-US"/>
        </w:rPr>
        <w:t>o viac ako 80 %</w:t>
      </w:r>
      <w:r w:rsidR="002848DA" w:rsidRPr="00F452D0">
        <w:rPr>
          <w:rFonts w:ascii="Times New Roman" w:hAnsi="Times New Roman"/>
          <w:sz w:val="24"/>
          <w:szCs w:val="24"/>
          <w:lang w:eastAsia="en-US"/>
        </w:rPr>
        <w:t>)</w:t>
      </w:r>
      <w:r w:rsidR="00F17A4B" w:rsidRPr="00F452D0">
        <w:rPr>
          <w:rFonts w:ascii="Times New Roman" w:hAnsi="Times New Roman"/>
          <w:sz w:val="24"/>
          <w:szCs w:val="24"/>
          <w:lang w:eastAsia="en-US"/>
        </w:rPr>
        <w:t xml:space="preserve">, v ďalších rokoch ministerstvo predpokladá postupnú stabilizáciu sektora doplnkového dôchodkového sporenia s úrovňou čistého zisku aj rentability vlastného kapitálu </w:t>
      </w:r>
      <w:r w:rsidR="002848DA" w:rsidRPr="00F452D0">
        <w:rPr>
          <w:rFonts w:ascii="Times New Roman" w:hAnsi="Times New Roman"/>
          <w:sz w:val="24"/>
          <w:szCs w:val="24"/>
          <w:lang w:eastAsia="en-US"/>
        </w:rPr>
        <w:t>v roku 2026</w:t>
      </w:r>
      <w:r w:rsidR="00F17A4B" w:rsidRPr="00F452D0">
        <w:rPr>
          <w:rFonts w:ascii="Times New Roman" w:hAnsi="Times New Roman"/>
          <w:sz w:val="24"/>
          <w:szCs w:val="24"/>
          <w:lang w:eastAsia="en-US"/>
        </w:rPr>
        <w:t xml:space="preserve"> na úrovni porovnateľnej s rokom 2018.</w:t>
      </w:r>
      <w:r w:rsidR="00265DA8" w:rsidRPr="00F452D0">
        <w:rPr>
          <w:rFonts w:ascii="Times New Roman" w:hAnsi="Times New Roman"/>
          <w:sz w:val="24"/>
          <w:szCs w:val="24"/>
          <w:lang w:eastAsia="en-US"/>
        </w:rPr>
        <w:t xml:space="preserve"> Je však nevyhnutné uviesť, že v závere dotknutej kapitoly ministerstvo </w:t>
      </w:r>
      <w:r w:rsidR="00C351B0" w:rsidRPr="00F452D0">
        <w:rPr>
          <w:rFonts w:ascii="Times New Roman" w:hAnsi="Times New Roman"/>
          <w:sz w:val="24"/>
          <w:szCs w:val="24"/>
          <w:lang w:eastAsia="en-US"/>
        </w:rPr>
        <w:t xml:space="preserve">priamo </w:t>
      </w:r>
      <w:r w:rsidR="00265DA8" w:rsidRPr="00F452D0">
        <w:rPr>
          <w:rFonts w:ascii="Times New Roman" w:hAnsi="Times New Roman"/>
          <w:sz w:val="24"/>
          <w:szCs w:val="24"/>
          <w:lang w:eastAsia="en-US"/>
        </w:rPr>
        <w:t xml:space="preserve">uvádza, že </w:t>
      </w:r>
      <w:r w:rsidR="00C351B0" w:rsidRPr="00F452D0">
        <w:rPr>
          <w:rFonts w:ascii="Times New Roman" w:hAnsi="Times New Roman"/>
          <w:sz w:val="24"/>
          <w:szCs w:val="24"/>
          <w:lang w:eastAsia="en-US"/>
        </w:rPr>
        <w:t xml:space="preserve">z </w:t>
      </w:r>
      <w:r w:rsidR="00265DA8" w:rsidRPr="00F452D0">
        <w:rPr>
          <w:rFonts w:ascii="Times New Roman" w:hAnsi="Times New Roman"/>
          <w:sz w:val="24"/>
          <w:szCs w:val="24"/>
          <w:lang w:eastAsia="en-US"/>
        </w:rPr>
        <w:t xml:space="preserve">ponúknutých alternatív je </w:t>
      </w:r>
      <w:r w:rsidR="00C351B0" w:rsidRPr="00F452D0">
        <w:rPr>
          <w:rFonts w:ascii="Times New Roman" w:hAnsi="Times New Roman"/>
          <w:sz w:val="24"/>
          <w:szCs w:val="24"/>
          <w:lang w:eastAsia="en-US"/>
        </w:rPr>
        <w:t>vzhľadom na udržanie</w:t>
      </w:r>
      <w:r w:rsidR="00265DA8" w:rsidRPr="00F452D0">
        <w:rPr>
          <w:rFonts w:ascii="Times New Roman" w:hAnsi="Times New Roman"/>
          <w:sz w:val="24"/>
          <w:szCs w:val="24"/>
          <w:lang w:eastAsia="en-US"/>
        </w:rPr>
        <w:t xml:space="preserve"> relatívnej stability sektora </w:t>
      </w:r>
      <w:r w:rsidR="00265DA8" w:rsidRPr="00F452D0">
        <w:rPr>
          <w:rFonts w:ascii="Times New Roman" w:hAnsi="Times New Roman"/>
          <w:b/>
          <w:sz w:val="24"/>
          <w:szCs w:val="24"/>
          <w:lang w:eastAsia="en-US"/>
        </w:rPr>
        <w:t>vhodnejšou alternatívou metóda postupného znižovania odplaty za správu príspevkového doplnkového dôchodkového fondu</w:t>
      </w:r>
      <w:r w:rsidR="00265DA8" w:rsidRPr="00F452D0">
        <w:rPr>
          <w:rFonts w:ascii="Times New Roman" w:hAnsi="Times New Roman"/>
          <w:sz w:val="24"/>
          <w:szCs w:val="24"/>
          <w:lang w:eastAsia="en-US"/>
        </w:rPr>
        <w:t>.</w:t>
      </w:r>
    </w:p>
    <w:p w:rsidR="00265DA8" w:rsidRPr="00F452D0" w:rsidRDefault="00265DA8" w:rsidP="00DA10DB">
      <w:pPr>
        <w:ind w:firstLine="709"/>
        <w:jc w:val="both"/>
        <w:rPr>
          <w:rFonts w:ascii="Times New Roman" w:hAnsi="Times New Roman"/>
          <w:sz w:val="24"/>
          <w:szCs w:val="24"/>
          <w:lang w:eastAsia="en-US"/>
        </w:rPr>
      </w:pPr>
    </w:p>
    <w:p w:rsidR="00181748" w:rsidRPr="00F452D0" w:rsidRDefault="0024379D" w:rsidP="00181748">
      <w:pPr>
        <w:ind w:firstLine="709"/>
        <w:jc w:val="both"/>
        <w:rPr>
          <w:rFonts w:ascii="Times New Roman" w:hAnsi="Times New Roman"/>
          <w:b/>
          <w:sz w:val="24"/>
          <w:szCs w:val="24"/>
          <w:lang w:eastAsia="en-US"/>
        </w:rPr>
      </w:pPr>
      <w:r w:rsidRPr="00F452D0">
        <w:rPr>
          <w:rFonts w:ascii="Times New Roman" w:hAnsi="Times New Roman"/>
          <w:sz w:val="24"/>
          <w:szCs w:val="24"/>
          <w:lang w:eastAsia="en-US"/>
        </w:rPr>
        <w:t>V nadväznosti na výsledky predmetnej analýzy</w:t>
      </w:r>
      <w:r w:rsidR="002848DA" w:rsidRPr="00F452D0">
        <w:rPr>
          <w:rFonts w:ascii="Times New Roman" w:hAnsi="Times New Roman"/>
          <w:sz w:val="24"/>
          <w:szCs w:val="24"/>
          <w:lang w:eastAsia="en-US"/>
        </w:rPr>
        <w:t xml:space="preserve"> a najmä</w:t>
      </w:r>
      <w:r w:rsidRPr="00F452D0">
        <w:rPr>
          <w:rFonts w:ascii="Times New Roman" w:hAnsi="Times New Roman"/>
          <w:sz w:val="24"/>
          <w:szCs w:val="24"/>
          <w:lang w:eastAsia="en-US"/>
        </w:rPr>
        <w:t xml:space="preserve"> ďalšie záväzky vlády Slovenskej republiky</w:t>
      </w:r>
      <w:r w:rsidR="00C351B0" w:rsidRPr="00F452D0">
        <w:rPr>
          <w:rFonts w:ascii="Times New Roman" w:hAnsi="Times New Roman"/>
          <w:sz w:val="24"/>
          <w:szCs w:val="24"/>
          <w:lang w:eastAsia="en-US"/>
        </w:rPr>
        <w:t xml:space="preserve"> predložilo ministerstvo v roku </w:t>
      </w:r>
      <w:r w:rsidR="003F440A" w:rsidRPr="00F452D0">
        <w:rPr>
          <w:rFonts w:ascii="Times New Roman" w:hAnsi="Times New Roman"/>
          <w:sz w:val="24"/>
          <w:szCs w:val="24"/>
          <w:lang w:eastAsia="en-US"/>
        </w:rPr>
        <w:t xml:space="preserve">2021 </w:t>
      </w:r>
      <w:r w:rsidR="00C351B0" w:rsidRPr="00F452D0">
        <w:rPr>
          <w:rFonts w:ascii="Times New Roman" w:hAnsi="Times New Roman"/>
          <w:sz w:val="24"/>
          <w:szCs w:val="24"/>
          <w:lang w:eastAsia="en-US"/>
        </w:rPr>
        <w:t xml:space="preserve">na medzirezortné pripomienkové konanie </w:t>
      </w:r>
      <w:r w:rsidR="00C351B0" w:rsidRPr="00F452D0">
        <w:rPr>
          <w:rFonts w:ascii="Times New Roman" w:hAnsi="Times New Roman"/>
          <w:b/>
          <w:sz w:val="24"/>
          <w:szCs w:val="24"/>
          <w:lang w:eastAsia="en-US"/>
        </w:rPr>
        <w:t>návrh zákona o osobnom dôchodkovom produkte a o zmene a doplnení niektorých zákonov</w:t>
      </w:r>
      <w:r w:rsidR="00C351B0" w:rsidRPr="00F452D0">
        <w:rPr>
          <w:rFonts w:ascii="Times New Roman" w:hAnsi="Times New Roman"/>
          <w:sz w:val="24"/>
          <w:szCs w:val="24"/>
          <w:lang w:eastAsia="en-US"/>
        </w:rPr>
        <w:t xml:space="preserve"> (ďalej len „návrh zákona o ODP“), v ktorom aj v kontexte iných zásadných koncepčných a parametrických zmien v sektore dobrovoľného zabezpečenia na dôchodok </w:t>
      </w:r>
      <w:r w:rsidR="00C351B0" w:rsidRPr="00F452D0">
        <w:rPr>
          <w:rFonts w:ascii="Times New Roman" w:hAnsi="Times New Roman"/>
          <w:b/>
          <w:sz w:val="24"/>
          <w:szCs w:val="24"/>
          <w:lang w:eastAsia="en-US"/>
        </w:rPr>
        <w:t xml:space="preserve">navrhlo </w:t>
      </w:r>
      <w:r w:rsidR="00181748" w:rsidRPr="00F452D0">
        <w:rPr>
          <w:rFonts w:ascii="Times New Roman" w:hAnsi="Times New Roman"/>
          <w:b/>
          <w:sz w:val="24"/>
          <w:szCs w:val="24"/>
          <w:lang w:eastAsia="en-US"/>
        </w:rPr>
        <w:t xml:space="preserve">tiež </w:t>
      </w:r>
      <w:r w:rsidR="00C351B0" w:rsidRPr="00F452D0">
        <w:rPr>
          <w:rFonts w:ascii="Times New Roman" w:hAnsi="Times New Roman"/>
          <w:b/>
          <w:sz w:val="24"/>
          <w:szCs w:val="24"/>
          <w:lang w:eastAsia="en-US"/>
        </w:rPr>
        <w:t xml:space="preserve">zmeny v štruktúre a výške odplát pre </w:t>
      </w:r>
      <w:r w:rsidR="004E4631" w:rsidRPr="00F452D0">
        <w:rPr>
          <w:rFonts w:ascii="Times New Roman" w:hAnsi="Times New Roman"/>
          <w:b/>
          <w:sz w:val="24"/>
          <w:szCs w:val="24"/>
          <w:lang w:eastAsia="en-US"/>
        </w:rPr>
        <w:t>DDS</w:t>
      </w:r>
      <w:r w:rsidR="00C351B0" w:rsidRPr="00F452D0">
        <w:rPr>
          <w:rFonts w:ascii="Times New Roman" w:hAnsi="Times New Roman"/>
          <w:sz w:val="24"/>
          <w:szCs w:val="24"/>
          <w:lang w:eastAsia="en-US"/>
        </w:rPr>
        <w:t>, a to v prospech účastníka (zníženie maximálnej odplaty za správu doplnkového dôchodkového fond</w:t>
      </w:r>
      <w:r w:rsidR="00F27705" w:rsidRPr="00F452D0">
        <w:rPr>
          <w:rFonts w:ascii="Times New Roman" w:hAnsi="Times New Roman"/>
          <w:sz w:val="24"/>
          <w:szCs w:val="24"/>
          <w:lang w:eastAsia="en-US"/>
        </w:rPr>
        <w:t>u</w:t>
      </w:r>
      <w:r w:rsidR="00C351B0" w:rsidRPr="00F452D0">
        <w:rPr>
          <w:rFonts w:ascii="Times New Roman" w:hAnsi="Times New Roman"/>
          <w:sz w:val="24"/>
          <w:szCs w:val="24"/>
          <w:lang w:eastAsia="en-US"/>
        </w:rPr>
        <w:t xml:space="preserve"> na 1 % a zrušenie odplaty za prestup do inej </w:t>
      </w:r>
      <w:r w:rsidR="00F27705" w:rsidRPr="00F452D0">
        <w:rPr>
          <w:rFonts w:ascii="Times New Roman" w:hAnsi="Times New Roman"/>
          <w:sz w:val="24"/>
          <w:szCs w:val="24"/>
          <w:lang w:eastAsia="en-US"/>
        </w:rPr>
        <w:t>DDS</w:t>
      </w:r>
      <w:r w:rsidR="00C351B0" w:rsidRPr="00F452D0">
        <w:rPr>
          <w:rFonts w:ascii="Times New Roman" w:hAnsi="Times New Roman"/>
          <w:sz w:val="24"/>
          <w:szCs w:val="24"/>
          <w:lang w:eastAsia="en-US"/>
        </w:rPr>
        <w:t xml:space="preserve">). </w:t>
      </w:r>
      <w:r w:rsidR="00181748" w:rsidRPr="00F452D0">
        <w:rPr>
          <w:rFonts w:ascii="Times New Roman" w:hAnsi="Times New Roman"/>
          <w:sz w:val="24"/>
          <w:szCs w:val="24"/>
          <w:lang w:eastAsia="en-US"/>
        </w:rPr>
        <w:t xml:space="preserve">Ďalšiemu prirodzenému znižovaniu hladiny odplát mali po schválení návrhu zákona o ODP pomôcť aj </w:t>
      </w:r>
      <w:r w:rsidR="00181748" w:rsidRPr="00F452D0">
        <w:rPr>
          <w:rFonts w:ascii="Times New Roman" w:hAnsi="Times New Roman"/>
          <w:b/>
          <w:sz w:val="24"/>
          <w:szCs w:val="24"/>
          <w:lang w:eastAsia="en-US"/>
        </w:rPr>
        <w:t>opatrenia smerujúce k zvýšeniu konkurencie</w:t>
      </w:r>
      <w:r w:rsidR="00181748" w:rsidRPr="00F452D0">
        <w:rPr>
          <w:rFonts w:ascii="Times New Roman" w:hAnsi="Times New Roman"/>
          <w:sz w:val="24"/>
          <w:szCs w:val="24"/>
          <w:lang w:eastAsia="en-US"/>
        </w:rPr>
        <w:t xml:space="preserve"> (rozšírenie priamych aj nepriamych fiškálnych stimulov na iné finančné inštitúcie ako </w:t>
      </w:r>
      <w:r w:rsidR="004E4631" w:rsidRPr="00F452D0">
        <w:rPr>
          <w:rFonts w:ascii="Times New Roman" w:hAnsi="Times New Roman"/>
          <w:sz w:val="24"/>
          <w:szCs w:val="24"/>
          <w:lang w:eastAsia="en-US"/>
        </w:rPr>
        <w:t>DDS</w:t>
      </w:r>
      <w:r w:rsidR="00181748" w:rsidRPr="00F452D0">
        <w:rPr>
          <w:rFonts w:ascii="Times New Roman" w:hAnsi="Times New Roman"/>
          <w:sz w:val="24"/>
          <w:szCs w:val="24"/>
          <w:lang w:eastAsia="en-US"/>
        </w:rPr>
        <w:t>)</w:t>
      </w:r>
      <w:r w:rsidR="005A2AA0" w:rsidRPr="00F452D0">
        <w:rPr>
          <w:rFonts w:ascii="Times New Roman" w:hAnsi="Times New Roman"/>
          <w:sz w:val="24"/>
          <w:szCs w:val="24"/>
          <w:lang w:eastAsia="en-US"/>
        </w:rPr>
        <w:t xml:space="preserve"> ako aj návrhy na </w:t>
      </w:r>
      <w:r w:rsidR="005A2AA0" w:rsidRPr="00F452D0">
        <w:rPr>
          <w:rFonts w:ascii="Times New Roman" w:hAnsi="Times New Roman"/>
          <w:b/>
          <w:sz w:val="24"/>
          <w:szCs w:val="24"/>
          <w:lang w:eastAsia="en-US"/>
        </w:rPr>
        <w:t>zníženie regulačnej záťaže a podmienok vykonávania činnosti</w:t>
      </w:r>
      <w:r w:rsidR="005A2AA0" w:rsidRPr="00F452D0">
        <w:rPr>
          <w:rFonts w:ascii="Times New Roman" w:hAnsi="Times New Roman"/>
          <w:sz w:val="24"/>
          <w:szCs w:val="24"/>
          <w:lang w:eastAsia="en-US"/>
        </w:rPr>
        <w:t xml:space="preserve"> (zrušenie výplatných doplnkových dôchodkových fondov, zrušenie povinnosti vymáhania príspevkov na doplnkové dôchodkové sporenie a pod.)</w:t>
      </w:r>
      <w:r w:rsidR="00181748" w:rsidRPr="00F452D0">
        <w:rPr>
          <w:rFonts w:ascii="Times New Roman" w:hAnsi="Times New Roman"/>
          <w:sz w:val="24"/>
          <w:szCs w:val="24"/>
          <w:lang w:eastAsia="en-US"/>
        </w:rPr>
        <w:t xml:space="preserve">. </w:t>
      </w:r>
      <w:r w:rsidR="00107772" w:rsidRPr="00F452D0">
        <w:rPr>
          <w:rFonts w:ascii="Times New Roman" w:hAnsi="Times New Roman"/>
          <w:sz w:val="24"/>
          <w:szCs w:val="24"/>
          <w:lang w:eastAsia="en-US"/>
        </w:rPr>
        <w:t>V</w:t>
      </w:r>
      <w:r w:rsidR="00181748" w:rsidRPr="00F452D0">
        <w:rPr>
          <w:rFonts w:ascii="Times New Roman" w:hAnsi="Times New Roman"/>
          <w:sz w:val="24"/>
          <w:szCs w:val="24"/>
          <w:lang w:eastAsia="en-US"/>
        </w:rPr>
        <w:t xml:space="preserve"> nadväznosti na výsledok rozporového konania s Ministerstvom financií Slovenskej republiky </w:t>
      </w:r>
      <w:r w:rsidR="00107772" w:rsidRPr="00F452D0">
        <w:rPr>
          <w:rFonts w:ascii="Times New Roman" w:hAnsi="Times New Roman"/>
          <w:sz w:val="24"/>
          <w:szCs w:val="24"/>
          <w:lang w:eastAsia="en-US"/>
        </w:rPr>
        <w:t xml:space="preserve">však </w:t>
      </w:r>
      <w:r w:rsidR="00181748" w:rsidRPr="00F452D0">
        <w:rPr>
          <w:rFonts w:ascii="Times New Roman" w:hAnsi="Times New Roman"/>
          <w:sz w:val="24"/>
          <w:szCs w:val="24"/>
          <w:lang w:eastAsia="en-US"/>
        </w:rPr>
        <w:t xml:space="preserve">boli z pôvodne predloženého návrhu zákona o ODP vypustené všetky navrhované fiškálne stimuly smerujúce k zvýšeniu pokrytia jednotlivcov produktmi dobrovoľného dôchodkového zabezpečenia, v dôsledku čoho bol následne </w:t>
      </w:r>
      <w:r w:rsidR="00107772" w:rsidRPr="00F452D0">
        <w:rPr>
          <w:rFonts w:ascii="Times New Roman" w:hAnsi="Times New Roman"/>
          <w:sz w:val="24"/>
          <w:szCs w:val="24"/>
          <w:lang w:eastAsia="en-US"/>
        </w:rPr>
        <w:t xml:space="preserve">aj na základe </w:t>
      </w:r>
      <w:r w:rsidR="00181748" w:rsidRPr="00F452D0">
        <w:rPr>
          <w:rFonts w:ascii="Times New Roman" w:hAnsi="Times New Roman"/>
          <w:sz w:val="24"/>
          <w:szCs w:val="24"/>
          <w:lang w:eastAsia="en-US"/>
        </w:rPr>
        <w:t xml:space="preserve">rozporových konaní s inými subjektmi postupne pôvodný návrh zákona upravený a vypustili sa všetky ustanovenia </w:t>
      </w:r>
      <w:r w:rsidR="00107772" w:rsidRPr="00F452D0">
        <w:rPr>
          <w:rFonts w:ascii="Times New Roman" w:hAnsi="Times New Roman"/>
          <w:sz w:val="24"/>
          <w:szCs w:val="24"/>
          <w:lang w:eastAsia="en-US"/>
        </w:rPr>
        <w:t xml:space="preserve">o osobnom dôchodkovom produkte </w:t>
      </w:r>
      <w:r w:rsidR="00181748" w:rsidRPr="00F452D0">
        <w:rPr>
          <w:rFonts w:ascii="Times New Roman" w:hAnsi="Times New Roman"/>
          <w:sz w:val="24"/>
          <w:szCs w:val="24"/>
          <w:lang w:eastAsia="en-US"/>
        </w:rPr>
        <w:t>a rovnako aj ďalšie články, ktorými sa menili a dopĺňali iné zákony</w:t>
      </w:r>
      <w:r w:rsidR="00107772" w:rsidRPr="00F452D0">
        <w:rPr>
          <w:rFonts w:ascii="Times New Roman" w:hAnsi="Times New Roman"/>
          <w:sz w:val="24"/>
          <w:szCs w:val="24"/>
          <w:lang w:eastAsia="en-US"/>
        </w:rPr>
        <w:t xml:space="preserve">. Vypustil sa tak aj článok, ktorým sa mal </w:t>
      </w:r>
      <w:r w:rsidR="00107772" w:rsidRPr="00F452D0">
        <w:rPr>
          <w:rFonts w:ascii="Times New Roman" w:hAnsi="Times New Roman"/>
          <w:sz w:val="24"/>
          <w:szCs w:val="24"/>
          <w:lang w:eastAsia="en-US"/>
        </w:rPr>
        <w:lastRenderedPageBreak/>
        <w:t xml:space="preserve">meniť a dopĺňať zákon č. 650/2004 Z. z. o doplnkovom dôchodkovom sporení a o zmene a doplnení niektorých zákonov v znení neskorších predpisov, </w:t>
      </w:r>
      <w:r w:rsidR="00107772" w:rsidRPr="00F452D0">
        <w:rPr>
          <w:rFonts w:ascii="Times New Roman" w:hAnsi="Times New Roman"/>
          <w:b/>
          <w:sz w:val="24"/>
          <w:szCs w:val="24"/>
          <w:lang w:eastAsia="en-US"/>
        </w:rPr>
        <w:t xml:space="preserve">nakoľko </w:t>
      </w:r>
      <w:r w:rsidR="001467D4" w:rsidRPr="00F452D0">
        <w:rPr>
          <w:rFonts w:ascii="Times New Roman" w:hAnsi="Times New Roman"/>
          <w:b/>
          <w:sz w:val="24"/>
          <w:szCs w:val="24"/>
          <w:lang w:eastAsia="en-US"/>
        </w:rPr>
        <w:t xml:space="preserve">sa </w:t>
      </w:r>
      <w:r w:rsidR="00107772" w:rsidRPr="00F452D0">
        <w:rPr>
          <w:rFonts w:ascii="Times New Roman" w:hAnsi="Times New Roman"/>
          <w:b/>
          <w:sz w:val="24"/>
          <w:szCs w:val="24"/>
          <w:lang w:eastAsia="en-US"/>
        </w:rPr>
        <w:t xml:space="preserve">bez zásadných krokov smerujúcich </w:t>
      </w:r>
      <w:r w:rsidR="00902F0C" w:rsidRPr="00F452D0">
        <w:rPr>
          <w:rFonts w:ascii="Times New Roman" w:hAnsi="Times New Roman"/>
          <w:b/>
          <w:sz w:val="24"/>
          <w:szCs w:val="24"/>
          <w:lang w:eastAsia="en-US"/>
        </w:rPr>
        <w:t xml:space="preserve">k </w:t>
      </w:r>
      <w:r w:rsidR="00107772" w:rsidRPr="00F452D0">
        <w:rPr>
          <w:rFonts w:ascii="Times New Roman" w:hAnsi="Times New Roman"/>
          <w:b/>
          <w:sz w:val="24"/>
          <w:szCs w:val="24"/>
          <w:lang w:eastAsia="en-US"/>
        </w:rPr>
        <w:t>zlepšeniu postavenia</w:t>
      </w:r>
      <w:r w:rsidR="005A2AA0" w:rsidRPr="00F452D0">
        <w:rPr>
          <w:rFonts w:ascii="Times New Roman" w:hAnsi="Times New Roman"/>
          <w:b/>
          <w:sz w:val="24"/>
          <w:szCs w:val="24"/>
          <w:lang w:eastAsia="en-US"/>
        </w:rPr>
        <w:t xml:space="preserve"> a fungovania</w:t>
      </w:r>
      <w:r w:rsidR="00107772" w:rsidRPr="00F452D0">
        <w:rPr>
          <w:rFonts w:ascii="Times New Roman" w:hAnsi="Times New Roman"/>
          <w:b/>
          <w:sz w:val="24"/>
          <w:szCs w:val="24"/>
          <w:lang w:eastAsia="en-US"/>
        </w:rPr>
        <w:t xml:space="preserve"> dobrovoľného zabezpečenia na dôchodok javili </w:t>
      </w:r>
      <w:r w:rsidR="001467D4" w:rsidRPr="00F452D0">
        <w:rPr>
          <w:rFonts w:ascii="Times New Roman" w:hAnsi="Times New Roman"/>
          <w:b/>
          <w:sz w:val="24"/>
          <w:szCs w:val="24"/>
          <w:lang w:eastAsia="en-US"/>
        </w:rPr>
        <w:t xml:space="preserve">tieto parciálne zmeny </w:t>
      </w:r>
      <w:r w:rsidR="00107772" w:rsidRPr="00F452D0">
        <w:rPr>
          <w:rFonts w:ascii="Times New Roman" w:hAnsi="Times New Roman"/>
          <w:b/>
          <w:sz w:val="24"/>
          <w:szCs w:val="24"/>
          <w:lang w:eastAsia="en-US"/>
        </w:rPr>
        <w:t>ako nedostatočné</w:t>
      </w:r>
      <w:r w:rsidR="002848DA" w:rsidRPr="00F452D0">
        <w:rPr>
          <w:rFonts w:ascii="Times New Roman" w:hAnsi="Times New Roman"/>
          <w:b/>
          <w:sz w:val="24"/>
          <w:szCs w:val="24"/>
          <w:lang w:eastAsia="en-US"/>
        </w:rPr>
        <w:t xml:space="preserve"> a ako také by významne neprispeli k zvýšeniu efektívnosti doplnkového dôchodkového sporenia</w:t>
      </w:r>
      <w:r w:rsidR="00107772" w:rsidRPr="00F452D0">
        <w:rPr>
          <w:rFonts w:ascii="Times New Roman" w:hAnsi="Times New Roman"/>
          <w:b/>
          <w:sz w:val="24"/>
          <w:szCs w:val="24"/>
          <w:lang w:eastAsia="en-US"/>
        </w:rPr>
        <w:t>.</w:t>
      </w:r>
    </w:p>
    <w:p w:rsidR="00265DA8" w:rsidRPr="00F452D0" w:rsidRDefault="00265DA8" w:rsidP="00DA10DB">
      <w:pPr>
        <w:ind w:firstLine="709"/>
        <w:jc w:val="both"/>
        <w:rPr>
          <w:rFonts w:ascii="Times New Roman" w:hAnsi="Times New Roman"/>
          <w:sz w:val="24"/>
          <w:szCs w:val="24"/>
          <w:lang w:eastAsia="en-US"/>
        </w:rPr>
      </w:pPr>
    </w:p>
    <w:p w:rsidR="0086394C" w:rsidRPr="00F452D0" w:rsidRDefault="005A2AA0" w:rsidP="00F0688F">
      <w:pPr>
        <w:ind w:firstLine="709"/>
        <w:jc w:val="both"/>
        <w:rPr>
          <w:rFonts w:ascii="Times New Roman" w:hAnsi="Times New Roman"/>
          <w:sz w:val="24"/>
          <w:szCs w:val="24"/>
          <w:lang w:eastAsia="en-US"/>
        </w:rPr>
      </w:pPr>
      <w:r w:rsidRPr="00F452D0">
        <w:rPr>
          <w:rFonts w:ascii="Times New Roman" w:hAnsi="Times New Roman"/>
          <w:sz w:val="24"/>
          <w:szCs w:val="24"/>
          <w:lang w:eastAsia="en-US"/>
        </w:rPr>
        <w:t>Predkladatelia poslaneckého návrhu v doložke vybraných vplyvov uviedli</w:t>
      </w:r>
      <w:r w:rsidR="0060039D" w:rsidRPr="00F452D0">
        <w:rPr>
          <w:rFonts w:ascii="Times New Roman" w:hAnsi="Times New Roman"/>
          <w:sz w:val="24"/>
          <w:szCs w:val="24"/>
          <w:lang w:eastAsia="en-US"/>
        </w:rPr>
        <w:t xml:space="preserve">, že </w:t>
      </w:r>
      <w:r w:rsidR="00202F89" w:rsidRPr="00F452D0">
        <w:rPr>
          <w:rFonts w:ascii="Times New Roman" w:hAnsi="Times New Roman"/>
          <w:sz w:val="24"/>
          <w:szCs w:val="24"/>
          <w:lang w:eastAsia="en-US"/>
        </w:rPr>
        <w:t xml:space="preserve">v prechodnom období môže prísť k zníženiu príjmov DDS, čo môže mierne znížiť výber dane z príjmov </w:t>
      </w:r>
      <w:r w:rsidR="00271D6B" w:rsidRPr="00F452D0">
        <w:rPr>
          <w:rFonts w:ascii="Times New Roman" w:hAnsi="Times New Roman"/>
          <w:sz w:val="24"/>
          <w:szCs w:val="24"/>
          <w:lang w:eastAsia="en-US"/>
        </w:rPr>
        <w:t xml:space="preserve">právnických </w:t>
      </w:r>
      <w:r w:rsidR="00202F89" w:rsidRPr="00F452D0">
        <w:rPr>
          <w:rFonts w:ascii="Times New Roman" w:hAnsi="Times New Roman"/>
          <w:sz w:val="24"/>
          <w:szCs w:val="24"/>
          <w:lang w:eastAsia="en-US"/>
        </w:rPr>
        <w:t xml:space="preserve">osôb. Zároveň predkladatelia poslaneckého návrhu v doložke vybraných vplyvov predpokladajú, že uvedený výpadok príjmov môže byť v budúcnosti kompenzovaný vyšším výnosom z odplaty za zhodnotenie. Predmetné tvrdenie však nie je podložené žiadnou kvantifikáciou. </w:t>
      </w:r>
      <w:r w:rsidR="00DA10DB" w:rsidRPr="00F452D0">
        <w:rPr>
          <w:rFonts w:ascii="Times New Roman" w:hAnsi="Times New Roman"/>
          <w:sz w:val="24"/>
          <w:szCs w:val="24"/>
          <w:lang w:eastAsia="en-US"/>
        </w:rPr>
        <w:t xml:space="preserve">V prípade </w:t>
      </w:r>
      <w:r w:rsidR="001467D4" w:rsidRPr="00F452D0">
        <w:rPr>
          <w:rFonts w:ascii="Times New Roman" w:hAnsi="Times New Roman"/>
          <w:sz w:val="24"/>
          <w:szCs w:val="24"/>
          <w:lang w:eastAsia="en-US"/>
        </w:rPr>
        <w:t xml:space="preserve">prijatia </w:t>
      </w:r>
      <w:r w:rsidR="00DA10DB" w:rsidRPr="00F452D0">
        <w:rPr>
          <w:rFonts w:ascii="Times New Roman" w:hAnsi="Times New Roman"/>
          <w:sz w:val="24"/>
          <w:szCs w:val="24"/>
          <w:lang w:eastAsia="en-US"/>
        </w:rPr>
        <w:t>právnej úpravy v</w:t>
      </w:r>
      <w:r w:rsidR="001467D4" w:rsidRPr="00F452D0">
        <w:rPr>
          <w:rFonts w:ascii="Times New Roman" w:hAnsi="Times New Roman"/>
          <w:sz w:val="24"/>
          <w:szCs w:val="24"/>
          <w:lang w:eastAsia="en-US"/>
        </w:rPr>
        <w:t xml:space="preserve"> navrhovanej </w:t>
      </w:r>
      <w:r w:rsidR="00DA10DB" w:rsidRPr="00F452D0">
        <w:rPr>
          <w:rFonts w:ascii="Times New Roman" w:hAnsi="Times New Roman"/>
          <w:sz w:val="24"/>
          <w:szCs w:val="24"/>
          <w:lang w:eastAsia="en-US"/>
        </w:rPr>
        <w:t xml:space="preserve">podobe, a teda </w:t>
      </w:r>
      <w:r w:rsidR="00902F0C" w:rsidRPr="00F452D0">
        <w:rPr>
          <w:rFonts w:ascii="Times New Roman" w:hAnsi="Times New Roman"/>
          <w:sz w:val="24"/>
          <w:szCs w:val="24"/>
          <w:lang w:eastAsia="en-US"/>
        </w:rPr>
        <w:t xml:space="preserve">skokovitého </w:t>
      </w:r>
      <w:r w:rsidR="001467D4" w:rsidRPr="00F452D0">
        <w:rPr>
          <w:rFonts w:ascii="Times New Roman" w:hAnsi="Times New Roman"/>
          <w:sz w:val="24"/>
          <w:szCs w:val="24"/>
          <w:lang w:eastAsia="en-US"/>
        </w:rPr>
        <w:t>zníženia maximálnej odplaty za správu doplnkového dôchodkového fondu na 0,6 % priemernej ročnej čistej hodnoty majetku v príspevkovom doplnkovom dôchodkovom fonde</w:t>
      </w:r>
      <w:r w:rsidR="006E6A30" w:rsidRPr="00F452D0">
        <w:rPr>
          <w:rFonts w:ascii="Times New Roman" w:hAnsi="Times New Roman"/>
          <w:sz w:val="24"/>
          <w:szCs w:val="24"/>
          <w:lang w:eastAsia="en-US"/>
        </w:rPr>
        <w:t xml:space="preserve"> by</w:t>
      </w:r>
      <w:r w:rsidR="0060039D" w:rsidRPr="00F452D0">
        <w:rPr>
          <w:rFonts w:ascii="Times New Roman" w:hAnsi="Times New Roman"/>
          <w:sz w:val="24"/>
          <w:szCs w:val="24"/>
          <w:lang w:eastAsia="en-US"/>
        </w:rPr>
        <w:t xml:space="preserve"> pri aplikácii tohto stavu na výsledky hospodárenia v roku 2021</w:t>
      </w:r>
      <w:r w:rsidR="006E6A30" w:rsidRPr="00F452D0">
        <w:rPr>
          <w:rFonts w:ascii="Times New Roman" w:hAnsi="Times New Roman"/>
          <w:sz w:val="24"/>
          <w:szCs w:val="24"/>
          <w:lang w:eastAsia="en-US"/>
        </w:rPr>
        <w:t xml:space="preserve"> </w:t>
      </w:r>
      <w:r w:rsidR="0060039D" w:rsidRPr="00F452D0">
        <w:rPr>
          <w:rFonts w:ascii="Times New Roman" w:hAnsi="Times New Roman"/>
          <w:sz w:val="24"/>
          <w:szCs w:val="24"/>
          <w:lang w:eastAsia="en-US"/>
        </w:rPr>
        <w:t xml:space="preserve">celkové výnosy sektora z odplát klesli o 33 %. </w:t>
      </w:r>
      <w:r w:rsidR="00AC4932" w:rsidRPr="00F452D0">
        <w:rPr>
          <w:rFonts w:ascii="Times New Roman" w:hAnsi="Times New Roman"/>
          <w:sz w:val="24"/>
          <w:szCs w:val="24"/>
          <w:lang w:eastAsia="en-US"/>
        </w:rPr>
        <w:t xml:space="preserve">Uvedené by sa </w:t>
      </w:r>
      <w:r w:rsidR="00AC4932" w:rsidRPr="00F452D0">
        <w:rPr>
          <w:rFonts w:ascii="Times New Roman" w:hAnsi="Times New Roman"/>
          <w:b/>
          <w:sz w:val="24"/>
          <w:szCs w:val="24"/>
          <w:lang w:eastAsia="en-US"/>
        </w:rPr>
        <w:t xml:space="preserve">negatívne prejavilo aj na celkovom hospodárení správcov, keďže čistý zisk sektora by poklesol o takmer 60 %, pričom jedna </w:t>
      </w:r>
      <w:r w:rsidR="004E4631" w:rsidRPr="00F452D0">
        <w:rPr>
          <w:rFonts w:ascii="Times New Roman" w:hAnsi="Times New Roman"/>
          <w:b/>
          <w:sz w:val="24"/>
          <w:szCs w:val="24"/>
          <w:lang w:eastAsia="en-US"/>
        </w:rPr>
        <w:t>DDS</w:t>
      </w:r>
      <w:r w:rsidR="00AC4932" w:rsidRPr="00F452D0">
        <w:rPr>
          <w:rFonts w:ascii="Times New Roman" w:hAnsi="Times New Roman"/>
          <w:b/>
          <w:sz w:val="24"/>
          <w:szCs w:val="24"/>
          <w:lang w:eastAsia="en-US"/>
        </w:rPr>
        <w:t xml:space="preserve"> by si zrejme neudržala kladný hospodársky výsledok</w:t>
      </w:r>
      <w:r w:rsidR="00AC4932" w:rsidRPr="00F452D0">
        <w:rPr>
          <w:rFonts w:ascii="Times New Roman" w:hAnsi="Times New Roman"/>
          <w:sz w:val="24"/>
          <w:szCs w:val="24"/>
          <w:lang w:eastAsia="en-US"/>
        </w:rPr>
        <w:t xml:space="preserve">. </w:t>
      </w:r>
    </w:p>
    <w:p w:rsidR="006055FF" w:rsidRPr="00F452D0" w:rsidRDefault="006055FF" w:rsidP="00F0688F">
      <w:pPr>
        <w:ind w:firstLine="709"/>
        <w:jc w:val="both"/>
        <w:rPr>
          <w:rFonts w:ascii="Times New Roman" w:hAnsi="Times New Roman"/>
          <w:sz w:val="24"/>
          <w:szCs w:val="24"/>
          <w:lang w:eastAsia="en-US"/>
        </w:rPr>
      </w:pPr>
    </w:p>
    <w:p w:rsidR="0086394C" w:rsidRPr="00F452D0" w:rsidRDefault="006055FF" w:rsidP="008E4933">
      <w:pPr>
        <w:ind w:firstLine="709"/>
        <w:jc w:val="both"/>
        <w:rPr>
          <w:rFonts w:ascii="Times New Roman" w:hAnsi="Times New Roman"/>
          <w:sz w:val="24"/>
          <w:szCs w:val="24"/>
          <w:lang w:eastAsia="en-US"/>
        </w:rPr>
      </w:pPr>
      <w:r w:rsidRPr="00F452D0">
        <w:rPr>
          <w:rFonts w:ascii="Times New Roman" w:hAnsi="Times New Roman"/>
          <w:sz w:val="24"/>
          <w:szCs w:val="24"/>
          <w:lang w:eastAsia="en-US"/>
        </w:rPr>
        <w:t xml:space="preserve">Na tieto </w:t>
      </w:r>
      <w:r w:rsidR="00DC4316" w:rsidRPr="00F452D0">
        <w:rPr>
          <w:rFonts w:ascii="Times New Roman" w:hAnsi="Times New Roman"/>
          <w:sz w:val="24"/>
          <w:szCs w:val="24"/>
          <w:lang w:eastAsia="en-US"/>
        </w:rPr>
        <w:t xml:space="preserve">finančné </w:t>
      </w:r>
      <w:r w:rsidRPr="00F452D0">
        <w:rPr>
          <w:rFonts w:ascii="Times New Roman" w:hAnsi="Times New Roman"/>
          <w:sz w:val="24"/>
          <w:szCs w:val="24"/>
          <w:lang w:eastAsia="en-US"/>
        </w:rPr>
        <w:t>ukazovatele má však vplyv viacero faktorov, ktoré ovplyvňujú dosahované hodnoty výnosov v sektore (zamestnanosť, rast/pokles reálnych miezd, výška daňových a odvodových úľav, resp. iných finančných stimulov ako aj iná zákonná úprava nepriamo zvyšujúca konkurenciu na trhu – celoeurópsky osobný dôchodkový produkt). Je preto nevyhnutné obozretne predikovať možný vplyv takéhoto regulačného zásahu a vyhodnotiť možné dopady aj v podobe ďalšej konsolidácie trhu. Na trhu doplnkového dôchodkového sporenia už v súčasnosti pôsobia len 4 subjekty a v dôsledku veľmi prísnej regulácie a vysokým nákladom spojeným so vstupom na trh je rozvoj trhovej štruktúry málo pravdepodobný.</w:t>
      </w:r>
      <w:r w:rsidR="00D3747A" w:rsidRPr="00F452D0">
        <w:rPr>
          <w:rFonts w:ascii="Times New Roman" w:hAnsi="Times New Roman"/>
          <w:sz w:val="24"/>
          <w:szCs w:val="24"/>
          <w:lang w:eastAsia="en-US"/>
        </w:rPr>
        <w:t xml:space="preserve"> </w:t>
      </w:r>
      <w:r w:rsidR="008E4933" w:rsidRPr="00F452D0">
        <w:rPr>
          <w:rFonts w:ascii="Times New Roman" w:hAnsi="Times New Roman"/>
          <w:sz w:val="24"/>
          <w:szCs w:val="24"/>
          <w:lang w:eastAsia="en-US"/>
        </w:rPr>
        <w:t xml:space="preserve">Výrazné zhoršenie finančných ukazovateľov DDS bez dlhodobej perspektívy zlepšenia situácie na trhu doplnkového dôchodkového sporenia (žiadne systémové opatrenia neboli v posledných rokoch prijaté) by potenciálne mohlo smerovať aj k rozhodnutiu zrušiť DDS s likvidáciou. Upozorňujeme, že </w:t>
      </w:r>
      <w:r w:rsidR="008E4933" w:rsidRPr="00F452D0">
        <w:rPr>
          <w:rFonts w:ascii="Times New Roman" w:hAnsi="Times New Roman"/>
          <w:sz w:val="24"/>
          <w:szCs w:val="24"/>
          <w:lang w:eastAsia="en-US"/>
        </w:rPr>
        <w:lastRenderedPageBreak/>
        <w:t xml:space="preserve">v tomto prípade môže dôjsť aj k vyplateniu jednorazového vyrovnania všetkým účastníkom, a to aj ak nesplnili podmienky vyplácania doplnkového starobného dôchodku (ak zrušeniu doplnkovej dôchodkovej spoločnosti s likvidáciou predchádza zrušenie všetkých doplnkových dôchodkových fondov a nedôjde k prechodu správy na inú DDS). </w:t>
      </w:r>
      <w:r w:rsidR="00025672" w:rsidRPr="00F452D0">
        <w:rPr>
          <w:rFonts w:ascii="Times New Roman" w:hAnsi="Times New Roman"/>
          <w:sz w:val="24"/>
          <w:szCs w:val="24"/>
          <w:lang w:eastAsia="en-US"/>
        </w:rPr>
        <w:t>Akékoľvek ohrozenie úrovne zabezpečenia na dôchodok či už na úrovni jednotlivca alebo celkového pokrytia obyvateľstva dobrovoľnou schémou by bolo v priamom rozpore s politikou ministerstva v tejto oblasti.</w:t>
      </w:r>
    </w:p>
    <w:p w:rsidR="006055FF" w:rsidRPr="00F452D0" w:rsidRDefault="006055FF" w:rsidP="00F0688F">
      <w:pPr>
        <w:ind w:firstLine="709"/>
        <w:jc w:val="both"/>
        <w:rPr>
          <w:rFonts w:ascii="Times New Roman" w:hAnsi="Times New Roman"/>
          <w:sz w:val="24"/>
          <w:szCs w:val="24"/>
          <w:lang w:eastAsia="en-US"/>
        </w:rPr>
      </w:pPr>
    </w:p>
    <w:p w:rsidR="000B300A" w:rsidRPr="00F452D0" w:rsidRDefault="00C434FF" w:rsidP="009F41EC">
      <w:pPr>
        <w:ind w:firstLine="709"/>
        <w:jc w:val="both"/>
        <w:rPr>
          <w:rFonts w:ascii="Times New Roman" w:eastAsia="Times New Roman" w:hAnsi="Times New Roman"/>
          <w:bCs/>
          <w:sz w:val="24"/>
          <w:szCs w:val="24"/>
        </w:rPr>
      </w:pPr>
      <w:r w:rsidRPr="00F452D0">
        <w:rPr>
          <w:rFonts w:ascii="Times New Roman" w:hAnsi="Times New Roman"/>
          <w:sz w:val="24"/>
          <w:szCs w:val="24"/>
          <w:lang w:eastAsia="en-US"/>
        </w:rPr>
        <w:t>Pri pohľade na strednodobú prognózu výnosov</w:t>
      </w:r>
      <w:r w:rsidR="00B843BB" w:rsidRPr="00F452D0">
        <w:rPr>
          <w:rFonts w:ascii="Times New Roman" w:hAnsi="Times New Roman"/>
          <w:sz w:val="24"/>
          <w:szCs w:val="24"/>
          <w:lang w:eastAsia="en-US"/>
        </w:rPr>
        <w:t xml:space="preserve"> a</w:t>
      </w:r>
      <w:r w:rsidR="004E4631" w:rsidRPr="00F452D0">
        <w:rPr>
          <w:rFonts w:ascii="Times New Roman" w:hAnsi="Times New Roman"/>
          <w:sz w:val="24"/>
          <w:szCs w:val="24"/>
          <w:lang w:eastAsia="en-US"/>
        </w:rPr>
        <w:t> </w:t>
      </w:r>
      <w:r w:rsidR="00B843BB" w:rsidRPr="00F452D0">
        <w:rPr>
          <w:rFonts w:ascii="Times New Roman" w:hAnsi="Times New Roman"/>
          <w:sz w:val="24"/>
          <w:szCs w:val="24"/>
          <w:lang w:eastAsia="en-US"/>
        </w:rPr>
        <w:t>nákladov</w:t>
      </w:r>
      <w:r w:rsidR="004E4631" w:rsidRPr="00F452D0">
        <w:rPr>
          <w:rFonts w:ascii="Times New Roman" w:hAnsi="Times New Roman"/>
          <w:sz w:val="24"/>
          <w:szCs w:val="24"/>
          <w:lang w:eastAsia="en-US"/>
        </w:rPr>
        <w:t xml:space="preserve"> trhových subjektov v III</w:t>
      </w:r>
      <w:r w:rsidR="00074EBA" w:rsidRPr="00F452D0">
        <w:rPr>
          <w:rFonts w:ascii="Times New Roman" w:hAnsi="Times New Roman"/>
          <w:sz w:val="24"/>
          <w:szCs w:val="24"/>
          <w:lang w:eastAsia="en-US"/>
        </w:rPr>
        <w:t>. </w:t>
      </w:r>
      <w:r w:rsidR="004E4631" w:rsidRPr="00F452D0">
        <w:rPr>
          <w:rFonts w:ascii="Times New Roman" w:hAnsi="Times New Roman"/>
          <w:sz w:val="24"/>
          <w:szCs w:val="24"/>
          <w:lang w:eastAsia="en-US"/>
        </w:rPr>
        <w:t>pilieri</w:t>
      </w:r>
      <w:r w:rsidRPr="00F452D0">
        <w:rPr>
          <w:rFonts w:ascii="Times New Roman" w:hAnsi="Times New Roman"/>
          <w:sz w:val="24"/>
          <w:szCs w:val="24"/>
          <w:lang w:eastAsia="en-US"/>
        </w:rPr>
        <w:t xml:space="preserve"> možno konštatovať, že jednorazové zníženie odplaty za správu by znamenalo zníženie ukazovateľa celkových nákladov v III. pilieri (ďalej len „TER“) z priemernej úrovne </w:t>
      </w:r>
      <w:r w:rsidR="00DA22C5" w:rsidRPr="00F452D0">
        <w:rPr>
          <w:rFonts w:ascii="Times New Roman" w:hAnsi="Times New Roman"/>
          <w:sz w:val="24"/>
          <w:szCs w:val="24"/>
          <w:lang w:eastAsia="en-US"/>
        </w:rPr>
        <w:t xml:space="preserve">za posledných osem rokov cca 1,6 % na úroveň cca </w:t>
      </w:r>
      <w:r w:rsidR="00B843BB" w:rsidRPr="00F452D0">
        <w:rPr>
          <w:rFonts w:ascii="Times New Roman" w:hAnsi="Times New Roman"/>
          <w:sz w:val="24"/>
          <w:szCs w:val="24"/>
          <w:lang w:eastAsia="en-US"/>
        </w:rPr>
        <w:t> 0,6</w:t>
      </w:r>
      <w:r w:rsidR="00DA22C5" w:rsidRPr="00F452D0">
        <w:rPr>
          <w:rFonts w:ascii="Times New Roman" w:hAnsi="Times New Roman"/>
          <w:sz w:val="24"/>
          <w:szCs w:val="24"/>
          <w:lang w:eastAsia="en-US"/>
        </w:rPr>
        <w:t xml:space="preserve">  %</w:t>
      </w:r>
      <w:r w:rsidR="00B843BB" w:rsidRPr="00F452D0">
        <w:rPr>
          <w:rFonts w:ascii="Times New Roman" w:hAnsi="Times New Roman"/>
          <w:sz w:val="24"/>
          <w:szCs w:val="24"/>
          <w:lang w:eastAsia="en-US"/>
        </w:rPr>
        <w:t xml:space="preserve"> v roku 2023, resp. na priemernú úroveň 0,9 % v ďalšom období. Celková kumulatívna nasporená suma by bola v prípade základného scenára vývoja finančných trhov vyššia o viac ako 4 % v porovnaní so scenárom nezmenených politík. </w:t>
      </w:r>
      <w:r w:rsidR="004E4631" w:rsidRPr="00F452D0">
        <w:rPr>
          <w:rFonts w:ascii="Times New Roman" w:hAnsi="Times New Roman"/>
          <w:sz w:val="24"/>
          <w:szCs w:val="24"/>
          <w:lang w:eastAsia="en-US"/>
        </w:rPr>
        <w:t>Celkové výnosy DDS by do roku 2030 poklesli v prípade základného scenára o cca 43</w:t>
      </w:r>
      <w:r w:rsidR="00DC4316" w:rsidRPr="00F452D0">
        <w:rPr>
          <w:rFonts w:ascii="Times New Roman" w:hAnsi="Times New Roman"/>
          <w:sz w:val="24"/>
          <w:szCs w:val="24"/>
          <w:lang w:eastAsia="en-US"/>
        </w:rPr>
        <w:t xml:space="preserve"> </w:t>
      </w:r>
      <w:r w:rsidR="004E4631" w:rsidRPr="00F452D0">
        <w:rPr>
          <w:rFonts w:ascii="Times New Roman" w:hAnsi="Times New Roman"/>
          <w:sz w:val="24"/>
          <w:szCs w:val="24"/>
          <w:lang w:eastAsia="en-US"/>
        </w:rPr>
        <w:t>%. Uvedené by sa prejavilo aj na výsledk</w:t>
      </w:r>
      <w:r w:rsidR="00DC4316" w:rsidRPr="00F452D0">
        <w:rPr>
          <w:rFonts w:ascii="Times New Roman" w:hAnsi="Times New Roman"/>
          <w:sz w:val="24"/>
          <w:szCs w:val="24"/>
          <w:lang w:eastAsia="en-US"/>
        </w:rPr>
        <w:t>u</w:t>
      </w:r>
      <w:r w:rsidR="004E4631" w:rsidRPr="00F452D0">
        <w:rPr>
          <w:rFonts w:ascii="Times New Roman" w:hAnsi="Times New Roman"/>
          <w:sz w:val="24"/>
          <w:szCs w:val="24"/>
          <w:lang w:eastAsia="en-US"/>
        </w:rPr>
        <w:t xml:space="preserve"> hospodárenia, ktor</w:t>
      </w:r>
      <w:r w:rsidR="00DC4316" w:rsidRPr="00F452D0">
        <w:rPr>
          <w:rFonts w:ascii="Times New Roman" w:hAnsi="Times New Roman"/>
          <w:sz w:val="24"/>
          <w:szCs w:val="24"/>
          <w:lang w:eastAsia="en-US"/>
        </w:rPr>
        <w:t>ý</w:t>
      </w:r>
      <w:r w:rsidR="004E4631" w:rsidRPr="00F452D0">
        <w:rPr>
          <w:rFonts w:ascii="Times New Roman" w:hAnsi="Times New Roman"/>
          <w:sz w:val="24"/>
          <w:szCs w:val="24"/>
          <w:lang w:eastAsia="en-US"/>
        </w:rPr>
        <w:t xml:space="preserve"> by sa v období medzi rokmi 2023 až 2025 prepad</w:t>
      </w:r>
      <w:r w:rsidR="00DC4316" w:rsidRPr="00F452D0">
        <w:rPr>
          <w:rFonts w:ascii="Times New Roman" w:hAnsi="Times New Roman"/>
          <w:sz w:val="24"/>
          <w:szCs w:val="24"/>
          <w:lang w:eastAsia="en-US"/>
        </w:rPr>
        <w:t>o</w:t>
      </w:r>
      <w:r w:rsidR="004E4631" w:rsidRPr="00F452D0">
        <w:rPr>
          <w:rFonts w:ascii="Times New Roman" w:hAnsi="Times New Roman"/>
          <w:sz w:val="24"/>
          <w:szCs w:val="24"/>
          <w:lang w:eastAsia="en-US"/>
        </w:rPr>
        <w:t>l do záporného salda rozdielu</w:t>
      </w:r>
      <w:r w:rsidR="00BD00B1" w:rsidRPr="00F452D0">
        <w:rPr>
          <w:rFonts w:ascii="Times New Roman" w:hAnsi="Times New Roman"/>
          <w:sz w:val="24"/>
          <w:szCs w:val="24"/>
          <w:lang w:eastAsia="en-US"/>
        </w:rPr>
        <w:t xml:space="preserve"> medzi</w:t>
      </w:r>
      <w:r w:rsidR="004E4631" w:rsidRPr="00F452D0">
        <w:rPr>
          <w:rFonts w:ascii="Times New Roman" w:hAnsi="Times New Roman"/>
          <w:sz w:val="24"/>
          <w:szCs w:val="24"/>
          <w:lang w:eastAsia="en-US"/>
        </w:rPr>
        <w:t xml:space="preserve"> výnosmi a nákladmi.</w:t>
      </w:r>
      <w:r w:rsidR="004E4631" w:rsidRPr="00F452D0">
        <w:rPr>
          <w:rFonts w:ascii="Times New Roman" w:eastAsia="Times New Roman" w:hAnsi="Times New Roman"/>
          <w:bCs/>
          <w:sz w:val="24"/>
          <w:szCs w:val="24"/>
        </w:rPr>
        <w:t xml:space="preserve"> Na základe uvedených predpokladov odhadujeme nižší výnos dane z príjmov právnických osôb pri daňových priznaniach podaných v roku 2024 na úrovni </w:t>
      </w:r>
      <w:r w:rsidR="009F41EC" w:rsidRPr="00F452D0">
        <w:rPr>
          <w:rFonts w:ascii="Times New Roman" w:eastAsia="Times New Roman" w:hAnsi="Times New Roman"/>
          <w:bCs/>
          <w:sz w:val="24"/>
          <w:szCs w:val="24"/>
        </w:rPr>
        <w:t>cca 3,4 mil.</w:t>
      </w:r>
      <w:r w:rsidR="004E4631" w:rsidRPr="00F452D0">
        <w:rPr>
          <w:rFonts w:ascii="Times New Roman" w:eastAsia="Times New Roman" w:hAnsi="Times New Roman"/>
          <w:bCs/>
          <w:sz w:val="24"/>
          <w:szCs w:val="24"/>
        </w:rPr>
        <w:t xml:space="preserve"> eur, resp. </w:t>
      </w:r>
      <w:r w:rsidR="009F41EC" w:rsidRPr="00F452D0">
        <w:rPr>
          <w:rFonts w:ascii="Times New Roman" w:eastAsia="Times New Roman" w:hAnsi="Times New Roman"/>
          <w:bCs/>
          <w:sz w:val="24"/>
          <w:szCs w:val="24"/>
        </w:rPr>
        <w:t>4,6 mil.</w:t>
      </w:r>
      <w:r w:rsidR="004E4631" w:rsidRPr="00F452D0">
        <w:rPr>
          <w:rFonts w:ascii="Times New Roman" w:eastAsia="Times New Roman" w:hAnsi="Times New Roman"/>
          <w:bCs/>
          <w:sz w:val="24"/>
          <w:szCs w:val="24"/>
        </w:rPr>
        <w:t xml:space="preserve"> eur v roku 2025. </w:t>
      </w:r>
    </w:p>
    <w:p w:rsidR="000B300A" w:rsidRPr="00F452D0" w:rsidRDefault="000B300A" w:rsidP="009F41EC">
      <w:pPr>
        <w:ind w:firstLine="709"/>
        <w:jc w:val="both"/>
        <w:rPr>
          <w:rFonts w:ascii="Times New Roman" w:eastAsia="Times New Roman" w:hAnsi="Times New Roman"/>
          <w:bCs/>
          <w:sz w:val="24"/>
          <w:szCs w:val="24"/>
        </w:rPr>
      </w:pPr>
    </w:p>
    <w:p w:rsidR="005C042B" w:rsidRPr="00F452D0" w:rsidRDefault="005C042B" w:rsidP="005C042B">
      <w:pPr>
        <w:ind w:firstLine="709"/>
        <w:jc w:val="both"/>
        <w:rPr>
          <w:rFonts w:ascii="Times New Roman" w:hAnsi="Times New Roman"/>
          <w:sz w:val="24"/>
          <w:szCs w:val="24"/>
          <w:u w:val="single"/>
          <w:lang w:eastAsia="en-US"/>
        </w:rPr>
      </w:pPr>
      <w:r w:rsidRPr="00F452D0">
        <w:rPr>
          <w:rFonts w:ascii="Times New Roman" w:hAnsi="Times New Roman"/>
          <w:sz w:val="24"/>
          <w:szCs w:val="24"/>
          <w:lang w:eastAsia="en-US"/>
        </w:rPr>
        <w:t xml:space="preserve">Z uvedeného vyplýva, že snaha o zníženie celkovej úrovne poplatkov v III. pilieri je opodstatnená a nadväzuje aj na dlhodobé odporúčania  ministerstva. Zároveň je ale potrebné zosúladiť objektívne záujmy účastníkov s celkovou stabilitou systému doplnkového dôchodkového sporenia. </w:t>
      </w:r>
      <w:r w:rsidRPr="00F452D0">
        <w:rPr>
          <w:rFonts w:ascii="Times New Roman" w:hAnsi="Times New Roman"/>
          <w:b/>
          <w:sz w:val="24"/>
          <w:szCs w:val="24"/>
          <w:u w:val="single"/>
          <w:lang w:eastAsia="en-US"/>
        </w:rPr>
        <w:t>V tomto zmysle sa ako obozretnejšie javí postupné znižovanie odplaty za správu príspevkového doplnkového dôchodkového fondu</w:t>
      </w:r>
      <w:r w:rsidR="00CA5B32">
        <w:rPr>
          <w:rFonts w:ascii="Times New Roman" w:hAnsi="Times New Roman"/>
          <w:b/>
          <w:sz w:val="24"/>
          <w:szCs w:val="24"/>
          <w:u w:val="single"/>
          <w:lang w:eastAsia="en-US"/>
        </w:rPr>
        <w:t>.</w:t>
      </w:r>
      <w:r w:rsidRPr="00F452D0">
        <w:rPr>
          <w:rFonts w:ascii="Times New Roman" w:hAnsi="Times New Roman"/>
          <w:b/>
          <w:sz w:val="24"/>
          <w:szCs w:val="24"/>
          <w:u w:val="single"/>
          <w:lang w:eastAsia="en-US"/>
        </w:rPr>
        <w:t xml:space="preserve"> </w:t>
      </w:r>
    </w:p>
    <w:p w:rsidR="002C78C9" w:rsidRPr="00F452D0" w:rsidRDefault="002C78C9" w:rsidP="0030486D">
      <w:pPr>
        <w:ind w:firstLine="709"/>
        <w:jc w:val="right"/>
        <w:rPr>
          <w:rFonts w:ascii="Times New Roman" w:eastAsia="Times New Roman" w:hAnsi="Times New Roman"/>
          <w:bCs/>
          <w:sz w:val="24"/>
          <w:szCs w:val="24"/>
        </w:rPr>
      </w:pPr>
    </w:p>
    <w:p w:rsidR="000B300A" w:rsidRPr="00F452D0" w:rsidRDefault="000B300A" w:rsidP="003019F1">
      <w:pPr>
        <w:jc w:val="both"/>
        <w:rPr>
          <w:rFonts w:ascii="Times New Roman" w:eastAsiaTheme="minorHAnsi" w:hAnsi="Times New Roman"/>
          <w:kern w:val="0"/>
          <w:sz w:val="24"/>
          <w:szCs w:val="24"/>
          <w:lang w:eastAsia="en-US"/>
        </w:rPr>
      </w:pPr>
      <w:r w:rsidRPr="00F452D0">
        <w:rPr>
          <w:rFonts w:ascii="Times New Roman" w:eastAsia="Times New Roman" w:hAnsi="Times New Roman"/>
          <w:bCs/>
          <w:sz w:val="24"/>
          <w:szCs w:val="24"/>
        </w:rPr>
        <w:t xml:space="preserve">Tabuľka 1: Projekcia hospodárenia DDS </w:t>
      </w:r>
      <w:r w:rsidR="00251C0D" w:rsidRPr="00F452D0">
        <w:rPr>
          <w:rFonts w:ascii="Times New Roman" w:hAnsi="Times New Roman"/>
          <w:sz w:val="24"/>
          <w:szCs w:val="24"/>
        </w:rPr>
        <w:fldChar w:fldCharType="begin"/>
      </w:r>
      <w:r w:rsidRPr="00F452D0">
        <w:rPr>
          <w:rFonts w:ascii="Times New Roman" w:hAnsi="Times New Roman"/>
          <w:sz w:val="24"/>
          <w:szCs w:val="24"/>
        </w:rPr>
        <w:instrText xml:space="preserve"> LINK </w:instrText>
      </w:r>
      <w:r w:rsidR="003D430C" w:rsidRPr="00F452D0">
        <w:rPr>
          <w:rFonts w:ascii="Times New Roman" w:hAnsi="Times New Roman"/>
          <w:sz w:val="24"/>
          <w:szCs w:val="24"/>
        </w:rPr>
        <w:instrText xml:space="preserve">Excel.Sheet.12 "C:\\Users\\hudcovsky\\Desktop\\Projekcia výnos a nákladov DDS.xlsx" Hárok3!R3C1:R16C7 </w:instrText>
      </w:r>
      <w:r w:rsidRPr="00F452D0">
        <w:rPr>
          <w:rFonts w:ascii="Times New Roman" w:hAnsi="Times New Roman"/>
          <w:sz w:val="24"/>
          <w:szCs w:val="24"/>
        </w:rPr>
        <w:instrText xml:space="preserve">\a \f 4 \h  \* MERGEFORMAT </w:instrText>
      </w:r>
      <w:r w:rsidR="00251C0D" w:rsidRPr="00F452D0">
        <w:rPr>
          <w:rFonts w:ascii="Times New Roman" w:hAnsi="Times New Roman"/>
          <w:sz w:val="24"/>
          <w:szCs w:val="24"/>
        </w:rPr>
        <w:fldChar w:fldCharType="separate"/>
      </w:r>
    </w:p>
    <w:tbl>
      <w:tblPr>
        <w:tblW w:w="9016" w:type="dxa"/>
        <w:tblCellMar>
          <w:left w:w="70" w:type="dxa"/>
          <w:right w:w="70" w:type="dxa"/>
        </w:tblCellMar>
        <w:tblLook w:val="04A0" w:firstRow="1" w:lastRow="0" w:firstColumn="1" w:lastColumn="0" w:noHBand="0" w:noVBand="1"/>
      </w:tblPr>
      <w:tblGrid>
        <w:gridCol w:w="1390"/>
        <w:gridCol w:w="2085"/>
        <w:gridCol w:w="1642"/>
        <w:gridCol w:w="2053"/>
        <w:gridCol w:w="1846"/>
      </w:tblGrid>
      <w:tr w:rsidR="0030486D" w:rsidRPr="00F452D0" w:rsidTr="0030486D">
        <w:trPr>
          <w:trHeight w:val="968"/>
        </w:trPr>
        <w:tc>
          <w:tcPr>
            <w:tcW w:w="1390" w:type="dxa"/>
            <w:vMerge w:val="restart"/>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Rok</w:t>
            </w:r>
          </w:p>
        </w:tc>
        <w:tc>
          <w:tcPr>
            <w:tcW w:w="3727" w:type="dxa"/>
            <w:gridSpan w:val="2"/>
            <w:tcBorders>
              <w:top w:val="single" w:sz="8" w:space="0" w:color="auto"/>
              <w:left w:val="nil"/>
              <w:bottom w:val="single" w:sz="4" w:space="0" w:color="auto"/>
              <w:right w:val="single" w:sz="4" w:space="0" w:color="auto"/>
            </w:tcBorders>
            <w:shd w:val="clear" w:color="000000" w:fill="808080"/>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 xml:space="preserve">Základný scenár </w:t>
            </w:r>
          </w:p>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(súčasný právny stav)</w:t>
            </w:r>
          </w:p>
        </w:tc>
        <w:tc>
          <w:tcPr>
            <w:tcW w:w="3899" w:type="dxa"/>
            <w:gridSpan w:val="2"/>
            <w:tcBorders>
              <w:top w:val="single" w:sz="8" w:space="0" w:color="auto"/>
              <w:left w:val="nil"/>
              <w:bottom w:val="single" w:sz="4" w:space="0" w:color="auto"/>
              <w:right w:val="single" w:sz="4" w:space="0" w:color="auto"/>
            </w:tcBorders>
            <w:shd w:val="clear" w:color="000000" w:fill="808080"/>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 xml:space="preserve">Okamžité zníženie sadzby </w:t>
            </w:r>
          </w:p>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 xml:space="preserve">(poslanecký návrh) </w:t>
            </w:r>
          </w:p>
        </w:tc>
      </w:tr>
      <w:tr w:rsidR="0030486D" w:rsidRPr="00F452D0" w:rsidTr="0030486D">
        <w:trPr>
          <w:trHeight w:val="586"/>
        </w:trPr>
        <w:tc>
          <w:tcPr>
            <w:tcW w:w="1390" w:type="dxa"/>
            <w:vMerge/>
            <w:tcBorders>
              <w:top w:val="single" w:sz="8" w:space="0" w:color="auto"/>
              <w:left w:val="single" w:sz="8" w:space="0" w:color="auto"/>
              <w:bottom w:val="single" w:sz="4" w:space="0" w:color="auto"/>
              <w:right w:val="single" w:sz="4" w:space="0" w:color="auto"/>
            </w:tcBorders>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p>
        </w:tc>
        <w:tc>
          <w:tcPr>
            <w:tcW w:w="2085" w:type="dxa"/>
            <w:tcBorders>
              <w:top w:val="nil"/>
              <w:left w:val="nil"/>
              <w:bottom w:val="single" w:sz="4" w:space="0" w:color="auto"/>
              <w:right w:val="single" w:sz="4" w:space="0" w:color="auto"/>
            </w:tcBorders>
            <w:shd w:val="clear" w:color="000000" w:fill="808080"/>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i/>
                <w:iCs/>
                <w:color w:val="000000"/>
                <w:kern w:val="0"/>
                <w:sz w:val="18"/>
                <w:szCs w:val="18"/>
              </w:rPr>
            </w:pPr>
            <w:r w:rsidRPr="00F452D0">
              <w:rPr>
                <w:rFonts w:ascii="Times New Roman" w:eastAsia="Times New Roman" w:hAnsi="Times New Roman"/>
                <w:b/>
                <w:bCs/>
                <w:i/>
                <w:iCs/>
                <w:color w:val="000000"/>
                <w:kern w:val="0"/>
                <w:sz w:val="18"/>
                <w:szCs w:val="18"/>
              </w:rPr>
              <w:t>Priemerná NAV</w:t>
            </w:r>
          </w:p>
        </w:tc>
        <w:tc>
          <w:tcPr>
            <w:tcW w:w="1642" w:type="dxa"/>
            <w:tcBorders>
              <w:top w:val="nil"/>
              <w:left w:val="nil"/>
              <w:bottom w:val="single" w:sz="4" w:space="0" w:color="auto"/>
              <w:right w:val="single" w:sz="4" w:space="0" w:color="auto"/>
            </w:tcBorders>
            <w:shd w:val="clear" w:color="000000" w:fill="808080"/>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i/>
                <w:iCs/>
                <w:color w:val="000000"/>
                <w:kern w:val="0"/>
                <w:sz w:val="18"/>
                <w:szCs w:val="18"/>
              </w:rPr>
            </w:pPr>
            <w:r w:rsidRPr="00F452D0">
              <w:rPr>
                <w:rFonts w:ascii="Times New Roman" w:eastAsia="Times New Roman" w:hAnsi="Times New Roman"/>
                <w:b/>
                <w:bCs/>
                <w:i/>
                <w:iCs/>
                <w:color w:val="000000"/>
                <w:kern w:val="0"/>
                <w:sz w:val="18"/>
                <w:szCs w:val="18"/>
              </w:rPr>
              <w:t>Rozdiel (výnosy-náklady)</w:t>
            </w:r>
          </w:p>
        </w:tc>
        <w:tc>
          <w:tcPr>
            <w:tcW w:w="2053" w:type="dxa"/>
            <w:tcBorders>
              <w:top w:val="nil"/>
              <w:left w:val="nil"/>
              <w:bottom w:val="single" w:sz="4" w:space="0" w:color="auto"/>
              <w:right w:val="single" w:sz="4" w:space="0" w:color="auto"/>
            </w:tcBorders>
            <w:shd w:val="clear" w:color="000000" w:fill="808080"/>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i/>
                <w:iCs/>
                <w:color w:val="000000"/>
                <w:kern w:val="0"/>
                <w:sz w:val="18"/>
                <w:szCs w:val="18"/>
              </w:rPr>
            </w:pPr>
            <w:r w:rsidRPr="00F452D0">
              <w:rPr>
                <w:rFonts w:ascii="Times New Roman" w:eastAsia="Times New Roman" w:hAnsi="Times New Roman"/>
                <w:b/>
                <w:bCs/>
                <w:i/>
                <w:iCs/>
                <w:color w:val="000000"/>
                <w:kern w:val="0"/>
                <w:sz w:val="18"/>
                <w:szCs w:val="18"/>
              </w:rPr>
              <w:t>Priemerná NAV</w:t>
            </w:r>
          </w:p>
        </w:tc>
        <w:tc>
          <w:tcPr>
            <w:tcW w:w="1846" w:type="dxa"/>
            <w:tcBorders>
              <w:top w:val="nil"/>
              <w:left w:val="nil"/>
              <w:bottom w:val="single" w:sz="4" w:space="0" w:color="auto"/>
              <w:right w:val="single" w:sz="4" w:space="0" w:color="auto"/>
            </w:tcBorders>
            <w:shd w:val="clear" w:color="000000" w:fill="808080"/>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i/>
                <w:iCs/>
                <w:color w:val="000000"/>
                <w:kern w:val="0"/>
                <w:sz w:val="18"/>
                <w:szCs w:val="18"/>
              </w:rPr>
            </w:pPr>
            <w:r w:rsidRPr="00F452D0">
              <w:rPr>
                <w:rFonts w:ascii="Times New Roman" w:eastAsia="Times New Roman" w:hAnsi="Times New Roman"/>
                <w:b/>
                <w:bCs/>
                <w:i/>
                <w:iCs/>
                <w:color w:val="000000"/>
                <w:kern w:val="0"/>
                <w:sz w:val="18"/>
                <w:szCs w:val="18"/>
              </w:rPr>
              <w:t>Rozdiel (výnosy-náklady)</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i/>
                <w:iCs/>
                <w:color w:val="000000"/>
                <w:kern w:val="0"/>
                <w:sz w:val="18"/>
                <w:szCs w:val="18"/>
              </w:rPr>
            </w:pPr>
            <w:r w:rsidRPr="00F452D0">
              <w:rPr>
                <w:rFonts w:ascii="Times New Roman" w:eastAsia="Times New Roman" w:hAnsi="Times New Roman"/>
                <w:b/>
                <w:bCs/>
                <w:i/>
                <w:iCs/>
                <w:color w:val="000000"/>
                <w:kern w:val="0"/>
                <w:sz w:val="18"/>
                <w:szCs w:val="18"/>
              </w:rPr>
              <w:t>2019 skut.</w:t>
            </w:r>
          </w:p>
        </w:tc>
        <w:tc>
          <w:tcPr>
            <w:tcW w:w="2085"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2 205 648 089 €</w:t>
            </w:r>
          </w:p>
        </w:tc>
        <w:tc>
          <w:tcPr>
            <w:tcW w:w="1642"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10 550 000 €</w:t>
            </w:r>
          </w:p>
        </w:tc>
        <w:tc>
          <w:tcPr>
            <w:tcW w:w="2053"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2 205 648 089 €</w:t>
            </w:r>
          </w:p>
        </w:tc>
        <w:tc>
          <w:tcPr>
            <w:tcW w:w="1846"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10 550 000 €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i/>
                <w:iCs/>
                <w:color w:val="000000"/>
                <w:kern w:val="0"/>
                <w:sz w:val="18"/>
                <w:szCs w:val="18"/>
              </w:rPr>
            </w:pPr>
            <w:r w:rsidRPr="00F452D0">
              <w:rPr>
                <w:rFonts w:ascii="Times New Roman" w:eastAsia="Times New Roman" w:hAnsi="Times New Roman"/>
                <w:b/>
                <w:bCs/>
                <w:i/>
                <w:iCs/>
                <w:color w:val="000000"/>
                <w:kern w:val="0"/>
                <w:sz w:val="18"/>
                <w:szCs w:val="18"/>
              </w:rPr>
              <w:t>2020 skut</w:t>
            </w:r>
          </w:p>
        </w:tc>
        <w:tc>
          <w:tcPr>
            <w:tcW w:w="2085"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2 439 064 557 €</w:t>
            </w:r>
          </w:p>
        </w:tc>
        <w:tc>
          <w:tcPr>
            <w:tcW w:w="1642"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8 666 000 €</w:t>
            </w:r>
          </w:p>
        </w:tc>
        <w:tc>
          <w:tcPr>
            <w:tcW w:w="2053"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2 439 064 557 €</w:t>
            </w:r>
          </w:p>
        </w:tc>
        <w:tc>
          <w:tcPr>
            <w:tcW w:w="1846"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8 666 000 €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i/>
                <w:iCs/>
                <w:color w:val="000000"/>
                <w:kern w:val="0"/>
                <w:sz w:val="18"/>
                <w:szCs w:val="18"/>
              </w:rPr>
            </w:pPr>
            <w:r w:rsidRPr="00F452D0">
              <w:rPr>
                <w:rFonts w:ascii="Times New Roman" w:eastAsia="Times New Roman" w:hAnsi="Times New Roman"/>
                <w:b/>
                <w:bCs/>
                <w:i/>
                <w:iCs/>
                <w:color w:val="000000"/>
                <w:kern w:val="0"/>
                <w:sz w:val="18"/>
                <w:szCs w:val="18"/>
              </w:rPr>
              <w:t>2021 skut</w:t>
            </w:r>
          </w:p>
        </w:tc>
        <w:tc>
          <w:tcPr>
            <w:tcW w:w="2085"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2 882 891 166 €</w:t>
            </w:r>
          </w:p>
        </w:tc>
        <w:tc>
          <w:tcPr>
            <w:tcW w:w="1642"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19 271 000 €</w:t>
            </w:r>
          </w:p>
        </w:tc>
        <w:tc>
          <w:tcPr>
            <w:tcW w:w="2053"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2 882 891 166 €</w:t>
            </w:r>
          </w:p>
        </w:tc>
        <w:tc>
          <w:tcPr>
            <w:tcW w:w="1846" w:type="dxa"/>
            <w:tcBorders>
              <w:top w:val="nil"/>
              <w:left w:val="nil"/>
              <w:bottom w:val="single" w:sz="4" w:space="0" w:color="auto"/>
              <w:right w:val="single" w:sz="4" w:space="0" w:color="auto"/>
            </w:tcBorders>
            <w:shd w:val="clear" w:color="000000" w:fill="FFE699"/>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i/>
                <w:iCs/>
                <w:color w:val="000000"/>
                <w:kern w:val="0"/>
                <w:sz w:val="18"/>
                <w:szCs w:val="18"/>
              </w:rPr>
            </w:pPr>
            <w:r w:rsidRPr="00F452D0">
              <w:rPr>
                <w:rFonts w:ascii="Times New Roman" w:eastAsia="Times New Roman" w:hAnsi="Times New Roman"/>
                <w:i/>
                <w:iCs/>
                <w:color w:val="000000"/>
                <w:kern w:val="0"/>
                <w:sz w:val="18"/>
                <w:szCs w:val="18"/>
              </w:rPr>
              <w:t>19 271 000 €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2022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2 856 103 503 €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2 067 270 €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2 856 103 503 €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2 067 270 €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2023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3 315 651 853 €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3 234 044 €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3 345 492 720 €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-13 135 329 €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2024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3 808 422 439 €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22 333 969 €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3 869 267 821 €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-7 646 647 €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2025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4 332 538 269 €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28 558 178 €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4 424 806 636 €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-939 174 €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2026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4 881 314 325 €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35 055 899 €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5 009 412 722 €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2 039 584 €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2027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5 455 908 952 €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41 838 886 €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5 624 504 483 €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5 164 883 €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lastRenderedPageBreak/>
              <w:t>2028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6 057 365 164 €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48 916 668 €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6 271 396 971 €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8 441 398 €</w:t>
            </w:r>
          </w:p>
        </w:tc>
      </w:tr>
      <w:tr w:rsidR="0030486D" w:rsidRPr="00F452D0" w:rsidTr="0030486D">
        <w:trPr>
          <w:trHeight w:val="322"/>
        </w:trPr>
        <w:tc>
          <w:tcPr>
            <w:tcW w:w="1390" w:type="dxa"/>
            <w:tcBorders>
              <w:top w:val="nil"/>
              <w:left w:val="single" w:sz="8" w:space="0" w:color="auto"/>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2029 prog</w:t>
            </w:r>
          </w:p>
        </w:tc>
        <w:tc>
          <w:tcPr>
            <w:tcW w:w="2085"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6 686 776 559 €</w:t>
            </w:r>
          </w:p>
        </w:tc>
        <w:tc>
          <w:tcPr>
            <w:tcW w:w="1642"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56 299 185 €</w:t>
            </w:r>
          </w:p>
        </w:tc>
        <w:tc>
          <w:tcPr>
            <w:tcW w:w="2053"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6 951 468 374 €</w:t>
            </w:r>
          </w:p>
        </w:tc>
        <w:tc>
          <w:tcPr>
            <w:tcW w:w="1846" w:type="dxa"/>
            <w:tcBorders>
              <w:top w:val="nil"/>
              <w:left w:val="nil"/>
              <w:bottom w:val="single" w:sz="4"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11 873 975 €</w:t>
            </w:r>
          </w:p>
        </w:tc>
      </w:tr>
      <w:tr w:rsidR="0030486D" w:rsidRPr="00F452D0" w:rsidTr="0030486D">
        <w:trPr>
          <w:trHeight w:val="337"/>
        </w:trPr>
        <w:tc>
          <w:tcPr>
            <w:tcW w:w="1390" w:type="dxa"/>
            <w:tcBorders>
              <w:top w:val="nil"/>
              <w:left w:val="single" w:sz="8" w:space="0" w:color="auto"/>
              <w:bottom w:val="single" w:sz="8"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b/>
                <w:bCs/>
                <w:color w:val="000000"/>
                <w:kern w:val="0"/>
                <w:sz w:val="18"/>
                <w:szCs w:val="18"/>
              </w:rPr>
            </w:pPr>
            <w:r w:rsidRPr="00F452D0">
              <w:rPr>
                <w:rFonts w:ascii="Times New Roman" w:eastAsia="Times New Roman" w:hAnsi="Times New Roman"/>
                <w:b/>
                <w:bCs/>
                <w:color w:val="000000"/>
                <w:kern w:val="0"/>
                <w:sz w:val="18"/>
                <w:szCs w:val="18"/>
              </w:rPr>
              <w:t>2030 prog</w:t>
            </w:r>
          </w:p>
        </w:tc>
        <w:tc>
          <w:tcPr>
            <w:tcW w:w="2085" w:type="dxa"/>
            <w:tcBorders>
              <w:top w:val="nil"/>
              <w:left w:val="nil"/>
              <w:bottom w:val="single" w:sz="8"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7 344 694 201 €</w:t>
            </w:r>
          </w:p>
        </w:tc>
        <w:tc>
          <w:tcPr>
            <w:tcW w:w="1642" w:type="dxa"/>
            <w:tcBorders>
              <w:top w:val="nil"/>
              <w:left w:val="nil"/>
              <w:bottom w:val="single" w:sz="8"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63 987 270 €</w:t>
            </w:r>
          </w:p>
        </w:tc>
        <w:tc>
          <w:tcPr>
            <w:tcW w:w="2053" w:type="dxa"/>
            <w:tcBorders>
              <w:top w:val="nil"/>
              <w:left w:val="nil"/>
              <w:bottom w:val="single" w:sz="8"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7 665 563 328 €</w:t>
            </w:r>
          </w:p>
        </w:tc>
        <w:tc>
          <w:tcPr>
            <w:tcW w:w="1846" w:type="dxa"/>
            <w:tcBorders>
              <w:top w:val="nil"/>
              <w:left w:val="nil"/>
              <w:bottom w:val="single" w:sz="8" w:space="0" w:color="auto"/>
              <w:right w:val="single" w:sz="4" w:space="0" w:color="auto"/>
            </w:tcBorders>
            <w:shd w:val="clear" w:color="auto" w:fill="auto"/>
            <w:noWrap/>
            <w:vAlign w:val="center"/>
            <w:hideMark/>
          </w:tcPr>
          <w:p w:rsidR="0030486D" w:rsidRPr="00F452D0" w:rsidRDefault="0030486D" w:rsidP="003D430C">
            <w:pPr>
              <w:widowControl/>
              <w:suppressAutoHyphens w:val="0"/>
              <w:autoSpaceDN/>
              <w:jc w:val="center"/>
              <w:textAlignment w:val="auto"/>
              <w:rPr>
                <w:rFonts w:ascii="Times New Roman" w:eastAsia="Times New Roman" w:hAnsi="Times New Roman"/>
                <w:color w:val="000000"/>
                <w:kern w:val="0"/>
                <w:sz w:val="18"/>
                <w:szCs w:val="18"/>
              </w:rPr>
            </w:pPr>
            <w:r w:rsidRPr="00F452D0">
              <w:rPr>
                <w:rFonts w:ascii="Times New Roman" w:eastAsia="Times New Roman" w:hAnsi="Times New Roman"/>
                <w:color w:val="000000"/>
                <w:kern w:val="0"/>
                <w:sz w:val="18"/>
                <w:szCs w:val="18"/>
              </w:rPr>
              <w:t>15 462 232 €</w:t>
            </w:r>
          </w:p>
        </w:tc>
      </w:tr>
    </w:tbl>
    <w:p w:rsidR="00074EBA" w:rsidRPr="00F452D0" w:rsidRDefault="00251C0D" w:rsidP="00F0688F">
      <w:pPr>
        <w:ind w:firstLine="709"/>
        <w:jc w:val="both"/>
        <w:rPr>
          <w:rFonts w:ascii="Times New Roman" w:eastAsia="Times New Roman" w:hAnsi="Times New Roman"/>
          <w:bCs/>
          <w:sz w:val="24"/>
          <w:szCs w:val="24"/>
        </w:rPr>
      </w:pPr>
      <w:r w:rsidRPr="00F452D0">
        <w:rPr>
          <w:rFonts w:ascii="Times New Roman" w:eastAsia="Times New Roman" w:hAnsi="Times New Roman"/>
          <w:bCs/>
          <w:sz w:val="24"/>
          <w:szCs w:val="24"/>
        </w:rPr>
        <w:fldChar w:fldCharType="end"/>
      </w:r>
      <w:r w:rsidR="00DC4316" w:rsidRPr="00F452D0">
        <w:rPr>
          <w:rFonts w:ascii="Times New Roman" w:eastAsia="Times New Roman" w:hAnsi="Times New Roman"/>
          <w:bCs/>
          <w:sz w:val="24"/>
          <w:szCs w:val="24"/>
        </w:rPr>
        <w:t>Zdroj: MPSVR SR, ADDS</w:t>
      </w:r>
    </w:p>
    <w:p w:rsidR="0086394C" w:rsidRPr="00F452D0" w:rsidRDefault="004E4631" w:rsidP="00F0688F">
      <w:pPr>
        <w:ind w:firstLine="709"/>
        <w:jc w:val="both"/>
        <w:rPr>
          <w:rFonts w:ascii="Times New Roman" w:hAnsi="Times New Roman"/>
          <w:sz w:val="24"/>
          <w:szCs w:val="24"/>
          <w:lang w:eastAsia="en-US"/>
        </w:rPr>
      </w:pPr>
      <w:r w:rsidRPr="00F452D0">
        <w:rPr>
          <w:rFonts w:ascii="Times New Roman" w:hAnsi="Times New Roman"/>
          <w:sz w:val="24"/>
          <w:szCs w:val="24"/>
          <w:lang w:eastAsia="en-US"/>
        </w:rPr>
        <w:t xml:space="preserve"> </w:t>
      </w:r>
    </w:p>
    <w:p w:rsidR="00571F52" w:rsidRPr="00F452D0" w:rsidRDefault="009F41EC" w:rsidP="005C042B">
      <w:pPr>
        <w:ind w:firstLine="708"/>
        <w:jc w:val="both"/>
        <w:rPr>
          <w:rFonts w:ascii="Times New Roman" w:hAnsi="Times New Roman"/>
          <w:sz w:val="24"/>
          <w:szCs w:val="24"/>
          <w:lang w:eastAsia="en-US"/>
        </w:rPr>
      </w:pPr>
      <w:r w:rsidRPr="00F452D0">
        <w:rPr>
          <w:rFonts w:ascii="Times New Roman" w:hAnsi="Times New Roman"/>
          <w:sz w:val="24"/>
          <w:szCs w:val="24"/>
          <w:lang w:eastAsia="en-US"/>
        </w:rPr>
        <w:t>V tomto kontexte upozorňujeme, že prípadný negatívny vývoj domácej ekonomiky bude mať dopad aj na samotný sektor doplnkového dôchodkového sporenia. Ako príklad je možné uviesť obdobie veľkej finančnej krízy, kedy medzi rokmi 2009 až 2012 poklesol počet účastníkov</w:t>
      </w:r>
      <w:r w:rsidR="00541094" w:rsidRPr="00F452D0">
        <w:rPr>
          <w:rFonts w:ascii="Times New Roman" w:hAnsi="Times New Roman"/>
          <w:sz w:val="24"/>
          <w:szCs w:val="24"/>
          <w:lang w:eastAsia="en-US"/>
        </w:rPr>
        <w:t xml:space="preserve"> o viac ako 100 000, t. j. o viac ako 12 %. </w:t>
      </w:r>
      <w:r w:rsidR="00395729" w:rsidRPr="00F452D0">
        <w:rPr>
          <w:rFonts w:ascii="Times New Roman" w:hAnsi="Times New Roman"/>
          <w:sz w:val="24"/>
          <w:szCs w:val="24"/>
          <w:lang w:eastAsia="en-US"/>
        </w:rPr>
        <w:t xml:space="preserve">Na úroveň z roku 2008 sa celkový počet účastníkov </w:t>
      </w:r>
      <w:r w:rsidR="00505B85" w:rsidRPr="00F452D0">
        <w:rPr>
          <w:rFonts w:ascii="Times New Roman" w:hAnsi="Times New Roman"/>
          <w:sz w:val="24"/>
          <w:szCs w:val="24"/>
          <w:lang w:eastAsia="en-US"/>
        </w:rPr>
        <w:t xml:space="preserve">následne </w:t>
      </w:r>
      <w:r w:rsidR="00B80709" w:rsidRPr="00F452D0">
        <w:rPr>
          <w:rFonts w:ascii="Times New Roman" w:hAnsi="Times New Roman"/>
          <w:sz w:val="24"/>
          <w:szCs w:val="24"/>
          <w:lang w:eastAsia="en-US"/>
        </w:rPr>
        <w:t xml:space="preserve">dostal </w:t>
      </w:r>
      <w:r w:rsidR="00505B85" w:rsidRPr="00F452D0">
        <w:rPr>
          <w:rFonts w:ascii="Times New Roman" w:hAnsi="Times New Roman"/>
          <w:sz w:val="24"/>
          <w:szCs w:val="24"/>
          <w:lang w:eastAsia="en-US"/>
        </w:rPr>
        <w:t>až v roku 2020.</w:t>
      </w:r>
      <w:r w:rsidR="00571F52" w:rsidRPr="00F452D0">
        <w:rPr>
          <w:rFonts w:ascii="Times New Roman" w:hAnsi="Times New Roman"/>
          <w:sz w:val="24"/>
          <w:szCs w:val="24"/>
          <w:lang w:eastAsia="en-US"/>
        </w:rPr>
        <w:t xml:space="preserve"> </w:t>
      </w:r>
    </w:p>
    <w:p w:rsidR="005C042B" w:rsidRPr="00F452D0" w:rsidRDefault="005C042B" w:rsidP="005C042B">
      <w:pPr>
        <w:ind w:firstLine="708"/>
        <w:jc w:val="both"/>
        <w:rPr>
          <w:rFonts w:ascii="Times New Roman" w:hAnsi="Times New Roman"/>
          <w:sz w:val="24"/>
          <w:szCs w:val="24"/>
          <w:lang w:eastAsia="en-US"/>
        </w:rPr>
      </w:pPr>
    </w:p>
    <w:p w:rsidR="005C042B" w:rsidRPr="00F452D0" w:rsidRDefault="005C042B" w:rsidP="005C042B">
      <w:pPr>
        <w:ind w:firstLine="709"/>
        <w:jc w:val="both"/>
        <w:rPr>
          <w:rFonts w:ascii="Times New Roman" w:hAnsi="Times New Roman"/>
          <w:sz w:val="24"/>
          <w:szCs w:val="24"/>
          <w:lang w:eastAsia="en-US"/>
        </w:rPr>
      </w:pPr>
      <w:r w:rsidRPr="00F452D0">
        <w:rPr>
          <w:rFonts w:ascii="Times New Roman" w:hAnsi="Times New Roman"/>
          <w:sz w:val="24"/>
          <w:szCs w:val="24"/>
          <w:lang w:eastAsia="en-US"/>
        </w:rPr>
        <w:t>Zároveň upozorňujeme, že k problematike odplát v III. pilieri je potrebné pristupovať komplexne, to znamená nielen z pohľadu ich výšky</w:t>
      </w:r>
      <w:r w:rsidR="00F27705" w:rsidRPr="00F452D0">
        <w:rPr>
          <w:rFonts w:ascii="Times New Roman" w:hAnsi="Times New Roman"/>
          <w:sz w:val="24"/>
          <w:szCs w:val="24"/>
          <w:lang w:eastAsia="en-US"/>
        </w:rPr>
        <w:t>,</w:t>
      </w:r>
      <w:r w:rsidRPr="00F452D0">
        <w:rPr>
          <w:rFonts w:ascii="Times New Roman" w:hAnsi="Times New Roman"/>
          <w:sz w:val="24"/>
          <w:szCs w:val="24"/>
          <w:lang w:eastAsia="en-US"/>
        </w:rPr>
        <w:t xml:space="preserve"> ale aj štruktúry. Z pohľadu štruktúry odplát v III. pilieri napríklad upozorňujeme na účtovanie odplaty za zhodnotenie aj v pasívne riadených fondoch, ktoré tvoria tri DDS a ktorá je v odbornej obci mimoriadne kritizovaná. Samotné zrušenie odplaty za zhodnotenie v pasívne riadených fondoch by ale mohlo viesť k ich zrušeniu, čo by nebolo v záujme účastníkov. Ich povinné vytváranie by zase naopak nebolo v súlade s investičnou stratégiou založenou na spravovaní  tzv. „target date funds“. Uvedené tak dokumentuje komplexnosť riešenej problematiky, ktorá nie je obsiahnutá v poslaneckom návrhu.     </w:t>
      </w:r>
    </w:p>
    <w:p w:rsidR="00571F52" w:rsidRPr="00F452D0" w:rsidRDefault="00571F52" w:rsidP="00F0688F">
      <w:pPr>
        <w:ind w:firstLine="709"/>
        <w:jc w:val="both"/>
        <w:rPr>
          <w:rFonts w:ascii="Times New Roman" w:hAnsi="Times New Roman"/>
          <w:sz w:val="24"/>
          <w:szCs w:val="24"/>
          <w:lang w:eastAsia="en-US"/>
        </w:rPr>
      </w:pPr>
    </w:p>
    <w:p w:rsidR="00B21062" w:rsidRPr="00F452D0" w:rsidRDefault="00B21062" w:rsidP="00074EBA">
      <w:pPr>
        <w:ind w:firstLine="708"/>
        <w:jc w:val="both"/>
        <w:rPr>
          <w:rFonts w:ascii="Times New Roman" w:hAnsi="Times New Roman"/>
          <w:b/>
          <w:sz w:val="24"/>
          <w:szCs w:val="24"/>
          <w:lang w:eastAsia="en-US"/>
        </w:rPr>
      </w:pPr>
      <w:r w:rsidRPr="00F452D0">
        <w:rPr>
          <w:rFonts w:ascii="Times New Roman" w:hAnsi="Times New Roman"/>
          <w:b/>
          <w:sz w:val="24"/>
          <w:szCs w:val="24"/>
          <w:lang w:eastAsia="en-US"/>
        </w:rPr>
        <w:t>Medzirezortné pripomienkové konanie</w:t>
      </w:r>
    </w:p>
    <w:p w:rsidR="00B21062" w:rsidRPr="00F452D0" w:rsidRDefault="00B21062" w:rsidP="00074EBA">
      <w:pPr>
        <w:ind w:firstLine="708"/>
        <w:jc w:val="both"/>
        <w:rPr>
          <w:rFonts w:ascii="Times New Roman" w:hAnsi="Times New Roman"/>
          <w:b/>
          <w:sz w:val="24"/>
          <w:szCs w:val="24"/>
          <w:lang w:eastAsia="en-US"/>
        </w:rPr>
      </w:pPr>
    </w:p>
    <w:p w:rsidR="007E5997" w:rsidRPr="00F452D0" w:rsidRDefault="00B21062" w:rsidP="00B21062">
      <w:pPr>
        <w:jc w:val="both"/>
        <w:rPr>
          <w:rFonts w:ascii="Times New Roman" w:hAnsi="Times New Roman"/>
          <w:sz w:val="24"/>
          <w:szCs w:val="24"/>
        </w:rPr>
      </w:pPr>
      <w:r w:rsidRPr="00F452D0">
        <w:rPr>
          <w:rFonts w:ascii="Times New Roman" w:hAnsi="Times New Roman"/>
          <w:b/>
          <w:sz w:val="24"/>
          <w:szCs w:val="24"/>
          <w:lang w:eastAsia="en-US"/>
        </w:rPr>
        <w:t xml:space="preserve">Ministerstvo financií Slovenskej republiky </w:t>
      </w:r>
      <w:r w:rsidRPr="00F452D0">
        <w:rPr>
          <w:rFonts w:ascii="Times New Roman" w:hAnsi="Times New Roman"/>
          <w:sz w:val="24"/>
          <w:szCs w:val="24"/>
        </w:rPr>
        <w:t>nesúhlasí s predloženým návrhom zákona a namieta, že výrazná zmena, aká sa navrhuje, nie je v predloženom materiáli riadne odôvodnená a</w:t>
      </w:r>
      <w:r w:rsidR="007E5997" w:rsidRPr="00F452D0">
        <w:rPr>
          <w:rFonts w:ascii="Times New Roman" w:hAnsi="Times New Roman"/>
          <w:sz w:val="24"/>
          <w:szCs w:val="24"/>
        </w:rPr>
        <w:t xml:space="preserve"> uvádza, že </w:t>
      </w:r>
      <w:r w:rsidRPr="00F452D0">
        <w:rPr>
          <w:rFonts w:ascii="Times New Roman" w:hAnsi="Times New Roman"/>
          <w:sz w:val="24"/>
          <w:szCs w:val="24"/>
        </w:rPr>
        <w:t xml:space="preserve">predkladatelia nevypracovali odhad vplyvov návrhu zákona na systém dôchodkového zabezpečenia a ani parciálne neodhadli vplyv na systém doplnkového dôchodkového sporenia. Ďalej uvádza, že </w:t>
      </w:r>
      <w:r w:rsidR="007E5997" w:rsidRPr="00F452D0">
        <w:rPr>
          <w:rFonts w:ascii="Times New Roman" w:hAnsi="Times New Roman"/>
          <w:sz w:val="24"/>
          <w:szCs w:val="24"/>
        </w:rPr>
        <w:t xml:space="preserve">zvýšenie atraktivity doplnkového dôchodkového sporenia nemožno dosahovať na úkor dlhodobej stability tohto systému a je potrebné sa adekvátne vysporiadať </w:t>
      </w:r>
      <w:r w:rsidR="00EE1FB4">
        <w:rPr>
          <w:rFonts w:ascii="Times New Roman" w:hAnsi="Times New Roman"/>
          <w:sz w:val="24"/>
          <w:szCs w:val="24"/>
        </w:rPr>
        <w:t xml:space="preserve">aj </w:t>
      </w:r>
      <w:r w:rsidR="007E5997" w:rsidRPr="00F452D0">
        <w:rPr>
          <w:rFonts w:ascii="Times New Roman" w:hAnsi="Times New Roman"/>
          <w:sz w:val="24"/>
          <w:szCs w:val="24"/>
        </w:rPr>
        <w:t>so zákonným rozsahom povinností správcu.</w:t>
      </w:r>
    </w:p>
    <w:p w:rsidR="00B21062" w:rsidRPr="00F452D0" w:rsidRDefault="00B21062" w:rsidP="00B21062">
      <w:pPr>
        <w:jc w:val="both"/>
        <w:rPr>
          <w:rFonts w:ascii="Times New Roman" w:hAnsi="Times New Roman"/>
          <w:sz w:val="24"/>
          <w:szCs w:val="24"/>
        </w:rPr>
      </w:pPr>
      <w:r w:rsidRPr="00F452D0">
        <w:rPr>
          <w:rFonts w:ascii="Times New Roman" w:hAnsi="Times New Roman"/>
          <w:sz w:val="24"/>
          <w:szCs w:val="24"/>
        </w:rPr>
        <w:t>Za vhodnejšiu alternatívu považuj</w:t>
      </w:r>
      <w:r w:rsidR="007E5997" w:rsidRPr="00F452D0">
        <w:rPr>
          <w:rFonts w:ascii="Times New Roman" w:hAnsi="Times New Roman"/>
          <w:sz w:val="24"/>
          <w:szCs w:val="24"/>
        </w:rPr>
        <w:t>e</w:t>
      </w:r>
      <w:r w:rsidRPr="00F452D0">
        <w:rPr>
          <w:rFonts w:ascii="Times New Roman" w:hAnsi="Times New Roman"/>
          <w:sz w:val="24"/>
          <w:szCs w:val="24"/>
        </w:rPr>
        <w:t xml:space="preserve"> postupné znižovanie odplaty za správu, ktoré nevystaví sp</w:t>
      </w:r>
      <w:r w:rsidR="007E5997" w:rsidRPr="00F452D0">
        <w:rPr>
          <w:rFonts w:ascii="Times New Roman" w:hAnsi="Times New Roman"/>
          <w:sz w:val="24"/>
          <w:szCs w:val="24"/>
        </w:rPr>
        <w:t>rávcov nepredvídateľným rizikám,</w:t>
      </w:r>
      <w:r w:rsidRPr="00F452D0">
        <w:rPr>
          <w:rFonts w:ascii="Times New Roman" w:hAnsi="Times New Roman"/>
          <w:sz w:val="24"/>
          <w:szCs w:val="24"/>
        </w:rPr>
        <w:t xml:space="preserve"> </w:t>
      </w:r>
      <w:r w:rsidR="007E5997" w:rsidRPr="00F452D0">
        <w:rPr>
          <w:rFonts w:ascii="Times New Roman" w:hAnsi="Times New Roman"/>
          <w:sz w:val="24"/>
          <w:szCs w:val="24"/>
        </w:rPr>
        <w:t xml:space="preserve">pričom </w:t>
      </w:r>
      <w:r w:rsidRPr="00F452D0">
        <w:rPr>
          <w:rFonts w:ascii="Times New Roman" w:hAnsi="Times New Roman"/>
          <w:sz w:val="24"/>
          <w:szCs w:val="24"/>
        </w:rPr>
        <w:t>je potrebné vykonať komplexnejšiu úpravu a analýz</w:t>
      </w:r>
      <w:r w:rsidR="007E5997" w:rsidRPr="00F452D0">
        <w:rPr>
          <w:rFonts w:ascii="Times New Roman" w:hAnsi="Times New Roman"/>
          <w:sz w:val="24"/>
          <w:szCs w:val="24"/>
        </w:rPr>
        <w:t>u súčasného systému</w:t>
      </w:r>
      <w:r w:rsidRPr="00F452D0">
        <w:rPr>
          <w:rFonts w:ascii="Times New Roman" w:hAnsi="Times New Roman"/>
          <w:sz w:val="24"/>
          <w:szCs w:val="24"/>
        </w:rPr>
        <w:t xml:space="preserve">. </w:t>
      </w:r>
    </w:p>
    <w:p w:rsidR="007E5997" w:rsidRPr="00F452D0" w:rsidRDefault="007E5997" w:rsidP="00B21062">
      <w:pPr>
        <w:jc w:val="both"/>
        <w:rPr>
          <w:rFonts w:ascii="Times New Roman" w:hAnsi="Times New Roman"/>
          <w:sz w:val="24"/>
          <w:szCs w:val="24"/>
        </w:rPr>
      </w:pPr>
      <w:r w:rsidRPr="00F452D0">
        <w:rPr>
          <w:rFonts w:ascii="Times New Roman" w:hAnsi="Times New Roman"/>
          <w:sz w:val="24"/>
          <w:szCs w:val="24"/>
        </w:rPr>
        <w:t xml:space="preserve">Ministerstvo financií Slovenskej republiky </w:t>
      </w:r>
      <w:r w:rsidR="0010086F" w:rsidRPr="00F452D0">
        <w:rPr>
          <w:rFonts w:ascii="Times New Roman" w:hAnsi="Times New Roman"/>
          <w:sz w:val="24"/>
          <w:szCs w:val="24"/>
        </w:rPr>
        <w:t xml:space="preserve">žiada zosúladiť dôvodovú správu, v ktorej je uvedený neutrálny vplyv poslaneckého návrhu na rozpočet verejnej správy s doložkou vybraných vplyvov, kde je označený žiadny vplyv na rozpočet verejnej správy, kde sa ale uvádza, že v prechodnom </w:t>
      </w:r>
      <w:r w:rsidR="0010086F" w:rsidRPr="00F452D0">
        <w:rPr>
          <w:rFonts w:ascii="Times New Roman" w:hAnsi="Times New Roman"/>
          <w:sz w:val="24"/>
          <w:szCs w:val="24"/>
        </w:rPr>
        <w:lastRenderedPageBreak/>
        <w:t>období môže dôjsť k zníženiu príjmov doplnkových dôchodkových spoločností, čo môže znížiť výber dane z príjmov právnických osôb, z čoho vyplýva negatívny vplyv na rozpočet verejnej správy. V predkladacej správe preto žiada</w:t>
      </w:r>
      <w:r w:rsidRPr="00F452D0">
        <w:rPr>
          <w:rFonts w:ascii="Times New Roman" w:hAnsi="Times New Roman"/>
          <w:sz w:val="24"/>
          <w:szCs w:val="24"/>
        </w:rPr>
        <w:t xml:space="preserve"> uviesť a zdôvodniť predpokladané finančné dôsledky na rozpočet verejnej správy, a to nielen na bežný rok, ale aj na tri nasledujúce rozpočtové roky a spolu s tým uviesť aj návrhy na úhradu znížených príjmov. </w:t>
      </w:r>
    </w:p>
    <w:p w:rsidR="0010086F" w:rsidRPr="00F452D0" w:rsidRDefault="0010086F" w:rsidP="00B21062">
      <w:pPr>
        <w:jc w:val="both"/>
        <w:rPr>
          <w:rFonts w:ascii="Times New Roman" w:hAnsi="Times New Roman"/>
          <w:sz w:val="24"/>
          <w:szCs w:val="24"/>
        </w:rPr>
      </w:pPr>
    </w:p>
    <w:p w:rsidR="007E5997" w:rsidRPr="00F452D0" w:rsidRDefault="007E5997" w:rsidP="00B21062">
      <w:pPr>
        <w:jc w:val="both"/>
        <w:rPr>
          <w:rFonts w:ascii="Times New Roman" w:hAnsi="Times New Roman"/>
          <w:sz w:val="24"/>
          <w:szCs w:val="24"/>
        </w:rPr>
      </w:pPr>
      <w:r w:rsidRPr="00F452D0">
        <w:rPr>
          <w:rFonts w:ascii="Times New Roman" w:hAnsi="Times New Roman"/>
          <w:sz w:val="24"/>
          <w:szCs w:val="24"/>
        </w:rPr>
        <w:t xml:space="preserve">Ministerstvo považuje vznesenú pripomienku za zmätočnú, vzhľadom na skutočnosť, že </w:t>
      </w:r>
      <w:r w:rsidR="0010086F" w:rsidRPr="00F452D0">
        <w:rPr>
          <w:rFonts w:ascii="Times New Roman" w:hAnsi="Times New Roman"/>
          <w:sz w:val="24"/>
          <w:szCs w:val="24"/>
        </w:rPr>
        <w:t xml:space="preserve">dôvodová správa a </w:t>
      </w:r>
      <w:r w:rsidRPr="00F452D0">
        <w:rPr>
          <w:rFonts w:ascii="Times New Roman" w:hAnsi="Times New Roman"/>
          <w:sz w:val="24"/>
          <w:szCs w:val="24"/>
        </w:rPr>
        <w:t xml:space="preserve">doložka vybraných vplyvov bola pripravená predkladateľmi – poslancami – a predkladacia správa ministerstvom. Z tohto dôvodu nie je možné tieto dokumenty zosúladiť a dodatočné </w:t>
      </w:r>
      <w:r w:rsidR="0010086F" w:rsidRPr="00F452D0">
        <w:rPr>
          <w:rFonts w:ascii="Times New Roman" w:hAnsi="Times New Roman"/>
          <w:sz w:val="24"/>
          <w:szCs w:val="24"/>
        </w:rPr>
        <w:t>zmeny</w:t>
      </w:r>
      <w:r w:rsidR="00EE1FB4" w:rsidRPr="00EE1FB4">
        <w:rPr>
          <w:rFonts w:ascii="Times New Roman" w:hAnsi="Times New Roman"/>
          <w:sz w:val="24"/>
          <w:szCs w:val="24"/>
        </w:rPr>
        <w:t xml:space="preserve"> </w:t>
      </w:r>
      <w:r w:rsidR="00EE1FB4" w:rsidRPr="00F452D0">
        <w:rPr>
          <w:rFonts w:ascii="Times New Roman" w:hAnsi="Times New Roman"/>
          <w:sz w:val="24"/>
          <w:szCs w:val="24"/>
        </w:rPr>
        <w:t>uskutočniť</w:t>
      </w:r>
      <w:r w:rsidR="0010086F" w:rsidRPr="00F452D0">
        <w:rPr>
          <w:rFonts w:ascii="Times New Roman" w:hAnsi="Times New Roman"/>
          <w:sz w:val="24"/>
          <w:szCs w:val="24"/>
        </w:rPr>
        <w:t>.</w:t>
      </w:r>
    </w:p>
    <w:p w:rsidR="0010086F" w:rsidRPr="00F452D0" w:rsidRDefault="0010086F" w:rsidP="0010086F">
      <w:pPr>
        <w:jc w:val="both"/>
        <w:rPr>
          <w:rFonts w:ascii="Times New Roman" w:hAnsi="Times New Roman"/>
          <w:sz w:val="24"/>
          <w:szCs w:val="24"/>
        </w:rPr>
      </w:pPr>
    </w:p>
    <w:p w:rsidR="0010086F" w:rsidRPr="00F452D0" w:rsidRDefault="0010086F" w:rsidP="0010086F">
      <w:pPr>
        <w:jc w:val="both"/>
        <w:rPr>
          <w:rFonts w:ascii="Times New Roman" w:hAnsi="Times New Roman"/>
          <w:sz w:val="24"/>
          <w:szCs w:val="24"/>
        </w:rPr>
      </w:pPr>
      <w:r w:rsidRPr="00F452D0">
        <w:rPr>
          <w:rFonts w:ascii="Times New Roman" w:hAnsi="Times New Roman"/>
          <w:b/>
          <w:sz w:val="24"/>
          <w:szCs w:val="24"/>
        </w:rPr>
        <w:t xml:space="preserve">Ministerstvo investícií, regionálneho rozvoja a informatizácie Slovenskej </w:t>
      </w:r>
      <w:r w:rsidR="00DB55BA" w:rsidRPr="00F452D0">
        <w:rPr>
          <w:rFonts w:ascii="Times New Roman" w:hAnsi="Times New Roman"/>
          <w:b/>
          <w:sz w:val="24"/>
          <w:szCs w:val="24"/>
        </w:rPr>
        <w:t>republiky</w:t>
      </w:r>
      <w:r w:rsidRPr="00F452D0">
        <w:rPr>
          <w:rFonts w:ascii="Times New Roman" w:hAnsi="Times New Roman"/>
          <w:sz w:val="24"/>
          <w:szCs w:val="24"/>
        </w:rPr>
        <w:t xml:space="preserve"> </w:t>
      </w:r>
      <w:r w:rsidR="00DB55BA" w:rsidRPr="00F452D0">
        <w:rPr>
          <w:rFonts w:ascii="Times New Roman" w:hAnsi="Times New Roman"/>
          <w:sz w:val="24"/>
          <w:szCs w:val="24"/>
        </w:rPr>
        <w:t>sa stotožňuje so stanoviskom Ministerstva financií Slovenskej republiky, podľa ktorého by nárazové zníženie poplatkov za správu mohlo ohroziť stabilitu 3. piliera a lepšie by bolo postupné znižovanie odplaty za správu, ktoré nevystaví správcov nepredvídateľným rizikám. Z tohto dôvodu žiada materiál na rokovaní vlády Slovenskej republiky</w:t>
      </w:r>
      <w:r w:rsidR="00EE1FB4" w:rsidRPr="00EE1FB4">
        <w:rPr>
          <w:rFonts w:ascii="Times New Roman" w:hAnsi="Times New Roman"/>
          <w:sz w:val="24"/>
          <w:szCs w:val="24"/>
        </w:rPr>
        <w:t xml:space="preserve"> </w:t>
      </w:r>
      <w:r w:rsidR="00EE1FB4" w:rsidRPr="00F452D0">
        <w:rPr>
          <w:rFonts w:ascii="Times New Roman" w:hAnsi="Times New Roman"/>
          <w:sz w:val="24"/>
          <w:szCs w:val="24"/>
        </w:rPr>
        <w:t>neschváliť</w:t>
      </w:r>
      <w:r w:rsidR="00DB55BA" w:rsidRPr="00F452D0">
        <w:rPr>
          <w:rFonts w:ascii="Times New Roman" w:hAnsi="Times New Roman"/>
          <w:sz w:val="24"/>
          <w:szCs w:val="24"/>
        </w:rPr>
        <w:t>.</w:t>
      </w:r>
    </w:p>
    <w:p w:rsidR="00DB55BA" w:rsidRPr="00F452D0" w:rsidRDefault="00DB55BA" w:rsidP="0010086F">
      <w:pPr>
        <w:jc w:val="both"/>
        <w:rPr>
          <w:rFonts w:ascii="Times New Roman" w:hAnsi="Times New Roman"/>
          <w:sz w:val="24"/>
          <w:szCs w:val="24"/>
        </w:rPr>
      </w:pPr>
    </w:p>
    <w:p w:rsidR="00F67017" w:rsidRPr="00F452D0" w:rsidRDefault="00F67017" w:rsidP="00F67017">
      <w:pPr>
        <w:jc w:val="both"/>
        <w:rPr>
          <w:rFonts w:ascii="Times New Roman" w:hAnsi="Times New Roman"/>
          <w:sz w:val="24"/>
          <w:szCs w:val="24"/>
        </w:rPr>
      </w:pPr>
      <w:r w:rsidRPr="00F452D0">
        <w:rPr>
          <w:rFonts w:ascii="Times New Roman" w:hAnsi="Times New Roman"/>
          <w:b/>
          <w:bCs/>
          <w:sz w:val="24"/>
          <w:szCs w:val="24"/>
        </w:rPr>
        <w:t xml:space="preserve">Národná banka Slovenska </w:t>
      </w:r>
      <w:r w:rsidRPr="00F452D0">
        <w:rPr>
          <w:rFonts w:ascii="Times New Roman" w:hAnsi="Times New Roman"/>
          <w:bCs/>
          <w:sz w:val="24"/>
          <w:szCs w:val="24"/>
        </w:rPr>
        <w:t>na</w:t>
      </w:r>
      <w:r w:rsidRPr="00F452D0">
        <w:rPr>
          <w:rFonts w:ascii="Times New Roman" w:hAnsi="Times New Roman"/>
          <w:sz w:val="24"/>
          <w:szCs w:val="24"/>
        </w:rPr>
        <w:t>vrhuje vysloviť nesúhlas s predloženým poslaneckým návrhom. Ak by ministerstvo trvalo na svojom súhlasnom stanovisku a legislatívnych zmenách uvedených v predkladacej správe, požaduje ich prehodnotenie, a to buď vo vzťahu k harmonogramu budúceho znižovania tak, že harmonogram znižovania odplaty za správu sa nastaví až v čase stabilizácie situácie na finančných trhoch alebo navrhuje použiť alternatívny parameter na úpravu odplaty za správu</w:t>
      </w:r>
      <w:r w:rsidR="00EE1FB4">
        <w:rPr>
          <w:rFonts w:ascii="Times New Roman" w:hAnsi="Times New Roman"/>
          <w:sz w:val="24"/>
          <w:szCs w:val="24"/>
        </w:rPr>
        <w:t xml:space="preserve"> majetku v príspevkovom doplnkovom dôchodkovom fonde</w:t>
      </w:r>
      <w:r w:rsidRPr="00F452D0">
        <w:rPr>
          <w:rFonts w:ascii="Times New Roman" w:hAnsi="Times New Roman"/>
          <w:sz w:val="24"/>
          <w:szCs w:val="24"/>
        </w:rPr>
        <w:t>.</w:t>
      </w:r>
    </w:p>
    <w:p w:rsidR="00E62DB1" w:rsidRPr="00F452D0" w:rsidRDefault="00F67017" w:rsidP="00F67017">
      <w:pPr>
        <w:jc w:val="both"/>
        <w:rPr>
          <w:rFonts w:ascii="Times New Roman" w:hAnsi="Times New Roman"/>
          <w:sz w:val="24"/>
          <w:szCs w:val="24"/>
        </w:rPr>
      </w:pPr>
      <w:r w:rsidRPr="00F452D0">
        <w:rPr>
          <w:rFonts w:ascii="Times New Roman" w:hAnsi="Times New Roman"/>
          <w:sz w:val="24"/>
          <w:szCs w:val="24"/>
        </w:rPr>
        <w:t xml:space="preserve">Podľa Národnej banky Slovenska je nevyhnutné </w:t>
      </w:r>
      <w:r w:rsidR="00E62DB1" w:rsidRPr="00F452D0">
        <w:rPr>
          <w:rFonts w:ascii="Times New Roman" w:hAnsi="Times New Roman"/>
          <w:sz w:val="24"/>
          <w:szCs w:val="24"/>
        </w:rPr>
        <w:t xml:space="preserve">posudzovať </w:t>
      </w:r>
      <w:r w:rsidRPr="00F452D0">
        <w:rPr>
          <w:rFonts w:ascii="Times New Roman" w:hAnsi="Times New Roman"/>
          <w:sz w:val="24"/>
          <w:szCs w:val="24"/>
        </w:rPr>
        <w:t>dôsledky navrhovanej zmeny v širšom kontexte, to znamená,</w:t>
      </w:r>
      <w:r w:rsidR="0058494F">
        <w:rPr>
          <w:rFonts w:ascii="Times New Roman" w:hAnsi="Times New Roman"/>
          <w:sz w:val="24"/>
          <w:szCs w:val="24"/>
        </w:rPr>
        <w:t xml:space="preserve"> že</w:t>
      </w:r>
      <w:r w:rsidRPr="00F452D0">
        <w:rPr>
          <w:rFonts w:ascii="Times New Roman" w:hAnsi="Times New Roman"/>
          <w:sz w:val="24"/>
          <w:szCs w:val="24"/>
        </w:rPr>
        <w:t xml:space="preserve"> je potrebné vyhodnotiť, či zamýšľaná zmena nemôže mať v konečnom dôsledku celkový negatívny vplyv na doplnkové dôchodkové sporenie a tým aj samotných účastníkov tohto sporenia. </w:t>
      </w:r>
      <w:r w:rsidR="00E62DB1" w:rsidRPr="00F452D0">
        <w:rPr>
          <w:rFonts w:ascii="Times New Roman" w:hAnsi="Times New Roman"/>
          <w:sz w:val="24"/>
          <w:szCs w:val="24"/>
        </w:rPr>
        <w:t>Upozorňuje</w:t>
      </w:r>
      <w:r w:rsidRPr="00F452D0">
        <w:rPr>
          <w:rFonts w:ascii="Times New Roman" w:hAnsi="Times New Roman"/>
          <w:sz w:val="24"/>
          <w:szCs w:val="24"/>
        </w:rPr>
        <w:t xml:space="preserve">, že v prostredí súčasnej neistoty a ťažkej predvídateľnosti </w:t>
      </w:r>
      <w:r w:rsidR="00E62DB1" w:rsidRPr="00F452D0">
        <w:rPr>
          <w:rFonts w:ascii="Times New Roman" w:hAnsi="Times New Roman"/>
          <w:sz w:val="24"/>
          <w:szCs w:val="24"/>
        </w:rPr>
        <w:t xml:space="preserve">na finančných trhoch </w:t>
      </w:r>
      <w:r w:rsidRPr="00F452D0">
        <w:rPr>
          <w:rFonts w:ascii="Times New Roman" w:hAnsi="Times New Roman"/>
          <w:sz w:val="24"/>
          <w:szCs w:val="24"/>
        </w:rPr>
        <w:t>je potrebná opatrnosť pri tvorbe návrhov zmien založenýc</w:t>
      </w:r>
      <w:r w:rsidR="00E62DB1" w:rsidRPr="00F452D0">
        <w:rPr>
          <w:rFonts w:ascii="Times New Roman" w:hAnsi="Times New Roman"/>
          <w:sz w:val="24"/>
          <w:szCs w:val="24"/>
        </w:rPr>
        <w:t xml:space="preserve">h na predikcii budúceho vývoja a uvádza, že </w:t>
      </w:r>
      <w:r w:rsidRPr="00F452D0">
        <w:rPr>
          <w:rFonts w:ascii="Times New Roman" w:hAnsi="Times New Roman"/>
          <w:sz w:val="24"/>
          <w:szCs w:val="24"/>
        </w:rPr>
        <w:t>nárast objemu spravovaného majetku v budúcnosti, ktor</w:t>
      </w:r>
      <w:r w:rsidR="00E62DB1" w:rsidRPr="00F452D0">
        <w:rPr>
          <w:rFonts w:ascii="Times New Roman" w:hAnsi="Times New Roman"/>
          <w:sz w:val="24"/>
          <w:szCs w:val="24"/>
        </w:rPr>
        <w:t>ý</w:t>
      </w:r>
      <w:r w:rsidRPr="00F452D0">
        <w:rPr>
          <w:rFonts w:ascii="Times New Roman" w:hAnsi="Times New Roman"/>
          <w:sz w:val="24"/>
          <w:szCs w:val="24"/>
        </w:rPr>
        <w:t xml:space="preserve"> môže zabezpečiť kladné hospodárenie aj pri nižšej odplate za správu, nemusí byť vôbec motivujúc</w:t>
      </w:r>
      <w:r w:rsidR="00E62DB1" w:rsidRPr="00F452D0">
        <w:rPr>
          <w:rFonts w:ascii="Times New Roman" w:hAnsi="Times New Roman"/>
          <w:sz w:val="24"/>
          <w:szCs w:val="24"/>
        </w:rPr>
        <w:t>i</w:t>
      </w:r>
      <w:r w:rsidRPr="00F452D0">
        <w:rPr>
          <w:rFonts w:ascii="Times New Roman" w:hAnsi="Times New Roman"/>
          <w:sz w:val="24"/>
          <w:szCs w:val="24"/>
        </w:rPr>
        <w:t xml:space="preserve"> vzhľadom na existujúce regulačné </w:t>
      </w:r>
      <w:r w:rsidR="00E62DB1" w:rsidRPr="00F452D0">
        <w:rPr>
          <w:rFonts w:ascii="Times New Roman" w:hAnsi="Times New Roman"/>
          <w:sz w:val="24"/>
          <w:szCs w:val="24"/>
        </w:rPr>
        <w:t>riziko</w:t>
      </w:r>
      <w:r w:rsidRPr="00F452D0">
        <w:rPr>
          <w:rFonts w:ascii="Times New Roman" w:hAnsi="Times New Roman"/>
          <w:sz w:val="24"/>
          <w:szCs w:val="24"/>
        </w:rPr>
        <w:t xml:space="preserve">. </w:t>
      </w:r>
      <w:r w:rsidR="00E62DB1" w:rsidRPr="00F452D0">
        <w:rPr>
          <w:rFonts w:ascii="Times New Roman" w:hAnsi="Times New Roman"/>
          <w:sz w:val="24"/>
          <w:szCs w:val="24"/>
        </w:rPr>
        <w:lastRenderedPageBreak/>
        <w:t>Národná banka Slovenska ďalej poznamenáva</w:t>
      </w:r>
      <w:r w:rsidRPr="00F452D0">
        <w:rPr>
          <w:rFonts w:ascii="Times New Roman" w:hAnsi="Times New Roman"/>
          <w:sz w:val="24"/>
          <w:szCs w:val="24"/>
        </w:rPr>
        <w:t>, že nie všetky doplnkové dôchodkové fondy majú nastavenú max</w:t>
      </w:r>
      <w:r w:rsidR="00E62DB1" w:rsidRPr="00F452D0">
        <w:rPr>
          <w:rFonts w:ascii="Times New Roman" w:hAnsi="Times New Roman"/>
          <w:sz w:val="24"/>
          <w:szCs w:val="24"/>
        </w:rPr>
        <w:t xml:space="preserve">imálnu úroveň odplaty za správu a v </w:t>
      </w:r>
      <w:r w:rsidRPr="00F452D0">
        <w:rPr>
          <w:rFonts w:ascii="Times New Roman" w:hAnsi="Times New Roman"/>
          <w:sz w:val="24"/>
          <w:szCs w:val="24"/>
        </w:rPr>
        <w:t>zmysle navrhovanej zmeny je pravdepodobné, že doplnkové dôchodkové spoločnosti by pristúpili k zvýšeniu odplát v týchto doplnkových dôchodkových fondoch s cieľom minimalizovania celkového negatívneho dopadu na ich hospodárenie.</w:t>
      </w:r>
    </w:p>
    <w:p w:rsidR="00E62DB1" w:rsidRPr="00F452D0" w:rsidRDefault="00E62DB1" w:rsidP="00F67017">
      <w:pPr>
        <w:jc w:val="both"/>
        <w:rPr>
          <w:rFonts w:ascii="Times New Roman" w:hAnsi="Times New Roman"/>
          <w:sz w:val="24"/>
          <w:szCs w:val="24"/>
        </w:rPr>
      </w:pPr>
      <w:r w:rsidRPr="00F452D0">
        <w:rPr>
          <w:rFonts w:ascii="Times New Roman" w:hAnsi="Times New Roman"/>
          <w:sz w:val="24"/>
          <w:szCs w:val="24"/>
        </w:rPr>
        <w:t xml:space="preserve">Vzhľadom na </w:t>
      </w:r>
      <w:r w:rsidR="00F67017" w:rsidRPr="00F452D0">
        <w:rPr>
          <w:rFonts w:ascii="Times New Roman" w:hAnsi="Times New Roman"/>
          <w:sz w:val="24"/>
          <w:szCs w:val="24"/>
        </w:rPr>
        <w:t>súčasn</w:t>
      </w:r>
      <w:r w:rsidRPr="00F452D0">
        <w:rPr>
          <w:rFonts w:ascii="Times New Roman" w:hAnsi="Times New Roman"/>
          <w:sz w:val="24"/>
          <w:szCs w:val="24"/>
        </w:rPr>
        <w:t>é</w:t>
      </w:r>
      <w:r w:rsidR="00F67017" w:rsidRPr="00F452D0">
        <w:rPr>
          <w:rFonts w:ascii="Times New Roman" w:hAnsi="Times New Roman"/>
          <w:sz w:val="24"/>
          <w:szCs w:val="24"/>
        </w:rPr>
        <w:t xml:space="preserve"> prostred</w:t>
      </w:r>
      <w:r w:rsidRPr="00F452D0">
        <w:rPr>
          <w:rFonts w:ascii="Times New Roman" w:hAnsi="Times New Roman"/>
          <w:sz w:val="24"/>
          <w:szCs w:val="24"/>
        </w:rPr>
        <w:t>ie</w:t>
      </w:r>
      <w:r w:rsidR="00F67017" w:rsidRPr="00F452D0">
        <w:rPr>
          <w:rFonts w:ascii="Times New Roman" w:hAnsi="Times New Roman"/>
          <w:sz w:val="24"/>
          <w:szCs w:val="24"/>
        </w:rPr>
        <w:t xml:space="preserve"> neistoty na finančných trhoch</w:t>
      </w:r>
      <w:r w:rsidRPr="00F452D0">
        <w:rPr>
          <w:rFonts w:ascii="Times New Roman" w:hAnsi="Times New Roman"/>
          <w:sz w:val="24"/>
          <w:szCs w:val="24"/>
        </w:rPr>
        <w:t xml:space="preserve"> a jeho vplyv </w:t>
      </w:r>
      <w:r w:rsidR="00F67017" w:rsidRPr="00F452D0">
        <w:rPr>
          <w:rFonts w:ascii="Times New Roman" w:hAnsi="Times New Roman"/>
          <w:sz w:val="24"/>
          <w:szCs w:val="24"/>
        </w:rPr>
        <w:t>na stabilitu systému doplnkového dôchodkového sporenia</w:t>
      </w:r>
      <w:r w:rsidRPr="00F452D0">
        <w:rPr>
          <w:rFonts w:ascii="Times New Roman" w:hAnsi="Times New Roman"/>
          <w:sz w:val="24"/>
          <w:szCs w:val="24"/>
        </w:rPr>
        <w:t xml:space="preserve"> Národná banka Slovenska navrhuje postupné </w:t>
      </w:r>
      <w:r w:rsidR="00F67017" w:rsidRPr="00F452D0">
        <w:rPr>
          <w:rFonts w:ascii="Times New Roman" w:hAnsi="Times New Roman"/>
          <w:sz w:val="24"/>
          <w:szCs w:val="24"/>
        </w:rPr>
        <w:t xml:space="preserve">znižovanie odplaty za správu </w:t>
      </w:r>
      <w:r w:rsidRPr="00F452D0">
        <w:rPr>
          <w:rFonts w:ascii="Times New Roman" w:hAnsi="Times New Roman"/>
          <w:sz w:val="24"/>
          <w:szCs w:val="24"/>
        </w:rPr>
        <w:t>s </w:t>
      </w:r>
      <w:r w:rsidR="00F67017" w:rsidRPr="00F452D0">
        <w:rPr>
          <w:rFonts w:ascii="Times New Roman" w:hAnsi="Times New Roman"/>
          <w:sz w:val="24"/>
          <w:szCs w:val="24"/>
        </w:rPr>
        <w:t>nastav</w:t>
      </w:r>
      <w:r w:rsidRPr="00F452D0">
        <w:rPr>
          <w:rFonts w:ascii="Times New Roman" w:hAnsi="Times New Roman"/>
          <w:sz w:val="24"/>
          <w:szCs w:val="24"/>
        </w:rPr>
        <w:t xml:space="preserve">ením </w:t>
      </w:r>
      <w:r w:rsidR="00F67017" w:rsidRPr="00F452D0">
        <w:rPr>
          <w:rFonts w:ascii="Times New Roman" w:hAnsi="Times New Roman"/>
          <w:sz w:val="24"/>
          <w:szCs w:val="24"/>
        </w:rPr>
        <w:t>harmonogram</w:t>
      </w:r>
      <w:r w:rsidRPr="00F452D0">
        <w:rPr>
          <w:rFonts w:ascii="Times New Roman" w:hAnsi="Times New Roman"/>
          <w:sz w:val="24"/>
          <w:szCs w:val="24"/>
        </w:rPr>
        <w:t>u</w:t>
      </w:r>
      <w:r w:rsidR="00F67017" w:rsidRPr="00F452D0">
        <w:rPr>
          <w:rFonts w:ascii="Times New Roman" w:hAnsi="Times New Roman"/>
          <w:sz w:val="24"/>
          <w:szCs w:val="24"/>
        </w:rPr>
        <w:t xml:space="preserve"> tohto znižovania v čase. Ako vhodné riešenie </w:t>
      </w:r>
      <w:r w:rsidR="0058494F">
        <w:rPr>
          <w:rFonts w:ascii="Times New Roman" w:hAnsi="Times New Roman"/>
          <w:sz w:val="24"/>
          <w:szCs w:val="24"/>
        </w:rPr>
        <w:t xml:space="preserve">pritom </w:t>
      </w:r>
      <w:r w:rsidRPr="00F452D0">
        <w:rPr>
          <w:rFonts w:ascii="Times New Roman" w:hAnsi="Times New Roman"/>
          <w:sz w:val="24"/>
          <w:szCs w:val="24"/>
        </w:rPr>
        <w:t>navrhuje, a</w:t>
      </w:r>
      <w:r w:rsidR="00F67017" w:rsidRPr="00F452D0">
        <w:rPr>
          <w:rFonts w:ascii="Times New Roman" w:hAnsi="Times New Roman"/>
          <w:sz w:val="24"/>
          <w:szCs w:val="24"/>
        </w:rPr>
        <w:t xml:space="preserve">by znižovanie odplaty za správu nebolo viazané na obdobie (t. j. znižovanie odplaty v jednotlivých rokoch), ale bolo naviazané napríklad na dosiahnutie dopredu stanoveného objemu spravovaného majetku. </w:t>
      </w:r>
    </w:p>
    <w:p w:rsidR="00DB55BA" w:rsidRPr="00F452D0" w:rsidRDefault="00F67017" w:rsidP="0010086F">
      <w:pPr>
        <w:jc w:val="both"/>
        <w:rPr>
          <w:rFonts w:ascii="Times New Roman" w:hAnsi="Times New Roman"/>
          <w:b/>
          <w:sz w:val="24"/>
          <w:szCs w:val="24"/>
          <w:lang w:eastAsia="en-US"/>
        </w:rPr>
      </w:pPr>
      <w:r w:rsidRPr="00F452D0">
        <w:rPr>
          <w:rFonts w:ascii="Times New Roman" w:hAnsi="Times New Roman"/>
          <w:sz w:val="24"/>
          <w:szCs w:val="24"/>
        </w:rPr>
        <w:t>Do predkladacej správy žiada</w:t>
      </w:r>
      <w:r w:rsidR="00E62DB1" w:rsidRPr="00F452D0">
        <w:rPr>
          <w:rFonts w:ascii="Times New Roman" w:hAnsi="Times New Roman"/>
          <w:sz w:val="24"/>
          <w:szCs w:val="24"/>
        </w:rPr>
        <w:t xml:space="preserve"> tiež</w:t>
      </w:r>
      <w:r w:rsidRPr="00F452D0">
        <w:rPr>
          <w:rFonts w:ascii="Times New Roman" w:hAnsi="Times New Roman"/>
          <w:sz w:val="24"/>
          <w:szCs w:val="24"/>
        </w:rPr>
        <w:t xml:space="preserve"> doplniť stanovisko, aby v doložke vplyvov boli uvedené negatívne vplyvy na podnikateľské prostredie ako aj na rozpočet verejnej správy</w:t>
      </w:r>
      <w:r w:rsidR="00A9681B" w:rsidRPr="00F452D0">
        <w:rPr>
          <w:rFonts w:ascii="Times New Roman" w:hAnsi="Times New Roman"/>
          <w:sz w:val="24"/>
          <w:szCs w:val="24"/>
        </w:rPr>
        <w:t xml:space="preserve">. </w:t>
      </w:r>
    </w:p>
    <w:p w:rsidR="00B21062" w:rsidRPr="00F452D0" w:rsidRDefault="00B21062" w:rsidP="00B21062">
      <w:pPr>
        <w:jc w:val="both"/>
        <w:rPr>
          <w:rFonts w:ascii="Times New Roman" w:hAnsi="Times New Roman"/>
          <w:b/>
          <w:sz w:val="24"/>
          <w:szCs w:val="24"/>
          <w:lang w:eastAsia="en-US"/>
        </w:rPr>
      </w:pPr>
    </w:p>
    <w:p w:rsidR="00A9681B" w:rsidRPr="00F452D0" w:rsidRDefault="00A9681B" w:rsidP="00A9681B">
      <w:pPr>
        <w:jc w:val="both"/>
        <w:rPr>
          <w:rFonts w:ascii="Times New Roman" w:hAnsi="Times New Roman"/>
          <w:sz w:val="24"/>
          <w:szCs w:val="24"/>
        </w:rPr>
      </w:pPr>
      <w:r w:rsidRPr="00F452D0">
        <w:rPr>
          <w:rFonts w:ascii="Times New Roman" w:hAnsi="Times New Roman"/>
          <w:sz w:val="24"/>
          <w:szCs w:val="24"/>
        </w:rPr>
        <w:t>Ministerstvo k predloženým pripomienkam uvádza nasledovné.</w:t>
      </w:r>
    </w:p>
    <w:p w:rsidR="00A9681B" w:rsidRPr="00F452D0" w:rsidRDefault="00E345BF" w:rsidP="00E345BF">
      <w:pPr>
        <w:jc w:val="both"/>
        <w:rPr>
          <w:rFonts w:ascii="Times New Roman" w:hAnsi="Times New Roman"/>
          <w:sz w:val="24"/>
          <w:szCs w:val="24"/>
        </w:rPr>
      </w:pPr>
      <w:r w:rsidRPr="00F452D0">
        <w:rPr>
          <w:rFonts w:ascii="Times New Roman" w:hAnsi="Times New Roman"/>
          <w:sz w:val="24"/>
          <w:szCs w:val="24"/>
        </w:rPr>
        <w:t>V súvislosti s tvrdením Národnej banky Slovenska, že nie všetky doplnkové dôchodkové fondy majú nastavenú maximálnu úroveň odplaty</w:t>
      </w:r>
      <w:r w:rsidR="00F452D0" w:rsidRPr="00F452D0">
        <w:rPr>
          <w:rFonts w:ascii="Times New Roman" w:hAnsi="Times New Roman"/>
          <w:sz w:val="24"/>
          <w:szCs w:val="24"/>
        </w:rPr>
        <w:t>,</w:t>
      </w:r>
      <w:r w:rsidRPr="00F452D0">
        <w:rPr>
          <w:rFonts w:ascii="Times New Roman" w:hAnsi="Times New Roman"/>
          <w:sz w:val="24"/>
          <w:szCs w:val="24"/>
        </w:rPr>
        <w:t xml:space="preserve"> upozorňujeme, že zníženú odplatu za správu príspevkového doplnkového dôchodkového fondu uplatňujú </w:t>
      </w:r>
      <w:r w:rsidR="00F452D0" w:rsidRPr="00F452D0">
        <w:rPr>
          <w:rFonts w:ascii="Times New Roman" w:hAnsi="Times New Roman"/>
          <w:sz w:val="24"/>
          <w:szCs w:val="24"/>
        </w:rPr>
        <w:t xml:space="preserve">iba </w:t>
      </w:r>
      <w:r w:rsidRPr="00F452D0">
        <w:rPr>
          <w:rFonts w:ascii="Times New Roman" w:hAnsi="Times New Roman"/>
          <w:sz w:val="24"/>
          <w:szCs w:val="24"/>
        </w:rPr>
        <w:t>dva príspevkové doplnkové dôchodkové fondy v správe NN Tatry – Sympatia, d. d. s., a. s., konkrétne K</w:t>
      </w:r>
      <w:r w:rsidR="0058494F">
        <w:rPr>
          <w:rFonts w:ascii="Times New Roman" w:hAnsi="Times New Roman"/>
          <w:sz w:val="24"/>
          <w:szCs w:val="24"/>
        </w:rPr>
        <w:t>onzervatívny príspevkový d.d.f.</w:t>
      </w:r>
      <w:r w:rsidRPr="00F452D0">
        <w:rPr>
          <w:rFonts w:ascii="Times New Roman" w:hAnsi="Times New Roman"/>
          <w:sz w:val="24"/>
          <w:szCs w:val="24"/>
        </w:rPr>
        <w:t xml:space="preserve"> s odplatou za správu vo výške 0,4 % a Indexový príspevkový d.d.f. s odplatou za správu vo výške 1 %. Zníženú odplatu tiež ponúka Comfort life 2020, príspevkový d.d.f. </w:t>
      </w:r>
      <w:r w:rsidR="00F452D0" w:rsidRPr="00F452D0">
        <w:rPr>
          <w:rFonts w:ascii="Times New Roman" w:hAnsi="Times New Roman"/>
          <w:sz w:val="24"/>
          <w:szCs w:val="24"/>
        </w:rPr>
        <w:t xml:space="preserve">od Doplnkovej dôchodkovej spoločnosti Tatra banky, a. s. </w:t>
      </w:r>
      <w:r w:rsidRPr="00F452D0">
        <w:rPr>
          <w:rFonts w:ascii="Times New Roman" w:hAnsi="Times New Roman"/>
          <w:sz w:val="24"/>
          <w:szCs w:val="24"/>
        </w:rPr>
        <w:t>s</w:t>
      </w:r>
      <w:r w:rsidR="00F452D0" w:rsidRPr="00F452D0">
        <w:rPr>
          <w:rFonts w:ascii="Times New Roman" w:hAnsi="Times New Roman"/>
          <w:sz w:val="24"/>
          <w:szCs w:val="24"/>
        </w:rPr>
        <w:t> </w:t>
      </w:r>
      <w:r w:rsidRPr="00F452D0">
        <w:rPr>
          <w:rFonts w:ascii="Times New Roman" w:hAnsi="Times New Roman"/>
          <w:sz w:val="24"/>
          <w:szCs w:val="24"/>
        </w:rPr>
        <w:t>odplatou za správu 0,5 %. Znížená odplata je tak účtovaná len v príspevkových doplnkových dôchodkových fondoch s najviac konzervatívnym portfóliom a doplnkovom dôchodkovom fonde založenom na kopírovaní referenčných indexov. Nakoľko tieto príspevkové doplnkové dôchodkové fondy reprezentujú len cca 13 % hodnoty spravovaného majetku v príspevkových doplnkových dôchodkových fondov, úroveň celkových nákladov (TER) v III. pilieri zostáva na priemernej úrovni cca 1,6 %.</w:t>
      </w:r>
    </w:p>
    <w:p w:rsidR="00A9681B" w:rsidRPr="00F452D0" w:rsidRDefault="00A9681B" w:rsidP="00A9681B">
      <w:pPr>
        <w:jc w:val="both"/>
        <w:rPr>
          <w:rFonts w:ascii="Times New Roman" w:hAnsi="Times New Roman"/>
          <w:sz w:val="24"/>
          <w:szCs w:val="24"/>
        </w:rPr>
      </w:pPr>
      <w:r w:rsidRPr="00F452D0">
        <w:rPr>
          <w:rFonts w:ascii="Times New Roman" w:hAnsi="Times New Roman"/>
          <w:sz w:val="24"/>
          <w:szCs w:val="24"/>
        </w:rPr>
        <w:t xml:space="preserve">Ministerstvo </w:t>
      </w:r>
      <w:r w:rsidR="00E345BF" w:rsidRPr="00F452D0">
        <w:rPr>
          <w:rFonts w:ascii="Times New Roman" w:hAnsi="Times New Roman"/>
          <w:sz w:val="24"/>
          <w:szCs w:val="24"/>
        </w:rPr>
        <w:t xml:space="preserve">ďalej </w:t>
      </w:r>
      <w:r w:rsidRPr="00F452D0">
        <w:rPr>
          <w:rFonts w:ascii="Times New Roman" w:hAnsi="Times New Roman"/>
          <w:sz w:val="24"/>
          <w:szCs w:val="24"/>
        </w:rPr>
        <w:t>upozorňuje, že doložka vybraných vplyvov bola pripravená predkladateľmi – poslancami a v medzirezortnom pripomienkovom konaní k poslaneckému návrhu zákona sa dá docieliť iba zmena vlastného materiálu (paragrafového znenia).</w:t>
      </w:r>
    </w:p>
    <w:p w:rsidR="00A9681B" w:rsidRPr="00F452D0" w:rsidRDefault="00A9681B" w:rsidP="00A9681B">
      <w:pPr>
        <w:jc w:val="both"/>
        <w:rPr>
          <w:rFonts w:ascii="Times New Roman" w:hAnsi="Times New Roman"/>
          <w:sz w:val="24"/>
          <w:szCs w:val="24"/>
        </w:rPr>
      </w:pPr>
    </w:p>
    <w:p w:rsidR="004F790F" w:rsidRPr="00F452D0" w:rsidRDefault="005C242E" w:rsidP="00A9681B">
      <w:pPr>
        <w:jc w:val="both"/>
        <w:rPr>
          <w:rFonts w:ascii="Times New Roman" w:hAnsi="Times New Roman"/>
          <w:sz w:val="24"/>
          <w:szCs w:val="24"/>
        </w:rPr>
      </w:pPr>
      <w:r w:rsidRPr="00F452D0">
        <w:rPr>
          <w:rFonts w:ascii="Times New Roman" w:hAnsi="Times New Roman"/>
          <w:b/>
          <w:sz w:val="24"/>
          <w:szCs w:val="24"/>
        </w:rPr>
        <w:t>Asociácia doplnkových dôchodkových spoločností</w:t>
      </w:r>
      <w:r w:rsidRPr="00F452D0">
        <w:rPr>
          <w:rFonts w:ascii="Times New Roman" w:hAnsi="Times New Roman"/>
          <w:sz w:val="24"/>
          <w:szCs w:val="24"/>
        </w:rPr>
        <w:t xml:space="preserve"> </w:t>
      </w:r>
      <w:r w:rsidR="004F790F" w:rsidRPr="00F452D0">
        <w:rPr>
          <w:rFonts w:ascii="Times New Roman" w:hAnsi="Times New Roman"/>
          <w:sz w:val="24"/>
          <w:szCs w:val="24"/>
        </w:rPr>
        <w:t>a </w:t>
      </w:r>
      <w:r w:rsidR="004F790F" w:rsidRPr="00F452D0">
        <w:rPr>
          <w:rFonts w:ascii="Times New Roman" w:hAnsi="Times New Roman"/>
          <w:b/>
          <w:sz w:val="24"/>
          <w:szCs w:val="24"/>
        </w:rPr>
        <w:t>Asociácia zamestnávateľských zväzov a združení Slovenskej republiky</w:t>
      </w:r>
      <w:r w:rsidR="004F790F" w:rsidRPr="00F452D0">
        <w:rPr>
          <w:rFonts w:ascii="Times New Roman" w:hAnsi="Times New Roman"/>
          <w:sz w:val="24"/>
          <w:szCs w:val="24"/>
        </w:rPr>
        <w:t xml:space="preserve"> </w:t>
      </w:r>
      <w:r w:rsidRPr="00F452D0">
        <w:rPr>
          <w:rFonts w:ascii="Times New Roman" w:hAnsi="Times New Roman"/>
          <w:sz w:val="24"/>
          <w:szCs w:val="24"/>
        </w:rPr>
        <w:t>sa stotožňuj</w:t>
      </w:r>
      <w:r w:rsidR="004F790F" w:rsidRPr="00F452D0">
        <w:rPr>
          <w:rFonts w:ascii="Times New Roman" w:hAnsi="Times New Roman"/>
          <w:sz w:val="24"/>
          <w:szCs w:val="24"/>
        </w:rPr>
        <w:t>ú</w:t>
      </w:r>
      <w:r w:rsidRPr="00F452D0">
        <w:rPr>
          <w:rFonts w:ascii="Times New Roman" w:hAnsi="Times New Roman"/>
          <w:sz w:val="24"/>
          <w:szCs w:val="24"/>
        </w:rPr>
        <w:t xml:space="preserve"> s tvrdeniami ministerstva v predkladacej správe o likvidačnom dopade poslaneckého návrhu na sektor doplnkového dôchodkového sporenia. Rovnako </w:t>
      </w:r>
      <w:r w:rsidR="004F790F" w:rsidRPr="00F452D0">
        <w:rPr>
          <w:rFonts w:ascii="Times New Roman" w:hAnsi="Times New Roman"/>
          <w:sz w:val="24"/>
          <w:szCs w:val="24"/>
        </w:rPr>
        <w:t>súhlasia</w:t>
      </w:r>
      <w:r w:rsidRPr="00F452D0">
        <w:rPr>
          <w:rFonts w:ascii="Times New Roman" w:hAnsi="Times New Roman"/>
          <w:sz w:val="24"/>
          <w:szCs w:val="24"/>
        </w:rPr>
        <w:t>, že len zníženie odplát bez zásadných krokov smerujúcich k zlepšeniu postavenia a fungovania dobrov</w:t>
      </w:r>
      <w:r w:rsidR="004F790F" w:rsidRPr="00F452D0">
        <w:rPr>
          <w:rFonts w:ascii="Times New Roman" w:hAnsi="Times New Roman"/>
          <w:sz w:val="24"/>
          <w:szCs w:val="24"/>
        </w:rPr>
        <w:t>oľného zabezpečenia na dôchodok</w:t>
      </w:r>
      <w:r w:rsidRPr="00F452D0">
        <w:rPr>
          <w:rFonts w:ascii="Times New Roman" w:hAnsi="Times New Roman"/>
          <w:sz w:val="24"/>
          <w:szCs w:val="24"/>
        </w:rPr>
        <w:t xml:space="preserve"> </w:t>
      </w:r>
      <w:r w:rsidR="004F790F" w:rsidRPr="00F452D0">
        <w:rPr>
          <w:rFonts w:ascii="Times New Roman" w:hAnsi="Times New Roman"/>
          <w:sz w:val="24"/>
          <w:szCs w:val="24"/>
        </w:rPr>
        <w:t xml:space="preserve">je nedostatočné, neprispejú </w:t>
      </w:r>
      <w:r w:rsidRPr="00F452D0">
        <w:rPr>
          <w:rFonts w:ascii="Times New Roman" w:hAnsi="Times New Roman"/>
          <w:sz w:val="24"/>
          <w:szCs w:val="24"/>
        </w:rPr>
        <w:t>k zvýšeniu efektívnosti doplnkového dôchodkového sporenia</w:t>
      </w:r>
      <w:r w:rsidR="004F790F" w:rsidRPr="00F452D0">
        <w:rPr>
          <w:rFonts w:ascii="Times New Roman" w:hAnsi="Times New Roman"/>
          <w:sz w:val="24"/>
          <w:szCs w:val="24"/>
        </w:rPr>
        <w:t xml:space="preserve"> a tak nenaplnia</w:t>
      </w:r>
      <w:r w:rsidRPr="00F452D0">
        <w:rPr>
          <w:rFonts w:ascii="Times New Roman" w:hAnsi="Times New Roman"/>
          <w:sz w:val="24"/>
          <w:szCs w:val="24"/>
        </w:rPr>
        <w:t xml:space="preserve"> predkladateľov návrhu. </w:t>
      </w:r>
      <w:r w:rsidR="009A7CBE" w:rsidRPr="00F452D0">
        <w:rPr>
          <w:rFonts w:ascii="Times New Roman" w:hAnsi="Times New Roman"/>
          <w:sz w:val="24"/>
          <w:szCs w:val="24"/>
        </w:rPr>
        <w:t>Subjekty z</w:t>
      </w:r>
      <w:r w:rsidR="004F790F" w:rsidRPr="00F452D0">
        <w:rPr>
          <w:rFonts w:ascii="Times New Roman" w:hAnsi="Times New Roman"/>
          <w:sz w:val="24"/>
          <w:szCs w:val="24"/>
        </w:rPr>
        <w:t>ásadne nesúhlasia so znižovaním odplát za správu v doplnkovom dôchodkovom sporení, skokovo a ani postupne na neúnosnú mieru 0,6 % bez akýchkoľvek iných opatrení, ktoré by pomohli k reálnemu zefektívneniu III.</w:t>
      </w:r>
      <w:r w:rsidR="009A7CBE" w:rsidRPr="00F452D0">
        <w:rPr>
          <w:rFonts w:ascii="Times New Roman" w:hAnsi="Times New Roman"/>
          <w:sz w:val="24"/>
          <w:szCs w:val="24"/>
        </w:rPr>
        <w:t> </w:t>
      </w:r>
      <w:r w:rsidR="004F790F" w:rsidRPr="00F452D0">
        <w:rPr>
          <w:rFonts w:ascii="Times New Roman" w:hAnsi="Times New Roman"/>
          <w:sz w:val="24"/>
          <w:szCs w:val="24"/>
        </w:rPr>
        <w:t>piliera</w:t>
      </w:r>
      <w:r w:rsidR="00F73EC0" w:rsidRPr="00F452D0">
        <w:rPr>
          <w:rFonts w:ascii="Times New Roman" w:hAnsi="Times New Roman"/>
          <w:sz w:val="24"/>
          <w:szCs w:val="24"/>
        </w:rPr>
        <w:t xml:space="preserve">. </w:t>
      </w:r>
      <w:r w:rsidR="004F790F" w:rsidRPr="00F452D0">
        <w:rPr>
          <w:rFonts w:ascii="Times New Roman" w:hAnsi="Times New Roman"/>
          <w:sz w:val="24"/>
          <w:szCs w:val="24"/>
        </w:rPr>
        <w:t>Rovnako</w:t>
      </w:r>
      <w:r w:rsidR="00F73EC0" w:rsidRPr="00F452D0">
        <w:rPr>
          <w:rFonts w:ascii="Times New Roman" w:hAnsi="Times New Roman"/>
          <w:sz w:val="24"/>
          <w:szCs w:val="24"/>
        </w:rPr>
        <w:t xml:space="preserve"> uvádzajú, že </w:t>
      </w:r>
      <w:r w:rsidR="004F790F" w:rsidRPr="00F452D0">
        <w:rPr>
          <w:rFonts w:ascii="Times New Roman" w:hAnsi="Times New Roman"/>
          <w:sz w:val="24"/>
          <w:szCs w:val="24"/>
        </w:rPr>
        <w:t>hodnot</w:t>
      </w:r>
      <w:r w:rsidR="00F73EC0" w:rsidRPr="00F452D0">
        <w:rPr>
          <w:rFonts w:ascii="Times New Roman" w:hAnsi="Times New Roman"/>
          <w:sz w:val="24"/>
          <w:szCs w:val="24"/>
        </w:rPr>
        <w:t>a</w:t>
      </w:r>
      <w:r w:rsidR="004F790F" w:rsidRPr="00F452D0">
        <w:rPr>
          <w:rFonts w:ascii="Times New Roman" w:hAnsi="Times New Roman"/>
          <w:sz w:val="24"/>
          <w:szCs w:val="24"/>
        </w:rPr>
        <w:t xml:space="preserve"> odplaty za správu </w:t>
      </w:r>
      <w:r w:rsidR="009A7CBE" w:rsidRPr="00F452D0">
        <w:rPr>
          <w:rFonts w:ascii="Times New Roman" w:hAnsi="Times New Roman"/>
          <w:sz w:val="24"/>
          <w:szCs w:val="24"/>
        </w:rPr>
        <w:t xml:space="preserve">príspevkového doplnkového dôchodkového fondu </w:t>
      </w:r>
      <w:r w:rsidR="004F790F" w:rsidRPr="00F452D0">
        <w:rPr>
          <w:rFonts w:ascii="Times New Roman" w:hAnsi="Times New Roman"/>
          <w:sz w:val="24"/>
          <w:szCs w:val="24"/>
        </w:rPr>
        <w:t xml:space="preserve">na úrovni 0,6 % je výrazne pod hodnotou priemeru porovnateľných schém vo svete, výrazne pod úrovňou produktov kolektívneho investovania na Slovensku a dokonca aj pod úrovňou </w:t>
      </w:r>
      <w:r w:rsidR="00F452D0">
        <w:rPr>
          <w:rFonts w:ascii="Times New Roman" w:hAnsi="Times New Roman"/>
          <w:sz w:val="24"/>
          <w:szCs w:val="24"/>
        </w:rPr>
        <w:t>c</w:t>
      </w:r>
      <w:r w:rsidR="004F790F" w:rsidRPr="00F452D0">
        <w:rPr>
          <w:rFonts w:ascii="Times New Roman" w:hAnsi="Times New Roman"/>
          <w:sz w:val="24"/>
          <w:szCs w:val="24"/>
        </w:rPr>
        <w:t>eloeurópskeho osobného dôchodkového produktu (PEPP), ktorý má stanovený strop prevádzkových nákladov pre základnú investičnú možnosť na maximálne 1</w:t>
      </w:r>
      <w:r w:rsidR="00D13B9C">
        <w:rPr>
          <w:rFonts w:ascii="Times New Roman" w:hAnsi="Times New Roman"/>
          <w:sz w:val="24"/>
          <w:szCs w:val="24"/>
        </w:rPr>
        <w:t xml:space="preserve"> </w:t>
      </w:r>
      <w:r w:rsidR="004F790F" w:rsidRPr="00F452D0">
        <w:rPr>
          <w:rFonts w:ascii="Times New Roman" w:hAnsi="Times New Roman"/>
          <w:sz w:val="24"/>
          <w:szCs w:val="24"/>
        </w:rPr>
        <w:t>%.</w:t>
      </w:r>
    </w:p>
    <w:p w:rsidR="0017495C" w:rsidRPr="00F452D0" w:rsidRDefault="0017495C" w:rsidP="00A9681B">
      <w:pPr>
        <w:jc w:val="both"/>
        <w:rPr>
          <w:rFonts w:ascii="Times New Roman" w:hAnsi="Times New Roman"/>
          <w:sz w:val="24"/>
          <w:szCs w:val="24"/>
        </w:rPr>
      </w:pPr>
      <w:r w:rsidRPr="00F452D0">
        <w:rPr>
          <w:rFonts w:ascii="Times New Roman" w:hAnsi="Times New Roman"/>
          <w:sz w:val="24"/>
          <w:szCs w:val="24"/>
        </w:rPr>
        <w:t>Z vyššie uvedených dôvodov predložený návrh</w:t>
      </w:r>
      <w:r w:rsidR="009A7CBE" w:rsidRPr="00F452D0">
        <w:rPr>
          <w:rFonts w:ascii="Times New Roman" w:hAnsi="Times New Roman"/>
          <w:sz w:val="24"/>
          <w:szCs w:val="24"/>
        </w:rPr>
        <w:t xml:space="preserve"> podľa nich</w:t>
      </w:r>
      <w:r w:rsidRPr="00F452D0">
        <w:rPr>
          <w:rFonts w:ascii="Times New Roman" w:hAnsi="Times New Roman"/>
          <w:sz w:val="24"/>
          <w:szCs w:val="24"/>
        </w:rPr>
        <w:t xml:space="preserve"> </w:t>
      </w:r>
      <w:r w:rsidR="009A7CBE" w:rsidRPr="00F452D0">
        <w:rPr>
          <w:rFonts w:ascii="Times New Roman" w:hAnsi="Times New Roman"/>
          <w:sz w:val="24"/>
          <w:szCs w:val="24"/>
        </w:rPr>
        <w:t xml:space="preserve">neprinesie očakávaný cieľ, </w:t>
      </w:r>
      <w:r w:rsidRPr="00F452D0">
        <w:rPr>
          <w:rFonts w:ascii="Times New Roman" w:hAnsi="Times New Roman"/>
          <w:sz w:val="24"/>
          <w:szCs w:val="24"/>
        </w:rPr>
        <w:t>bude pre sektor doplnkového dôchodkového sporenia likvidačný a preto požadujú jeho stiahnutie</w:t>
      </w:r>
      <w:r w:rsidR="009A7CBE" w:rsidRPr="00F452D0">
        <w:rPr>
          <w:rFonts w:ascii="Times New Roman" w:hAnsi="Times New Roman"/>
          <w:sz w:val="24"/>
          <w:szCs w:val="24"/>
        </w:rPr>
        <w:t>.</w:t>
      </w:r>
    </w:p>
    <w:p w:rsidR="0017495C" w:rsidRPr="00F452D0" w:rsidRDefault="0017495C" w:rsidP="00A9681B">
      <w:pPr>
        <w:jc w:val="both"/>
        <w:rPr>
          <w:rFonts w:ascii="Times New Roman" w:hAnsi="Times New Roman"/>
          <w:sz w:val="24"/>
          <w:szCs w:val="24"/>
        </w:rPr>
      </w:pPr>
    </w:p>
    <w:p w:rsidR="00F73EC0" w:rsidRPr="00F452D0" w:rsidRDefault="00F73EC0" w:rsidP="00F73EC0">
      <w:pPr>
        <w:jc w:val="both"/>
        <w:rPr>
          <w:rFonts w:ascii="Times New Roman" w:hAnsi="Times New Roman"/>
          <w:sz w:val="24"/>
          <w:szCs w:val="24"/>
        </w:rPr>
      </w:pPr>
      <w:r w:rsidRPr="00F452D0">
        <w:rPr>
          <w:rFonts w:ascii="Times New Roman" w:hAnsi="Times New Roman"/>
          <w:sz w:val="24"/>
          <w:szCs w:val="24"/>
        </w:rPr>
        <w:t>Ministerstvo k predloženým pripomienkam uvádza nasledovné.</w:t>
      </w:r>
    </w:p>
    <w:p w:rsidR="00B21062" w:rsidRDefault="00F452D0" w:rsidP="00D13B9C">
      <w:pPr>
        <w:jc w:val="both"/>
        <w:rPr>
          <w:rFonts w:ascii="Times New Roman" w:hAnsi="Times New Roman"/>
          <w:sz w:val="24"/>
          <w:szCs w:val="24"/>
        </w:rPr>
      </w:pPr>
      <w:r w:rsidRPr="00F452D0">
        <w:rPr>
          <w:rFonts w:ascii="Times New Roman" w:hAnsi="Times New Roman"/>
          <w:sz w:val="24"/>
          <w:szCs w:val="24"/>
        </w:rPr>
        <w:t>Nariadeni</w:t>
      </w:r>
      <w:r>
        <w:rPr>
          <w:rFonts w:ascii="Times New Roman" w:hAnsi="Times New Roman"/>
          <w:sz w:val="24"/>
          <w:szCs w:val="24"/>
        </w:rPr>
        <w:t>e</w:t>
      </w:r>
      <w:r w:rsidRPr="00F452D0">
        <w:rPr>
          <w:rFonts w:ascii="Times New Roman" w:hAnsi="Times New Roman"/>
          <w:sz w:val="24"/>
          <w:szCs w:val="24"/>
        </w:rPr>
        <w:t xml:space="preserve"> Európskeho parlamentu a Rady EÚ 2019/1238 o celoeurópskom osobnom dôchodkovom produkte (PEPP)</w:t>
      </w:r>
      <w:r>
        <w:rPr>
          <w:rFonts w:ascii="Times New Roman" w:hAnsi="Times New Roman"/>
          <w:sz w:val="24"/>
          <w:szCs w:val="24"/>
        </w:rPr>
        <w:t xml:space="preserve"> v čl. 45 ods. </w:t>
      </w:r>
      <w:r w:rsidR="0058494F">
        <w:rPr>
          <w:rFonts w:ascii="Times New Roman" w:hAnsi="Times New Roman"/>
          <w:sz w:val="24"/>
          <w:szCs w:val="24"/>
        </w:rPr>
        <w:t>2</w:t>
      </w:r>
      <w:r>
        <w:rPr>
          <w:rFonts w:ascii="Times New Roman" w:hAnsi="Times New Roman"/>
          <w:sz w:val="24"/>
          <w:szCs w:val="24"/>
        </w:rPr>
        <w:t xml:space="preserve"> ustanovuje, že n</w:t>
      </w:r>
      <w:r w:rsidRPr="00F452D0">
        <w:rPr>
          <w:rFonts w:ascii="Times New Roman" w:hAnsi="Times New Roman"/>
          <w:sz w:val="24"/>
          <w:szCs w:val="24"/>
        </w:rPr>
        <w:t>áklady a odplaty za základný PEPP nepresiahnu ročne 1 % naakumulovaného majetku</w:t>
      </w:r>
      <w:r>
        <w:rPr>
          <w:rFonts w:ascii="Times New Roman" w:hAnsi="Times New Roman"/>
          <w:sz w:val="24"/>
          <w:szCs w:val="24"/>
        </w:rPr>
        <w:t xml:space="preserve">. </w:t>
      </w:r>
      <w:r w:rsidRPr="00F452D0">
        <w:rPr>
          <w:rFonts w:ascii="Times New Roman" w:hAnsi="Times New Roman"/>
          <w:sz w:val="24"/>
          <w:szCs w:val="24"/>
        </w:rPr>
        <w:t>Komisii</w:t>
      </w:r>
      <w:r>
        <w:rPr>
          <w:rFonts w:ascii="Times New Roman" w:hAnsi="Times New Roman"/>
          <w:sz w:val="24"/>
          <w:szCs w:val="24"/>
        </w:rPr>
        <w:t xml:space="preserve"> sa ďalej dotknutým článkom</w:t>
      </w:r>
      <w:r w:rsidRPr="00F452D0">
        <w:rPr>
          <w:rFonts w:ascii="Times New Roman" w:hAnsi="Times New Roman"/>
          <w:sz w:val="24"/>
          <w:szCs w:val="24"/>
        </w:rPr>
        <w:t xml:space="preserve"> udeľuje právomoc doplniť </w:t>
      </w:r>
      <w:r>
        <w:rPr>
          <w:rFonts w:ascii="Times New Roman" w:hAnsi="Times New Roman"/>
          <w:sz w:val="24"/>
          <w:szCs w:val="24"/>
        </w:rPr>
        <w:t>predmetné</w:t>
      </w:r>
      <w:r w:rsidRPr="00F452D0">
        <w:rPr>
          <w:rFonts w:ascii="Times New Roman" w:hAnsi="Times New Roman"/>
          <w:sz w:val="24"/>
          <w:szCs w:val="24"/>
        </w:rPr>
        <w:t xml:space="preserve"> nariadenie prijatím regulačných technických predpisov</w:t>
      </w:r>
      <w:r w:rsidR="00D13B9C">
        <w:rPr>
          <w:rFonts w:ascii="Times New Roman" w:hAnsi="Times New Roman"/>
          <w:sz w:val="24"/>
          <w:szCs w:val="24"/>
        </w:rPr>
        <w:t xml:space="preserve">. Delegované nariadenie Komisie (EÚ) 2021/473, </w:t>
      </w:r>
      <w:r w:rsidR="00D13B9C" w:rsidRPr="00D13B9C">
        <w:rPr>
          <w:rFonts w:ascii="Times New Roman" w:hAnsi="Times New Roman"/>
          <w:sz w:val="24"/>
          <w:szCs w:val="24"/>
        </w:rPr>
        <w:t>ktorým sa dopĺňa nariadenie Európskeho parlamentu a Rady (EÚ) 2019/1238, pokiaľ ide o regulačné technické predpisy, ktorými sa bližšie určujú požiadavky na informačné dokumenty, náklady a poplatky zahrnuté do cenového stropu a techniky zmierňovania rizík pre celoeurópsky osobný</w:t>
      </w:r>
      <w:r w:rsidR="00D13B9C">
        <w:rPr>
          <w:rFonts w:ascii="Times New Roman" w:hAnsi="Times New Roman"/>
          <w:sz w:val="24"/>
          <w:szCs w:val="24"/>
        </w:rPr>
        <w:t xml:space="preserve"> </w:t>
      </w:r>
      <w:r w:rsidR="00D13B9C" w:rsidRPr="00D13B9C">
        <w:rPr>
          <w:rFonts w:ascii="Times New Roman" w:hAnsi="Times New Roman"/>
          <w:sz w:val="24"/>
          <w:szCs w:val="24"/>
        </w:rPr>
        <w:t>dôchodkový produkt</w:t>
      </w:r>
      <w:r w:rsidR="00D13B9C">
        <w:rPr>
          <w:rFonts w:ascii="Times New Roman" w:hAnsi="Times New Roman"/>
          <w:sz w:val="24"/>
          <w:szCs w:val="24"/>
        </w:rPr>
        <w:t xml:space="preserve"> v tomto kontexte ustanovuje, že n</w:t>
      </w:r>
      <w:r w:rsidR="00D13B9C" w:rsidRPr="00D13B9C">
        <w:rPr>
          <w:rFonts w:ascii="Times New Roman" w:hAnsi="Times New Roman"/>
          <w:sz w:val="24"/>
          <w:szCs w:val="24"/>
        </w:rPr>
        <w:t xml:space="preserve">áklady a poplatky uvedené v článku 45 ods. 2 nariadenia v súvislosti s naakumulovaným majetkom sporiteľa PEPP na konci príslušného roka zahŕňajú všetky </w:t>
      </w:r>
      <w:r w:rsidR="00D13B9C" w:rsidRPr="00D13B9C">
        <w:rPr>
          <w:rFonts w:ascii="Times New Roman" w:hAnsi="Times New Roman"/>
          <w:sz w:val="24"/>
          <w:szCs w:val="24"/>
        </w:rPr>
        <w:lastRenderedPageBreak/>
        <w:t>skutočne vynaložené náklady a poplatky, ktoré vznikli priamo na úrovni poskytovateľa alebo na úrovni externe zabezpečovanej činnosti vrátane primeraných režijných</w:t>
      </w:r>
      <w:r w:rsidR="00D13B9C">
        <w:rPr>
          <w:rFonts w:ascii="Times New Roman" w:hAnsi="Times New Roman"/>
          <w:sz w:val="24"/>
          <w:szCs w:val="24"/>
        </w:rPr>
        <w:t xml:space="preserve"> </w:t>
      </w:r>
      <w:r w:rsidR="00D13B9C" w:rsidRPr="00D13B9C">
        <w:rPr>
          <w:rFonts w:ascii="Times New Roman" w:hAnsi="Times New Roman"/>
          <w:sz w:val="24"/>
          <w:szCs w:val="24"/>
        </w:rPr>
        <w:t xml:space="preserve">nákladov a poplatkov v súvislosti s úsporami v rámci základného PEPP a distribúciou základného PEPP. </w:t>
      </w:r>
    </w:p>
    <w:p w:rsidR="00D13B9C" w:rsidRPr="00F452D0" w:rsidRDefault="00D13B9C" w:rsidP="00D13B9C">
      <w:pPr>
        <w:jc w:val="both"/>
        <w:rPr>
          <w:rFonts w:ascii="Times New Roman" w:hAnsi="Times New Roman"/>
          <w:b/>
          <w:sz w:val="24"/>
          <w:szCs w:val="24"/>
          <w:lang w:eastAsia="en-US"/>
        </w:rPr>
      </w:pPr>
      <w:r>
        <w:rPr>
          <w:rFonts w:ascii="Times New Roman" w:hAnsi="Times New Roman"/>
          <w:sz w:val="24"/>
          <w:szCs w:val="24"/>
        </w:rPr>
        <w:t>Ministerstvo preto pre úplnosť v tejto súvislosti konštatuje, že porovnanie úrovne nákladov a odplát doplnkovej dôchodkovej spoločnosti so stropom v celoeurópskom osobnom dôchodkovom produkte je možné až po započítaní vplyvu odplaty za zhodnotenie majetku v príspevkovom doplnkovom dôchodkovom fonde a odplaty</w:t>
      </w:r>
      <w:r w:rsidRPr="00D13B9C">
        <w:rPr>
          <w:rFonts w:ascii="Times New Roman" w:hAnsi="Times New Roman"/>
          <w:sz w:val="24"/>
          <w:szCs w:val="24"/>
        </w:rPr>
        <w:t xml:space="preserve"> za prestup účastníka do inej doplnkovej dôchodkovej spoločnosti</w:t>
      </w:r>
      <w:r w:rsidR="0058494F">
        <w:rPr>
          <w:rFonts w:ascii="Times New Roman" w:hAnsi="Times New Roman"/>
          <w:sz w:val="24"/>
          <w:szCs w:val="24"/>
        </w:rPr>
        <w:t>, t. j. pri porovnaní úrovne celkových nákladov (TER)</w:t>
      </w:r>
      <w:r w:rsidRPr="00D13B9C">
        <w:rPr>
          <w:rFonts w:ascii="Times New Roman" w:hAnsi="Times New Roman"/>
          <w:sz w:val="24"/>
          <w:szCs w:val="24"/>
        </w:rPr>
        <w:t>.</w:t>
      </w:r>
    </w:p>
    <w:p w:rsidR="00F452D0" w:rsidRDefault="00F452D0" w:rsidP="00BF19E9">
      <w:pPr>
        <w:jc w:val="both"/>
        <w:rPr>
          <w:rFonts w:ascii="Times New Roman" w:hAnsi="Times New Roman"/>
          <w:b/>
          <w:sz w:val="24"/>
          <w:szCs w:val="24"/>
          <w:lang w:eastAsia="en-US"/>
        </w:rPr>
      </w:pPr>
    </w:p>
    <w:p w:rsidR="00BF19E9" w:rsidRPr="00F452D0" w:rsidRDefault="00BF19E9" w:rsidP="00BF19E9">
      <w:pPr>
        <w:jc w:val="both"/>
        <w:rPr>
          <w:rFonts w:ascii="Times New Roman" w:hAnsi="Times New Roman"/>
          <w:sz w:val="24"/>
          <w:szCs w:val="24"/>
        </w:rPr>
      </w:pPr>
      <w:r w:rsidRPr="00F452D0">
        <w:rPr>
          <w:rFonts w:ascii="Times New Roman" w:hAnsi="Times New Roman"/>
          <w:b/>
          <w:sz w:val="24"/>
          <w:szCs w:val="24"/>
          <w:lang w:eastAsia="en-US"/>
        </w:rPr>
        <w:t>Klub 500</w:t>
      </w:r>
      <w:r w:rsidRPr="00F452D0">
        <w:rPr>
          <w:rFonts w:ascii="Times New Roman" w:hAnsi="Times New Roman"/>
          <w:sz w:val="24"/>
          <w:szCs w:val="24"/>
          <w:lang w:eastAsia="en-US"/>
        </w:rPr>
        <w:t xml:space="preserve"> neodporúča schváliť poslanecký návrh</w:t>
      </w:r>
      <w:r w:rsidR="00B260C1" w:rsidRPr="00F452D0">
        <w:rPr>
          <w:rFonts w:ascii="Times New Roman" w:hAnsi="Times New Roman"/>
          <w:sz w:val="24"/>
          <w:szCs w:val="24"/>
          <w:lang w:eastAsia="en-US"/>
        </w:rPr>
        <w:t xml:space="preserve">, keďže </w:t>
      </w:r>
      <w:r w:rsidR="00B260C1" w:rsidRPr="00F452D0">
        <w:rPr>
          <w:rFonts w:ascii="Times New Roman" w:hAnsi="Times New Roman"/>
          <w:sz w:val="24"/>
          <w:szCs w:val="24"/>
        </w:rPr>
        <w:t>neprinesie očakávané zefektívnenie III. piliera, ale s veľkou pravdepodobnosťou oslabí jeho stabilitu a s vysokou pravdepodobnosťou môže viesť k jeho zániku.</w:t>
      </w:r>
      <w:r w:rsidRPr="00F452D0">
        <w:rPr>
          <w:rFonts w:ascii="Times New Roman" w:hAnsi="Times New Roman"/>
          <w:sz w:val="24"/>
          <w:szCs w:val="24"/>
          <w:lang w:eastAsia="en-US"/>
        </w:rPr>
        <w:t xml:space="preserve"> Konštatuje, že </w:t>
      </w:r>
      <w:r w:rsidRPr="00F452D0">
        <w:rPr>
          <w:rFonts w:ascii="Times New Roman" w:hAnsi="Times New Roman"/>
          <w:sz w:val="24"/>
          <w:szCs w:val="24"/>
        </w:rPr>
        <w:t>poslanecký návrh nebol diskutovaný s odborníkmi, ale nie je ani zasadený do žiadnych vecných zmien, ktoré by podporili dobrovoľné dôchodkové sporenie na Slovensku, pričom len samotné zníženie poplatkov nezabezpečí ani vyššiu participáciu účastníkov ani vyššiu mieru úspor v tomto systéme. Ďalej uvádza, že poslanecký návrh narúša predvídateľnosť podnikateľského prostredia, keďže navrhovaným termínom účinnosti tejto zmeny je už január 2023 a znižuje predvídateľnosť legislatívneho prostredia, keďže neprešiel štandardným legislatívnym procesom.</w:t>
      </w:r>
    </w:p>
    <w:p w:rsidR="00BF19E9" w:rsidRPr="00F452D0" w:rsidRDefault="00B260C1" w:rsidP="00BF19E9">
      <w:pPr>
        <w:jc w:val="both"/>
        <w:rPr>
          <w:rFonts w:ascii="Times New Roman" w:hAnsi="Times New Roman"/>
          <w:b/>
          <w:sz w:val="24"/>
          <w:szCs w:val="24"/>
          <w:lang w:eastAsia="en-US"/>
        </w:rPr>
      </w:pPr>
      <w:r w:rsidRPr="00F452D0">
        <w:rPr>
          <w:rFonts w:ascii="Times New Roman" w:hAnsi="Times New Roman"/>
          <w:sz w:val="24"/>
          <w:szCs w:val="24"/>
        </w:rPr>
        <w:t xml:space="preserve"> </w:t>
      </w:r>
    </w:p>
    <w:p w:rsidR="00B6342C" w:rsidRPr="004F1428" w:rsidRDefault="00A86CDC" w:rsidP="00A86CDC">
      <w:pPr>
        <w:ind w:firstLine="708"/>
        <w:jc w:val="both"/>
        <w:rPr>
          <w:rFonts w:ascii="Times New Roman" w:hAnsi="Times New Roman"/>
          <w:sz w:val="24"/>
          <w:szCs w:val="24"/>
          <w:lang w:eastAsia="en-US"/>
        </w:rPr>
      </w:pPr>
      <w:r>
        <w:rPr>
          <w:rFonts w:ascii="Times New Roman" w:hAnsi="Times New Roman"/>
          <w:sz w:val="24"/>
          <w:szCs w:val="24"/>
          <w:lang w:eastAsia="en-US"/>
        </w:rPr>
        <w:t xml:space="preserve">Po vyhodnotení vyššie uvedených </w:t>
      </w:r>
      <w:r w:rsidR="004F1428" w:rsidRPr="004F1428">
        <w:rPr>
          <w:rFonts w:ascii="Times New Roman" w:hAnsi="Times New Roman"/>
          <w:sz w:val="24"/>
          <w:szCs w:val="24"/>
          <w:lang w:eastAsia="en-US"/>
        </w:rPr>
        <w:t>pripomien</w:t>
      </w:r>
      <w:r>
        <w:rPr>
          <w:rFonts w:ascii="Times New Roman" w:hAnsi="Times New Roman"/>
          <w:sz w:val="24"/>
          <w:szCs w:val="24"/>
          <w:lang w:eastAsia="en-US"/>
        </w:rPr>
        <w:t>o</w:t>
      </w:r>
      <w:r w:rsidR="004F1428" w:rsidRPr="004F1428">
        <w:rPr>
          <w:rFonts w:ascii="Times New Roman" w:hAnsi="Times New Roman"/>
          <w:sz w:val="24"/>
          <w:szCs w:val="24"/>
          <w:lang w:eastAsia="en-US"/>
        </w:rPr>
        <w:t>k</w:t>
      </w:r>
      <w:r w:rsidR="004F1428">
        <w:rPr>
          <w:rFonts w:ascii="Times New Roman" w:hAnsi="Times New Roman"/>
          <w:sz w:val="24"/>
          <w:szCs w:val="24"/>
          <w:lang w:eastAsia="en-US"/>
        </w:rPr>
        <w:t xml:space="preserve"> a argument</w:t>
      </w:r>
      <w:r>
        <w:rPr>
          <w:rFonts w:ascii="Times New Roman" w:hAnsi="Times New Roman"/>
          <w:sz w:val="24"/>
          <w:szCs w:val="24"/>
          <w:lang w:eastAsia="en-US"/>
        </w:rPr>
        <w:t>ov</w:t>
      </w:r>
      <w:r w:rsidR="004F1428">
        <w:rPr>
          <w:rFonts w:ascii="Times New Roman" w:hAnsi="Times New Roman"/>
          <w:sz w:val="24"/>
          <w:szCs w:val="24"/>
          <w:lang w:eastAsia="en-US"/>
        </w:rPr>
        <w:t xml:space="preserve"> </w:t>
      </w:r>
      <w:r>
        <w:rPr>
          <w:rFonts w:ascii="Times New Roman" w:hAnsi="Times New Roman"/>
          <w:sz w:val="24"/>
          <w:szCs w:val="24"/>
          <w:lang w:eastAsia="en-US"/>
        </w:rPr>
        <w:t>dotknutých subjektov z</w:t>
      </w:r>
      <w:r w:rsidR="004F1428" w:rsidRPr="004F1428">
        <w:rPr>
          <w:rFonts w:ascii="Times New Roman" w:hAnsi="Times New Roman"/>
          <w:sz w:val="24"/>
          <w:szCs w:val="24"/>
          <w:lang w:eastAsia="en-US"/>
        </w:rPr>
        <w:t> medzirezortn</w:t>
      </w:r>
      <w:r>
        <w:rPr>
          <w:rFonts w:ascii="Times New Roman" w:hAnsi="Times New Roman"/>
          <w:sz w:val="24"/>
          <w:szCs w:val="24"/>
          <w:lang w:eastAsia="en-US"/>
        </w:rPr>
        <w:t>ého</w:t>
      </w:r>
      <w:r w:rsidR="004F1428" w:rsidRPr="004F1428">
        <w:rPr>
          <w:rFonts w:ascii="Times New Roman" w:hAnsi="Times New Roman"/>
          <w:sz w:val="24"/>
          <w:szCs w:val="24"/>
          <w:lang w:eastAsia="en-US"/>
        </w:rPr>
        <w:t xml:space="preserve"> pripomienkov</w:t>
      </w:r>
      <w:r>
        <w:rPr>
          <w:rFonts w:ascii="Times New Roman" w:hAnsi="Times New Roman"/>
          <w:sz w:val="24"/>
          <w:szCs w:val="24"/>
          <w:lang w:eastAsia="en-US"/>
        </w:rPr>
        <w:t xml:space="preserve">ého </w:t>
      </w:r>
      <w:r w:rsidR="004F1428" w:rsidRPr="004F1428">
        <w:rPr>
          <w:rFonts w:ascii="Times New Roman" w:hAnsi="Times New Roman"/>
          <w:sz w:val="24"/>
          <w:szCs w:val="24"/>
          <w:lang w:eastAsia="en-US"/>
        </w:rPr>
        <w:t>konan</w:t>
      </w:r>
      <w:r>
        <w:rPr>
          <w:rFonts w:ascii="Times New Roman" w:hAnsi="Times New Roman"/>
          <w:sz w:val="24"/>
          <w:szCs w:val="24"/>
          <w:lang w:eastAsia="en-US"/>
        </w:rPr>
        <w:t>ia, smerujúcich najmä k tomu, aby návrh regulácie reflektoval súčasnú zhoršenú a neistú situáciu v domácej ekonomike a ťažko predvídateľnú situáciu na finančných trhoch, ministerstvo navrhuje odložiť regulačný zásah do štruktúry a výšky odplát doplnkových dôchodkových spoločností o rok a spomaliť tempo poklesu odplaty za správu majetku v príspevkovom doplnkovom dôchodkovom fonde.</w:t>
      </w:r>
    </w:p>
    <w:p w:rsidR="00B6342C" w:rsidRPr="00F452D0" w:rsidRDefault="00B6342C" w:rsidP="00B6342C">
      <w:pPr>
        <w:spacing w:before="120" w:after="120"/>
        <w:ind w:firstLine="720"/>
        <w:jc w:val="both"/>
        <w:rPr>
          <w:rFonts w:ascii="Times New Roman" w:hAnsi="Times New Roman"/>
          <w:sz w:val="24"/>
          <w:szCs w:val="24"/>
        </w:rPr>
      </w:pPr>
      <w:r w:rsidRPr="00F452D0">
        <w:rPr>
          <w:rFonts w:ascii="Times New Roman" w:hAnsi="Times New Roman"/>
          <w:sz w:val="24"/>
          <w:szCs w:val="24"/>
        </w:rPr>
        <w:t xml:space="preserve">Vzhľadom na uvedené sa navrhujú nasledovné legislatívne zmeny: </w:t>
      </w:r>
    </w:p>
    <w:p w:rsidR="00B6342C" w:rsidRPr="00F452D0" w:rsidRDefault="00B6342C" w:rsidP="00B6342C">
      <w:pPr>
        <w:pStyle w:val="Odsekzoznamu"/>
        <w:numPr>
          <w:ilvl w:val="0"/>
          <w:numId w:val="5"/>
        </w:numPr>
        <w:shd w:val="clear" w:color="auto" w:fill="FFFFFF"/>
        <w:jc w:val="both"/>
        <w:rPr>
          <w:rFonts w:ascii="Times New Roman" w:eastAsia="Times New Roman" w:hAnsi="Times New Roman"/>
          <w:bCs/>
          <w:sz w:val="24"/>
          <w:szCs w:val="24"/>
        </w:rPr>
      </w:pPr>
      <w:r w:rsidRPr="00F452D0">
        <w:rPr>
          <w:rFonts w:ascii="Times New Roman" w:eastAsia="Times New Roman" w:hAnsi="Times New Roman"/>
          <w:bCs/>
          <w:sz w:val="24"/>
          <w:szCs w:val="24"/>
        </w:rPr>
        <w:t>Doterajší text článku I sa označuje ako bod 1 a dopĺňa sa bodom 2, ktorý znie:</w:t>
      </w:r>
    </w:p>
    <w:p w:rsidR="00B6342C" w:rsidRPr="00F452D0" w:rsidRDefault="00B6342C" w:rsidP="00B6342C">
      <w:pPr>
        <w:shd w:val="clear" w:color="auto" w:fill="FFFFFF"/>
        <w:jc w:val="both"/>
        <w:rPr>
          <w:rFonts w:ascii="Times New Roman" w:eastAsia="Times New Roman" w:hAnsi="Times New Roman"/>
          <w:bCs/>
          <w:sz w:val="24"/>
          <w:szCs w:val="24"/>
        </w:rPr>
      </w:pPr>
    </w:p>
    <w:p w:rsidR="00B6342C" w:rsidRPr="00F452D0" w:rsidRDefault="00B6342C" w:rsidP="00B6342C">
      <w:pPr>
        <w:shd w:val="clear" w:color="auto" w:fill="FFFFFF"/>
        <w:jc w:val="both"/>
        <w:rPr>
          <w:rFonts w:ascii="Times New Roman" w:eastAsia="Times New Roman" w:hAnsi="Times New Roman"/>
          <w:bCs/>
          <w:sz w:val="24"/>
          <w:szCs w:val="24"/>
        </w:rPr>
      </w:pPr>
      <w:r w:rsidRPr="00F452D0">
        <w:rPr>
          <w:rFonts w:ascii="Times New Roman" w:eastAsia="Times New Roman" w:hAnsi="Times New Roman"/>
          <w:bCs/>
          <w:sz w:val="24"/>
          <w:szCs w:val="24"/>
        </w:rPr>
        <w:t>„2. Za § 87r sa vkladá § 87s, ktorý vrátane nadpisu znie:</w:t>
      </w:r>
    </w:p>
    <w:p w:rsidR="00B6342C" w:rsidRPr="00F452D0" w:rsidRDefault="00B6342C" w:rsidP="00B6342C">
      <w:pPr>
        <w:shd w:val="clear" w:color="auto" w:fill="FFFFFF"/>
        <w:jc w:val="center"/>
        <w:rPr>
          <w:rFonts w:ascii="Times New Roman" w:eastAsia="Times New Roman" w:hAnsi="Times New Roman"/>
          <w:b/>
          <w:bCs/>
          <w:sz w:val="24"/>
          <w:szCs w:val="24"/>
        </w:rPr>
      </w:pPr>
      <w:r w:rsidRPr="00F452D0">
        <w:rPr>
          <w:rFonts w:ascii="Times New Roman" w:eastAsia="Times New Roman" w:hAnsi="Times New Roman"/>
          <w:bCs/>
          <w:sz w:val="24"/>
          <w:szCs w:val="24"/>
        </w:rPr>
        <w:t>„</w:t>
      </w:r>
      <w:r w:rsidRPr="00F452D0">
        <w:rPr>
          <w:rFonts w:ascii="Times New Roman" w:eastAsia="Times New Roman" w:hAnsi="Times New Roman"/>
          <w:b/>
          <w:bCs/>
          <w:sz w:val="24"/>
          <w:szCs w:val="24"/>
        </w:rPr>
        <w:t>§ 87s</w:t>
      </w:r>
    </w:p>
    <w:p w:rsidR="00B6342C" w:rsidRDefault="00B6342C" w:rsidP="00B6342C">
      <w:pPr>
        <w:shd w:val="clear" w:color="auto" w:fill="FFFFFF"/>
        <w:jc w:val="center"/>
        <w:rPr>
          <w:rFonts w:ascii="Times New Roman" w:eastAsia="Times New Roman" w:hAnsi="Times New Roman"/>
          <w:b/>
          <w:bCs/>
          <w:sz w:val="24"/>
          <w:szCs w:val="24"/>
        </w:rPr>
      </w:pPr>
      <w:r w:rsidRPr="00F452D0">
        <w:rPr>
          <w:rFonts w:ascii="Times New Roman" w:eastAsia="Times New Roman" w:hAnsi="Times New Roman"/>
          <w:b/>
          <w:bCs/>
          <w:sz w:val="24"/>
          <w:szCs w:val="24"/>
        </w:rPr>
        <w:lastRenderedPageBreak/>
        <w:t>Prechodné ustanovenia účinné od 1. januára 2023</w:t>
      </w:r>
    </w:p>
    <w:p w:rsidR="00E540E6" w:rsidRPr="00F452D0" w:rsidRDefault="00E540E6" w:rsidP="00B6342C">
      <w:pPr>
        <w:shd w:val="clear" w:color="auto" w:fill="FFFFFF"/>
        <w:jc w:val="center"/>
        <w:rPr>
          <w:rFonts w:ascii="Times New Roman" w:eastAsia="Times New Roman" w:hAnsi="Times New Roman"/>
          <w:b/>
          <w:bCs/>
          <w:sz w:val="24"/>
          <w:szCs w:val="24"/>
        </w:rPr>
      </w:pPr>
    </w:p>
    <w:p w:rsidR="00B6342C" w:rsidRPr="00F452D0" w:rsidRDefault="00B6342C" w:rsidP="00B6342C">
      <w:pPr>
        <w:pStyle w:val="Odsekzoznamu"/>
        <w:widowControl/>
        <w:numPr>
          <w:ilvl w:val="0"/>
          <w:numId w:val="4"/>
        </w:numPr>
        <w:shd w:val="clear" w:color="auto" w:fill="FFFFFF"/>
        <w:suppressAutoHyphens w:val="0"/>
        <w:autoSpaceDN/>
        <w:contextualSpacing/>
        <w:jc w:val="both"/>
        <w:textAlignment w:val="auto"/>
        <w:rPr>
          <w:rFonts w:ascii="Times New Roman" w:eastAsia="Times New Roman" w:hAnsi="Times New Roman"/>
          <w:sz w:val="24"/>
          <w:szCs w:val="24"/>
        </w:rPr>
      </w:pPr>
      <w:r w:rsidRPr="00F452D0">
        <w:rPr>
          <w:rFonts w:ascii="Times New Roman" w:eastAsia="Times New Roman" w:hAnsi="Times New Roman"/>
          <w:sz w:val="24"/>
          <w:szCs w:val="24"/>
        </w:rPr>
        <w:t>Do 31. decembra 20</w:t>
      </w:r>
      <w:r w:rsidR="00E540E6">
        <w:rPr>
          <w:rFonts w:ascii="Times New Roman" w:eastAsia="Times New Roman" w:hAnsi="Times New Roman"/>
          <w:sz w:val="24"/>
          <w:szCs w:val="24"/>
        </w:rPr>
        <w:t>33</w:t>
      </w:r>
      <w:r w:rsidRPr="00F452D0">
        <w:rPr>
          <w:rFonts w:ascii="Times New Roman" w:eastAsia="Times New Roman" w:hAnsi="Times New Roman"/>
          <w:sz w:val="24"/>
          <w:szCs w:val="24"/>
        </w:rPr>
        <w:t xml:space="preserve"> sa § 35a ods. 1 písm. a) nepoužije.</w:t>
      </w:r>
    </w:p>
    <w:p w:rsidR="00B6342C" w:rsidRPr="00F452D0" w:rsidRDefault="00B6342C" w:rsidP="00B6342C">
      <w:pPr>
        <w:pStyle w:val="Odsekzoznamu"/>
        <w:widowControl/>
        <w:numPr>
          <w:ilvl w:val="0"/>
          <w:numId w:val="4"/>
        </w:numPr>
        <w:shd w:val="clear" w:color="auto" w:fill="FFFFFF"/>
        <w:suppressAutoHyphens w:val="0"/>
        <w:autoSpaceDN/>
        <w:contextualSpacing/>
        <w:jc w:val="both"/>
        <w:textAlignment w:val="auto"/>
        <w:rPr>
          <w:rFonts w:ascii="Times New Roman" w:eastAsia="Times New Roman" w:hAnsi="Times New Roman"/>
          <w:sz w:val="24"/>
          <w:szCs w:val="24"/>
        </w:rPr>
      </w:pPr>
      <w:r w:rsidRPr="00F452D0">
        <w:rPr>
          <w:rFonts w:ascii="Times New Roman" w:eastAsia="Times New Roman" w:hAnsi="Times New Roman"/>
          <w:sz w:val="24"/>
          <w:szCs w:val="24"/>
        </w:rPr>
        <w:t xml:space="preserve">Odplata za správu doplnkového dôchodkového fondu nesmie za jeden rok správy </w:t>
      </w:r>
      <w:r w:rsidR="00E540E6">
        <w:rPr>
          <w:rFonts w:ascii="Times New Roman" w:eastAsia="Times New Roman" w:hAnsi="Times New Roman"/>
          <w:sz w:val="24"/>
          <w:szCs w:val="24"/>
        </w:rPr>
        <w:t>v</w:t>
      </w:r>
    </w:p>
    <w:p w:rsidR="00B6342C" w:rsidRPr="00F452D0" w:rsidRDefault="00E540E6" w:rsidP="00B6342C">
      <w:pPr>
        <w:pStyle w:val="Odsekzoznamu"/>
        <w:widowControl/>
        <w:numPr>
          <w:ilvl w:val="1"/>
          <w:numId w:val="4"/>
        </w:numPr>
        <w:shd w:val="clear" w:color="auto" w:fill="FFFFFF"/>
        <w:suppressAutoHyphens w:val="0"/>
        <w:autoSpaceDN/>
        <w:contextualSpacing/>
        <w:jc w:val="both"/>
        <w:textAlignment w:val="auto"/>
        <w:rPr>
          <w:rFonts w:ascii="Times New Roman" w:eastAsia="Times New Roman" w:hAnsi="Times New Roman"/>
          <w:sz w:val="24"/>
          <w:szCs w:val="24"/>
        </w:rPr>
      </w:pPr>
      <w:r w:rsidRPr="00F452D0">
        <w:rPr>
          <w:rFonts w:ascii="Times New Roman" w:eastAsia="Times New Roman" w:hAnsi="Times New Roman"/>
          <w:sz w:val="24"/>
          <w:szCs w:val="24"/>
        </w:rPr>
        <w:t xml:space="preserve">roku </w:t>
      </w:r>
      <w:r w:rsidR="00B6342C" w:rsidRPr="00F452D0">
        <w:rPr>
          <w:rFonts w:ascii="Times New Roman" w:eastAsia="Times New Roman" w:hAnsi="Times New Roman"/>
          <w:sz w:val="24"/>
          <w:szCs w:val="24"/>
        </w:rPr>
        <w:t>2023 presiahnuť 1,</w:t>
      </w:r>
      <w:r w:rsidR="00B6342C">
        <w:rPr>
          <w:rFonts w:ascii="Times New Roman" w:eastAsia="Times New Roman" w:hAnsi="Times New Roman"/>
          <w:sz w:val="24"/>
          <w:szCs w:val="24"/>
        </w:rPr>
        <w:t>2</w:t>
      </w:r>
      <w:r w:rsidR="00B6342C" w:rsidRPr="00F452D0">
        <w:rPr>
          <w:rFonts w:ascii="Times New Roman" w:eastAsia="Times New Roman" w:hAnsi="Times New Roman"/>
          <w:sz w:val="24"/>
          <w:szCs w:val="24"/>
        </w:rPr>
        <w:t>0 % z priemernej ročnej čistej hodnoty majetku v príspevkovom doplnkovom dôchodkovom fonde,</w:t>
      </w:r>
    </w:p>
    <w:p w:rsidR="00B6342C" w:rsidRPr="00F452D0" w:rsidRDefault="00E540E6" w:rsidP="00B6342C">
      <w:pPr>
        <w:pStyle w:val="Odsekzoznamu"/>
        <w:widowControl/>
        <w:numPr>
          <w:ilvl w:val="1"/>
          <w:numId w:val="4"/>
        </w:numPr>
        <w:shd w:val="clear" w:color="auto" w:fill="FFFFFF"/>
        <w:suppressAutoHyphens w:val="0"/>
        <w:autoSpaceDN/>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rokoch </w:t>
      </w:r>
      <w:r w:rsidR="00B6342C" w:rsidRPr="00F452D0">
        <w:rPr>
          <w:rFonts w:ascii="Times New Roman" w:eastAsia="Times New Roman" w:hAnsi="Times New Roman"/>
          <w:sz w:val="24"/>
          <w:szCs w:val="24"/>
        </w:rPr>
        <w:t>2024</w:t>
      </w:r>
      <w:r w:rsidR="00B6342C">
        <w:rPr>
          <w:rFonts w:ascii="Times New Roman" w:eastAsia="Times New Roman" w:hAnsi="Times New Roman"/>
          <w:sz w:val="24"/>
          <w:szCs w:val="24"/>
        </w:rPr>
        <w:t xml:space="preserve"> a 2025</w:t>
      </w:r>
      <w:r w:rsidR="00B6342C" w:rsidRPr="00F452D0">
        <w:rPr>
          <w:rFonts w:ascii="Times New Roman" w:eastAsia="Times New Roman" w:hAnsi="Times New Roman"/>
          <w:sz w:val="24"/>
          <w:szCs w:val="24"/>
        </w:rPr>
        <w:t xml:space="preserve"> presiahnuť 1</w:t>
      </w:r>
      <w:r w:rsidR="00B6342C">
        <w:rPr>
          <w:rFonts w:ascii="Times New Roman" w:eastAsia="Times New Roman" w:hAnsi="Times New Roman"/>
          <w:sz w:val="24"/>
          <w:szCs w:val="24"/>
        </w:rPr>
        <w:t>,1</w:t>
      </w:r>
      <w:r w:rsidR="00B6342C" w:rsidRPr="00F452D0">
        <w:rPr>
          <w:rFonts w:ascii="Times New Roman" w:eastAsia="Times New Roman" w:hAnsi="Times New Roman"/>
          <w:sz w:val="24"/>
          <w:szCs w:val="24"/>
        </w:rPr>
        <w:t xml:space="preserve"> % z priemernej ročnej čistej hodnoty majetku v príspevkovom doplnkovom dôchodkovom fonde,</w:t>
      </w:r>
    </w:p>
    <w:p w:rsidR="00B6342C" w:rsidRPr="00F452D0" w:rsidRDefault="00E540E6" w:rsidP="00B6342C">
      <w:pPr>
        <w:pStyle w:val="Odsekzoznamu"/>
        <w:widowControl/>
        <w:numPr>
          <w:ilvl w:val="1"/>
          <w:numId w:val="4"/>
        </w:numPr>
        <w:shd w:val="clear" w:color="auto" w:fill="FFFFFF"/>
        <w:suppressAutoHyphens w:val="0"/>
        <w:autoSpaceDN/>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rokoch </w:t>
      </w:r>
      <w:r w:rsidR="00B6342C" w:rsidRPr="00F452D0">
        <w:rPr>
          <w:rFonts w:ascii="Times New Roman" w:eastAsia="Times New Roman" w:hAnsi="Times New Roman"/>
          <w:sz w:val="24"/>
          <w:szCs w:val="24"/>
        </w:rPr>
        <w:t>202</w:t>
      </w:r>
      <w:r w:rsidR="00B6342C">
        <w:rPr>
          <w:rFonts w:ascii="Times New Roman" w:eastAsia="Times New Roman" w:hAnsi="Times New Roman"/>
          <w:sz w:val="24"/>
          <w:szCs w:val="24"/>
        </w:rPr>
        <w:t>6 a 2027 presiahnuť 1</w:t>
      </w:r>
      <w:r w:rsidR="00B6342C" w:rsidRPr="00F452D0">
        <w:rPr>
          <w:rFonts w:ascii="Times New Roman" w:eastAsia="Times New Roman" w:hAnsi="Times New Roman"/>
          <w:sz w:val="24"/>
          <w:szCs w:val="24"/>
        </w:rPr>
        <w:t xml:space="preserve"> % z priemernej ročnej čistej hodnoty majetku v príspevkovom doplnkovom dôchodkovom fonde,</w:t>
      </w:r>
    </w:p>
    <w:p w:rsidR="00B6342C" w:rsidRPr="00F452D0" w:rsidRDefault="00E540E6" w:rsidP="00B6342C">
      <w:pPr>
        <w:pStyle w:val="Odsekzoznamu"/>
        <w:widowControl/>
        <w:numPr>
          <w:ilvl w:val="1"/>
          <w:numId w:val="4"/>
        </w:numPr>
        <w:shd w:val="clear" w:color="auto" w:fill="FFFFFF"/>
        <w:suppressAutoHyphens w:val="0"/>
        <w:autoSpaceDN/>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rokoch </w:t>
      </w:r>
      <w:r w:rsidR="00B6342C">
        <w:rPr>
          <w:rFonts w:ascii="Times New Roman" w:eastAsia="Times New Roman" w:hAnsi="Times New Roman"/>
          <w:sz w:val="24"/>
          <w:szCs w:val="24"/>
        </w:rPr>
        <w:t>2028 a 2029 presiahnuť 0,90</w:t>
      </w:r>
      <w:r w:rsidR="00B6342C" w:rsidRPr="00F452D0">
        <w:rPr>
          <w:rFonts w:ascii="Times New Roman" w:eastAsia="Times New Roman" w:hAnsi="Times New Roman"/>
          <w:sz w:val="24"/>
          <w:szCs w:val="24"/>
        </w:rPr>
        <w:t xml:space="preserve"> % z priemernej ročnej čistej hodnoty majetku v príspevkovom doplnkovom dôchodkovom fonde,</w:t>
      </w:r>
    </w:p>
    <w:p w:rsidR="00B6342C" w:rsidRDefault="00E540E6" w:rsidP="00B6342C">
      <w:pPr>
        <w:pStyle w:val="Odsekzoznamu"/>
        <w:widowControl/>
        <w:numPr>
          <w:ilvl w:val="1"/>
          <w:numId w:val="4"/>
        </w:numPr>
        <w:shd w:val="clear" w:color="auto" w:fill="FFFFFF"/>
        <w:suppressAutoHyphens w:val="0"/>
        <w:autoSpaceDN/>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rokoch </w:t>
      </w:r>
      <w:r w:rsidR="00B6342C">
        <w:rPr>
          <w:rFonts w:ascii="Times New Roman" w:eastAsia="Times New Roman" w:hAnsi="Times New Roman"/>
          <w:sz w:val="24"/>
          <w:szCs w:val="24"/>
        </w:rPr>
        <w:t>2030 a 2031</w:t>
      </w:r>
      <w:r w:rsidR="00B6342C" w:rsidRPr="00F452D0">
        <w:rPr>
          <w:rFonts w:ascii="Times New Roman" w:eastAsia="Times New Roman" w:hAnsi="Times New Roman"/>
          <w:sz w:val="24"/>
          <w:szCs w:val="24"/>
        </w:rPr>
        <w:t xml:space="preserve"> presiahnuť 0,</w:t>
      </w:r>
      <w:r w:rsidR="00B6342C">
        <w:rPr>
          <w:rFonts w:ascii="Times New Roman" w:eastAsia="Times New Roman" w:hAnsi="Times New Roman"/>
          <w:sz w:val="24"/>
          <w:szCs w:val="24"/>
        </w:rPr>
        <w:t>80</w:t>
      </w:r>
      <w:r w:rsidR="00B6342C" w:rsidRPr="00F452D0">
        <w:rPr>
          <w:rFonts w:ascii="Times New Roman" w:eastAsia="Times New Roman" w:hAnsi="Times New Roman"/>
          <w:sz w:val="24"/>
          <w:szCs w:val="24"/>
        </w:rPr>
        <w:t xml:space="preserve"> % z priemernej ročnej čistej hodnoty majetku v príspevkovom doplnkovom dôchodkovom fonde</w:t>
      </w:r>
      <w:r>
        <w:rPr>
          <w:rFonts w:ascii="Times New Roman" w:eastAsia="Times New Roman" w:hAnsi="Times New Roman"/>
          <w:sz w:val="24"/>
          <w:szCs w:val="24"/>
        </w:rPr>
        <w:t>,</w:t>
      </w:r>
    </w:p>
    <w:p w:rsidR="00B6342C" w:rsidRPr="00E540E6" w:rsidRDefault="00E540E6" w:rsidP="00E540E6">
      <w:pPr>
        <w:pStyle w:val="Odsekzoznamu"/>
        <w:widowControl/>
        <w:numPr>
          <w:ilvl w:val="1"/>
          <w:numId w:val="4"/>
        </w:numPr>
        <w:shd w:val="clear" w:color="auto" w:fill="FFFFFF"/>
        <w:suppressAutoHyphens w:val="0"/>
        <w:autoSpaceDN/>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rokoch </w:t>
      </w:r>
      <w:r w:rsidR="00B6342C">
        <w:rPr>
          <w:rFonts w:ascii="Times New Roman" w:eastAsia="Times New Roman" w:hAnsi="Times New Roman"/>
          <w:sz w:val="24"/>
          <w:szCs w:val="24"/>
        </w:rPr>
        <w:t>203</w:t>
      </w:r>
      <w:r>
        <w:rPr>
          <w:rFonts w:ascii="Times New Roman" w:eastAsia="Times New Roman" w:hAnsi="Times New Roman"/>
          <w:sz w:val="24"/>
          <w:szCs w:val="24"/>
        </w:rPr>
        <w:t>2</w:t>
      </w:r>
      <w:r w:rsidR="00B6342C">
        <w:rPr>
          <w:rFonts w:ascii="Times New Roman" w:eastAsia="Times New Roman" w:hAnsi="Times New Roman"/>
          <w:sz w:val="24"/>
          <w:szCs w:val="24"/>
        </w:rPr>
        <w:t xml:space="preserve"> a 203</w:t>
      </w:r>
      <w:r>
        <w:rPr>
          <w:rFonts w:ascii="Times New Roman" w:eastAsia="Times New Roman" w:hAnsi="Times New Roman"/>
          <w:sz w:val="24"/>
          <w:szCs w:val="24"/>
        </w:rPr>
        <w:t>3</w:t>
      </w:r>
      <w:r w:rsidR="00B6342C" w:rsidRPr="00F452D0">
        <w:rPr>
          <w:rFonts w:ascii="Times New Roman" w:eastAsia="Times New Roman" w:hAnsi="Times New Roman"/>
          <w:sz w:val="24"/>
          <w:szCs w:val="24"/>
        </w:rPr>
        <w:t xml:space="preserve"> presiahnuť 0,</w:t>
      </w:r>
      <w:r>
        <w:rPr>
          <w:rFonts w:ascii="Times New Roman" w:eastAsia="Times New Roman" w:hAnsi="Times New Roman"/>
          <w:sz w:val="24"/>
          <w:szCs w:val="24"/>
        </w:rPr>
        <w:t>7</w:t>
      </w:r>
      <w:r w:rsidR="00B6342C">
        <w:rPr>
          <w:rFonts w:ascii="Times New Roman" w:eastAsia="Times New Roman" w:hAnsi="Times New Roman"/>
          <w:sz w:val="24"/>
          <w:szCs w:val="24"/>
        </w:rPr>
        <w:t>0</w:t>
      </w:r>
      <w:r w:rsidR="00B6342C" w:rsidRPr="00F452D0">
        <w:rPr>
          <w:rFonts w:ascii="Times New Roman" w:eastAsia="Times New Roman" w:hAnsi="Times New Roman"/>
          <w:sz w:val="24"/>
          <w:szCs w:val="24"/>
        </w:rPr>
        <w:t xml:space="preserve"> % z priemernej ročnej čistej hodnoty majetku v príspevkovom</w:t>
      </w:r>
      <w:r>
        <w:rPr>
          <w:rFonts w:ascii="Times New Roman" w:eastAsia="Times New Roman" w:hAnsi="Times New Roman"/>
          <w:sz w:val="24"/>
          <w:szCs w:val="24"/>
        </w:rPr>
        <w:t xml:space="preserve"> doplnkovom dôchodkovom fonde</w:t>
      </w:r>
      <w:r w:rsidR="00B6342C" w:rsidRPr="00E540E6">
        <w:rPr>
          <w:rFonts w:ascii="Times New Roman" w:eastAsia="Times New Roman" w:hAnsi="Times New Roman"/>
          <w:sz w:val="24"/>
          <w:szCs w:val="24"/>
        </w:rPr>
        <w:t>.“.“</w:t>
      </w:r>
      <w:r w:rsidR="007A26A2">
        <w:rPr>
          <w:rFonts w:ascii="Times New Roman" w:eastAsia="Times New Roman" w:hAnsi="Times New Roman"/>
          <w:sz w:val="24"/>
          <w:szCs w:val="24"/>
        </w:rPr>
        <w:t>.</w:t>
      </w:r>
    </w:p>
    <w:p w:rsidR="00B6342C" w:rsidRPr="00F452D0" w:rsidRDefault="00B6342C" w:rsidP="00B6342C">
      <w:pPr>
        <w:shd w:val="clear" w:color="auto" w:fill="FFFFFF"/>
        <w:jc w:val="both"/>
        <w:rPr>
          <w:rFonts w:ascii="Times New Roman" w:eastAsia="Times New Roman" w:hAnsi="Times New Roman"/>
          <w:sz w:val="24"/>
          <w:szCs w:val="24"/>
        </w:rPr>
      </w:pPr>
    </w:p>
    <w:p w:rsidR="00B6342C" w:rsidRPr="00F452D0" w:rsidRDefault="00B6342C" w:rsidP="00B6342C">
      <w:pPr>
        <w:spacing w:line="256" w:lineRule="auto"/>
        <w:ind w:left="360"/>
        <w:contextualSpacing/>
        <w:jc w:val="both"/>
        <w:rPr>
          <w:rFonts w:ascii="Times New Roman" w:hAnsi="Times New Roman"/>
          <w:sz w:val="24"/>
          <w:szCs w:val="24"/>
        </w:rPr>
      </w:pPr>
      <w:r w:rsidRPr="00F452D0">
        <w:rPr>
          <w:rFonts w:ascii="Times New Roman" w:hAnsi="Times New Roman"/>
          <w:sz w:val="24"/>
          <w:szCs w:val="24"/>
        </w:rPr>
        <w:t>Tento bod nadobúda účinnosť 1. januára 2023, čo sa premietne do článku o účinnosti. V súvislosti s navrhovanou zmenou sa primerane upraví názov a úvodná veta návrhu zákona</w:t>
      </w:r>
      <w:r w:rsidR="007A26A2">
        <w:rPr>
          <w:rFonts w:ascii="Times New Roman" w:hAnsi="Times New Roman"/>
          <w:sz w:val="24"/>
          <w:szCs w:val="24"/>
        </w:rPr>
        <w:t>.</w:t>
      </w:r>
    </w:p>
    <w:p w:rsidR="00B6342C" w:rsidRPr="00F452D0" w:rsidRDefault="00B6342C" w:rsidP="00B6342C">
      <w:pPr>
        <w:shd w:val="clear" w:color="auto" w:fill="FFFFFF"/>
        <w:jc w:val="both"/>
        <w:rPr>
          <w:rFonts w:ascii="Times New Roman" w:eastAsia="Times New Roman" w:hAnsi="Times New Roman"/>
          <w:sz w:val="24"/>
          <w:szCs w:val="24"/>
        </w:rPr>
      </w:pPr>
    </w:p>
    <w:p w:rsidR="00B6342C" w:rsidRPr="00F452D0" w:rsidRDefault="00B6342C" w:rsidP="00B6342C">
      <w:pPr>
        <w:shd w:val="clear" w:color="auto" w:fill="FFFFFF"/>
        <w:spacing w:line="270" w:lineRule="atLeast"/>
        <w:ind w:left="3540" w:firstLine="708"/>
        <w:rPr>
          <w:rFonts w:ascii="Times New Roman" w:eastAsia="Times New Roman" w:hAnsi="Times New Roman"/>
          <w:i/>
          <w:sz w:val="24"/>
          <w:szCs w:val="24"/>
          <w:u w:val="single"/>
        </w:rPr>
      </w:pPr>
      <w:r w:rsidRPr="00F452D0">
        <w:rPr>
          <w:rFonts w:ascii="Times New Roman" w:eastAsia="Times New Roman" w:hAnsi="Times New Roman"/>
          <w:i/>
          <w:sz w:val="24"/>
          <w:szCs w:val="24"/>
          <w:u w:val="single"/>
        </w:rPr>
        <w:t>Odôvodnenie:</w:t>
      </w:r>
    </w:p>
    <w:p w:rsidR="00B6342C" w:rsidRPr="00F452D0" w:rsidRDefault="00B6342C" w:rsidP="00B6342C">
      <w:pPr>
        <w:shd w:val="clear" w:color="auto" w:fill="FFFFFF"/>
        <w:spacing w:line="270" w:lineRule="atLeast"/>
        <w:ind w:left="4248"/>
        <w:jc w:val="both"/>
        <w:rPr>
          <w:rFonts w:ascii="Times New Roman" w:eastAsia="Times New Roman" w:hAnsi="Times New Roman"/>
          <w:i/>
          <w:sz w:val="24"/>
          <w:szCs w:val="24"/>
        </w:rPr>
      </w:pPr>
      <w:r w:rsidRPr="00F452D0">
        <w:rPr>
          <w:rFonts w:ascii="Times New Roman" w:eastAsia="Times New Roman" w:hAnsi="Times New Roman"/>
          <w:i/>
          <w:sz w:val="24"/>
          <w:szCs w:val="24"/>
        </w:rPr>
        <w:t xml:space="preserve">Vzhľadom na vplyvy, ktoré by skokovité zníženie odplaty za správu doplnkového dôchodkového fondu mohlo mať na hospodárenie doplnkových </w:t>
      </w:r>
      <w:r w:rsidRPr="00F452D0">
        <w:rPr>
          <w:rFonts w:ascii="Times New Roman" w:eastAsia="Times New Roman" w:hAnsi="Times New Roman"/>
          <w:i/>
          <w:sz w:val="24"/>
          <w:szCs w:val="24"/>
        </w:rPr>
        <w:lastRenderedPageBreak/>
        <w:t>dôchodkových spoločností a oblasť dobrovoľného sporenia na dôchodok, navrhuje sa ustanoviť postupné znižovanie odplaty za správu</w:t>
      </w:r>
      <w:r w:rsidR="007A26A2">
        <w:rPr>
          <w:rFonts w:ascii="Times New Roman" w:eastAsia="Times New Roman" w:hAnsi="Times New Roman"/>
          <w:i/>
          <w:sz w:val="24"/>
          <w:szCs w:val="24"/>
        </w:rPr>
        <w:t xml:space="preserve"> o 0,1 percentuálneho bodu každé 2</w:t>
      </w:r>
      <w:r w:rsidRPr="00F452D0">
        <w:rPr>
          <w:rFonts w:ascii="Times New Roman" w:eastAsia="Times New Roman" w:hAnsi="Times New Roman"/>
          <w:i/>
          <w:sz w:val="24"/>
          <w:szCs w:val="24"/>
        </w:rPr>
        <w:t xml:space="preserve"> rok</w:t>
      </w:r>
      <w:r w:rsidR="007A26A2">
        <w:rPr>
          <w:rFonts w:ascii="Times New Roman" w:eastAsia="Times New Roman" w:hAnsi="Times New Roman"/>
          <w:i/>
          <w:sz w:val="24"/>
          <w:szCs w:val="24"/>
        </w:rPr>
        <w:t>y od roku 2024</w:t>
      </w:r>
      <w:r w:rsidRPr="00F452D0">
        <w:rPr>
          <w:rFonts w:ascii="Times New Roman" w:eastAsia="Times New Roman" w:hAnsi="Times New Roman"/>
          <w:i/>
          <w:sz w:val="24"/>
          <w:szCs w:val="24"/>
        </w:rPr>
        <w:t xml:space="preserve"> na úroveň 0,6 %.</w:t>
      </w:r>
    </w:p>
    <w:p w:rsidR="00B6342C" w:rsidRPr="00F452D0" w:rsidRDefault="00B6342C" w:rsidP="00B6342C">
      <w:pPr>
        <w:shd w:val="clear" w:color="auto" w:fill="FFFFFF"/>
        <w:jc w:val="both"/>
        <w:rPr>
          <w:rFonts w:ascii="Times New Roman" w:eastAsia="Times New Roman" w:hAnsi="Times New Roman"/>
          <w:sz w:val="24"/>
          <w:szCs w:val="24"/>
        </w:rPr>
      </w:pPr>
    </w:p>
    <w:p w:rsidR="00B6342C" w:rsidRPr="00F452D0" w:rsidRDefault="00B6342C" w:rsidP="00B6342C">
      <w:pPr>
        <w:pStyle w:val="Odsekzoznamu"/>
        <w:numPr>
          <w:ilvl w:val="0"/>
          <w:numId w:val="5"/>
        </w:numPr>
        <w:shd w:val="clear" w:color="auto" w:fill="FFFFFF"/>
        <w:jc w:val="both"/>
        <w:rPr>
          <w:rFonts w:ascii="Times New Roman" w:eastAsia="Times New Roman" w:hAnsi="Times New Roman"/>
          <w:sz w:val="24"/>
          <w:szCs w:val="24"/>
        </w:rPr>
      </w:pPr>
      <w:r w:rsidRPr="00F452D0">
        <w:rPr>
          <w:rFonts w:ascii="Times New Roman" w:eastAsia="Times New Roman" w:hAnsi="Times New Roman"/>
          <w:sz w:val="24"/>
          <w:szCs w:val="24"/>
        </w:rPr>
        <w:t>V Čl. II sa slová „1. januára 2023“ nahrádzajú slovami „1. januára 20</w:t>
      </w:r>
      <w:r w:rsidR="00E540E6">
        <w:rPr>
          <w:rFonts w:ascii="Times New Roman" w:eastAsia="Times New Roman" w:hAnsi="Times New Roman"/>
          <w:sz w:val="24"/>
          <w:szCs w:val="24"/>
        </w:rPr>
        <w:t>34</w:t>
      </w:r>
      <w:r w:rsidRPr="00F452D0">
        <w:rPr>
          <w:rFonts w:ascii="Times New Roman" w:eastAsia="Times New Roman" w:hAnsi="Times New Roman"/>
          <w:sz w:val="24"/>
          <w:szCs w:val="24"/>
        </w:rPr>
        <w:t>“.</w:t>
      </w:r>
    </w:p>
    <w:p w:rsidR="00B6342C" w:rsidRPr="00F452D0" w:rsidRDefault="00B6342C" w:rsidP="00B6342C">
      <w:pPr>
        <w:shd w:val="clear" w:color="auto" w:fill="FFFFFF"/>
        <w:jc w:val="both"/>
        <w:rPr>
          <w:rFonts w:ascii="Times New Roman" w:eastAsia="Times New Roman" w:hAnsi="Times New Roman"/>
          <w:sz w:val="24"/>
          <w:szCs w:val="24"/>
        </w:rPr>
      </w:pPr>
    </w:p>
    <w:p w:rsidR="00B6342C" w:rsidRPr="00F452D0" w:rsidRDefault="00B6342C" w:rsidP="00B6342C">
      <w:pPr>
        <w:shd w:val="clear" w:color="auto" w:fill="FFFFFF"/>
        <w:spacing w:line="270" w:lineRule="atLeast"/>
        <w:ind w:left="3540" w:firstLine="708"/>
        <w:rPr>
          <w:rFonts w:ascii="Times New Roman" w:eastAsia="Times New Roman" w:hAnsi="Times New Roman"/>
          <w:i/>
          <w:sz w:val="24"/>
          <w:szCs w:val="24"/>
          <w:u w:val="single"/>
        </w:rPr>
      </w:pPr>
      <w:r w:rsidRPr="00F452D0">
        <w:rPr>
          <w:rFonts w:ascii="Times New Roman" w:eastAsia="Times New Roman" w:hAnsi="Times New Roman"/>
          <w:i/>
          <w:sz w:val="24"/>
          <w:szCs w:val="24"/>
          <w:u w:val="single"/>
        </w:rPr>
        <w:t>Odôvodnenie:</w:t>
      </w:r>
    </w:p>
    <w:p w:rsidR="00B6342C" w:rsidRPr="00F452D0" w:rsidRDefault="00B6342C" w:rsidP="00B6342C">
      <w:pPr>
        <w:shd w:val="clear" w:color="auto" w:fill="FFFFFF"/>
        <w:ind w:left="4248"/>
        <w:jc w:val="both"/>
        <w:rPr>
          <w:rFonts w:ascii="Times New Roman" w:eastAsia="Times New Roman" w:hAnsi="Times New Roman"/>
          <w:i/>
          <w:sz w:val="24"/>
          <w:szCs w:val="24"/>
        </w:rPr>
      </w:pPr>
      <w:r w:rsidRPr="00F452D0">
        <w:rPr>
          <w:rFonts w:ascii="Times New Roman" w:eastAsia="Times New Roman" w:hAnsi="Times New Roman"/>
          <w:i/>
          <w:sz w:val="24"/>
          <w:szCs w:val="24"/>
        </w:rPr>
        <w:t>Vzhľadom na skokovité zníženie odplaty za správu príspevkového doplnkového dôchodkového fondu, sa navrhuje posun účinnosti návrhu zákona tak, aby odplata za správu oboch doplnkových dôchodkových fondov bola na úrovni 0,6 % až od roku 20</w:t>
      </w:r>
      <w:r w:rsidR="007A26A2">
        <w:rPr>
          <w:rFonts w:ascii="Times New Roman" w:eastAsia="Times New Roman" w:hAnsi="Times New Roman"/>
          <w:i/>
          <w:sz w:val="24"/>
          <w:szCs w:val="24"/>
        </w:rPr>
        <w:t>34</w:t>
      </w:r>
      <w:r w:rsidRPr="00F452D0">
        <w:rPr>
          <w:rFonts w:ascii="Times New Roman" w:eastAsia="Times New Roman" w:hAnsi="Times New Roman"/>
          <w:i/>
          <w:sz w:val="24"/>
          <w:szCs w:val="24"/>
        </w:rPr>
        <w:t>.</w:t>
      </w:r>
    </w:p>
    <w:p w:rsidR="00B6342C" w:rsidRDefault="00B6342C" w:rsidP="00074EBA">
      <w:pPr>
        <w:ind w:firstLine="708"/>
        <w:jc w:val="both"/>
        <w:rPr>
          <w:rFonts w:ascii="Times New Roman" w:hAnsi="Times New Roman"/>
          <w:b/>
          <w:sz w:val="24"/>
          <w:szCs w:val="24"/>
          <w:lang w:eastAsia="en-US"/>
        </w:rPr>
      </w:pPr>
    </w:p>
    <w:p w:rsidR="00DA10DB" w:rsidRPr="00F452D0" w:rsidRDefault="00DA10DB" w:rsidP="00074EBA">
      <w:pPr>
        <w:ind w:firstLine="708"/>
        <w:jc w:val="both"/>
        <w:rPr>
          <w:rFonts w:ascii="Times New Roman" w:hAnsi="Times New Roman"/>
          <w:b/>
          <w:sz w:val="24"/>
          <w:szCs w:val="24"/>
          <w:lang w:eastAsia="en-US"/>
        </w:rPr>
      </w:pPr>
      <w:r w:rsidRPr="00F452D0">
        <w:rPr>
          <w:rFonts w:ascii="Times New Roman" w:hAnsi="Times New Roman"/>
          <w:b/>
          <w:sz w:val="24"/>
          <w:szCs w:val="24"/>
          <w:lang w:eastAsia="en-US"/>
        </w:rPr>
        <w:t>Záver</w:t>
      </w:r>
    </w:p>
    <w:p w:rsidR="00DA10DB" w:rsidRPr="00F452D0" w:rsidRDefault="00DA10DB" w:rsidP="00DA10DB">
      <w:pPr>
        <w:ind w:firstLine="709"/>
        <w:jc w:val="both"/>
        <w:rPr>
          <w:rFonts w:ascii="Times New Roman" w:hAnsi="Times New Roman"/>
          <w:sz w:val="24"/>
          <w:szCs w:val="24"/>
          <w:lang w:eastAsia="en-US"/>
        </w:rPr>
      </w:pPr>
    </w:p>
    <w:p w:rsidR="00DA10DB" w:rsidRPr="00F452D0" w:rsidRDefault="00DA10DB" w:rsidP="00DA10DB">
      <w:pPr>
        <w:pStyle w:val="Odsekzoznamu"/>
        <w:ind w:left="0" w:firstLine="709"/>
        <w:jc w:val="both"/>
        <w:rPr>
          <w:rFonts w:ascii="Times New Roman" w:hAnsi="Times New Roman"/>
          <w:b/>
          <w:sz w:val="24"/>
          <w:szCs w:val="24"/>
        </w:rPr>
      </w:pPr>
      <w:r w:rsidRPr="00F452D0">
        <w:rPr>
          <w:rFonts w:ascii="Times New Roman" w:hAnsi="Times New Roman"/>
          <w:sz w:val="24"/>
          <w:szCs w:val="24"/>
        </w:rPr>
        <w:t>Vzhľadom na uvedené ministerstvo odporúča vláde Slovenskej republiky</w:t>
      </w:r>
      <w:r w:rsidR="005C042B" w:rsidRPr="00F452D0">
        <w:rPr>
          <w:rFonts w:ascii="Times New Roman" w:hAnsi="Times New Roman"/>
          <w:sz w:val="24"/>
          <w:szCs w:val="24"/>
        </w:rPr>
        <w:t xml:space="preserve"> vysloviť s</w:t>
      </w:r>
      <w:r w:rsidRPr="00F452D0">
        <w:rPr>
          <w:rFonts w:ascii="Times New Roman" w:hAnsi="Times New Roman"/>
          <w:sz w:val="24"/>
          <w:szCs w:val="24"/>
        </w:rPr>
        <w:t xml:space="preserve">  návrh</w:t>
      </w:r>
      <w:r w:rsidR="005C042B" w:rsidRPr="00F452D0">
        <w:rPr>
          <w:rFonts w:ascii="Times New Roman" w:hAnsi="Times New Roman"/>
          <w:sz w:val="24"/>
          <w:szCs w:val="24"/>
        </w:rPr>
        <w:t>om</w:t>
      </w:r>
      <w:r w:rsidRPr="00F452D0">
        <w:rPr>
          <w:rFonts w:ascii="Times New Roman" w:hAnsi="Times New Roman"/>
          <w:sz w:val="24"/>
          <w:szCs w:val="24"/>
        </w:rPr>
        <w:t xml:space="preserve"> </w:t>
      </w:r>
      <w:r w:rsidRPr="00F452D0">
        <w:rPr>
          <w:rFonts w:ascii="Times New Roman" w:hAnsi="Times New Roman"/>
          <w:kern w:val="0"/>
          <w:sz w:val="24"/>
          <w:szCs w:val="24"/>
        </w:rPr>
        <w:t xml:space="preserve">skupiny poslancov Národnej rady Slovenskej republiky na vydanie zákona, </w:t>
      </w:r>
      <w:r w:rsidRPr="00F452D0">
        <w:rPr>
          <w:rFonts w:ascii="Times New Roman" w:hAnsi="Times New Roman"/>
          <w:bCs/>
          <w:sz w:val="24"/>
          <w:szCs w:val="24"/>
          <w:lang w:eastAsia="en-US"/>
        </w:rPr>
        <w:t xml:space="preserve">ktorým sa </w:t>
      </w:r>
      <w:r w:rsidRPr="00F452D0">
        <w:rPr>
          <w:rFonts w:ascii="Times New Roman" w:hAnsi="Times New Roman"/>
          <w:sz w:val="24"/>
          <w:szCs w:val="24"/>
          <w:lang w:eastAsia="en-US"/>
        </w:rPr>
        <w:t xml:space="preserve">mení zákon č. </w:t>
      </w:r>
      <w:r w:rsidR="001467D4" w:rsidRPr="00F452D0">
        <w:rPr>
          <w:rFonts w:ascii="Times New Roman" w:hAnsi="Times New Roman"/>
          <w:sz w:val="24"/>
          <w:szCs w:val="24"/>
          <w:lang w:eastAsia="en-US"/>
        </w:rPr>
        <w:t>650</w:t>
      </w:r>
      <w:r w:rsidRPr="00F452D0">
        <w:rPr>
          <w:rFonts w:ascii="Times New Roman" w:hAnsi="Times New Roman"/>
          <w:sz w:val="24"/>
          <w:szCs w:val="24"/>
          <w:lang w:eastAsia="en-US"/>
        </w:rPr>
        <w:t>/200</w:t>
      </w:r>
      <w:r w:rsidR="001467D4" w:rsidRPr="00F452D0">
        <w:rPr>
          <w:rFonts w:ascii="Times New Roman" w:hAnsi="Times New Roman"/>
          <w:sz w:val="24"/>
          <w:szCs w:val="24"/>
          <w:lang w:eastAsia="en-US"/>
        </w:rPr>
        <w:t>4</w:t>
      </w:r>
      <w:r w:rsidRPr="00F452D0">
        <w:rPr>
          <w:rFonts w:ascii="Times New Roman" w:hAnsi="Times New Roman"/>
          <w:sz w:val="24"/>
          <w:szCs w:val="24"/>
          <w:lang w:eastAsia="en-US"/>
        </w:rPr>
        <w:t xml:space="preserve"> Z. z. o</w:t>
      </w:r>
      <w:r w:rsidR="001467D4" w:rsidRPr="00F452D0">
        <w:rPr>
          <w:rFonts w:ascii="Times New Roman" w:hAnsi="Times New Roman"/>
          <w:sz w:val="24"/>
          <w:szCs w:val="24"/>
          <w:lang w:eastAsia="en-US"/>
        </w:rPr>
        <w:t xml:space="preserve"> doplnkovom </w:t>
      </w:r>
      <w:r w:rsidR="001467D4" w:rsidRPr="00F452D0">
        <w:rPr>
          <w:rFonts w:ascii="Times New Roman" w:hAnsi="Times New Roman"/>
          <w:sz w:val="24"/>
          <w:szCs w:val="24"/>
          <w:lang w:eastAsia="en-US"/>
        </w:rPr>
        <w:lastRenderedPageBreak/>
        <w:t>dôchodkovom sporení a o zmene a doplnení niektorých zákonov</w:t>
      </w:r>
      <w:r w:rsidRPr="00F452D0">
        <w:rPr>
          <w:rFonts w:ascii="Times New Roman" w:hAnsi="Times New Roman"/>
          <w:sz w:val="24"/>
          <w:szCs w:val="24"/>
          <w:lang w:eastAsia="en-US"/>
        </w:rPr>
        <w:t xml:space="preserve"> v znení neskorších predpisov</w:t>
      </w:r>
      <w:r w:rsidRPr="00F452D0">
        <w:rPr>
          <w:rFonts w:ascii="Times New Roman" w:hAnsi="Times New Roman"/>
          <w:bCs/>
          <w:sz w:val="24"/>
          <w:szCs w:val="24"/>
          <w:lang w:eastAsia="en-US"/>
        </w:rPr>
        <w:t xml:space="preserve"> </w:t>
      </w:r>
      <w:r w:rsidRPr="00F452D0">
        <w:rPr>
          <w:rFonts w:ascii="Times New Roman" w:hAnsi="Times New Roman"/>
          <w:sz w:val="24"/>
          <w:szCs w:val="24"/>
          <w:lang w:eastAsia="en-US"/>
        </w:rPr>
        <w:t>(tlač 1</w:t>
      </w:r>
      <w:r w:rsidR="001467D4" w:rsidRPr="00F452D0">
        <w:rPr>
          <w:rFonts w:ascii="Times New Roman" w:hAnsi="Times New Roman"/>
          <w:sz w:val="24"/>
          <w:szCs w:val="24"/>
          <w:lang w:eastAsia="en-US"/>
        </w:rPr>
        <w:t>120</w:t>
      </w:r>
      <w:r w:rsidRPr="00F452D0">
        <w:rPr>
          <w:rFonts w:ascii="Times New Roman" w:hAnsi="Times New Roman"/>
          <w:sz w:val="24"/>
          <w:szCs w:val="24"/>
          <w:lang w:eastAsia="en-US"/>
        </w:rPr>
        <w:t>)</w:t>
      </w:r>
      <w:r w:rsidRPr="00F452D0">
        <w:rPr>
          <w:rFonts w:ascii="Times New Roman" w:hAnsi="Times New Roman"/>
          <w:sz w:val="24"/>
          <w:szCs w:val="24"/>
        </w:rPr>
        <w:t xml:space="preserve"> </w:t>
      </w:r>
      <w:r w:rsidR="005C042B" w:rsidRPr="00F452D0">
        <w:rPr>
          <w:rFonts w:ascii="Times New Roman" w:hAnsi="Times New Roman"/>
          <w:b/>
          <w:sz w:val="24"/>
          <w:szCs w:val="24"/>
        </w:rPr>
        <w:t>súhlas po zapracovaní pripomienky uvedenej v predkladacej správe.</w:t>
      </w:r>
    </w:p>
    <w:p w:rsidR="00777C48" w:rsidRPr="00F452D0" w:rsidRDefault="00777C48">
      <w:pPr>
        <w:rPr>
          <w:rFonts w:ascii="Times New Roman" w:hAnsi="Times New Roman"/>
          <w:sz w:val="24"/>
          <w:szCs w:val="24"/>
        </w:rPr>
      </w:pPr>
    </w:p>
    <w:sectPr w:rsidR="00777C48" w:rsidRPr="00F452D0" w:rsidSect="00DA10DB">
      <w:footerReference w:type="default" r:id="rId9"/>
      <w:pgSz w:w="11906" w:h="16838"/>
      <w:pgMar w:top="1417" w:right="1417" w:bottom="1417" w:left="1417" w:header="737" w:footer="42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77" w:rsidRDefault="006A7677">
      <w:r>
        <w:separator/>
      </w:r>
    </w:p>
  </w:endnote>
  <w:endnote w:type="continuationSeparator" w:id="0">
    <w:p w:rsidR="006A7677" w:rsidRDefault="006A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5B" w:rsidRPr="000A3C0F" w:rsidRDefault="00251C0D">
    <w:pPr>
      <w:pStyle w:val="Pta"/>
      <w:jc w:val="right"/>
      <w:rPr>
        <w:rFonts w:ascii="Times New Roman" w:hAnsi="Times New Roman"/>
      </w:rPr>
    </w:pPr>
    <w:r w:rsidRPr="000A3C0F">
      <w:rPr>
        <w:rFonts w:ascii="Times New Roman" w:hAnsi="Times New Roman"/>
      </w:rPr>
      <w:fldChar w:fldCharType="begin"/>
    </w:r>
    <w:r w:rsidR="00DA10DB" w:rsidRPr="000A3C0F">
      <w:rPr>
        <w:rFonts w:ascii="Times New Roman" w:hAnsi="Times New Roman"/>
      </w:rPr>
      <w:instrText>PAGE   \* MERGEFORMAT</w:instrText>
    </w:r>
    <w:r w:rsidRPr="000A3C0F">
      <w:rPr>
        <w:rFonts w:ascii="Times New Roman" w:hAnsi="Times New Roman"/>
      </w:rPr>
      <w:fldChar w:fldCharType="separate"/>
    </w:r>
    <w:r w:rsidR="004A70CB">
      <w:rPr>
        <w:rFonts w:ascii="Times New Roman" w:hAnsi="Times New Roman"/>
        <w:noProof/>
      </w:rPr>
      <w:t>2</w:t>
    </w:r>
    <w:r w:rsidRPr="000A3C0F">
      <w:rPr>
        <w:rFonts w:ascii="Times New Roman" w:hAnsi="Times New Roman"/>
      </w:rPr>
      <w:fldChar w:fldCharType="end"/>
    </w:r>
  </w:p>
  <w:p w:rsidR="00694F5B" w:rsidRPr="00EC2262" w:rsidRDefault="006A7677" w:rsidP="0089492B">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77" w:rsidRDefault="006A7677">
      <w:r>
        <w:separator/>
      </w:r>
    </w:p>
  </w:footnote>
  <w:footnote w:type="continuationSeparator" w:id="0">
    <w:p w:rsidR="006A7677" w:rsidRDefault="006A7677">
      <w:r>
        <w:continuationSeparator/>
      </w:r>
    </w:p>
  </w:footnote>
  <w:footnote w:id="1">
    <w:p w:rsidR="00B1444C" w:rsidRPr="00F17A4B" w:rsidRDefault="00B1444C" w:rsidP="00B1444C">
      <w:pPr>
        <w:pStyle w:val="Textpoznmkypodiarou"/>
        <w:jc w:val="both"/>
        <w:rPr>
          <w:rFonts w:ascii="Times New Roman" w:hAnsi="Times New Roman"/>
        </w:rPr>
      </w:pPr>
      <w:r w:rsidRPr="00F17A4B">
        <w:rPr>
          <w:rStyle w:val="Odkaznapoznmkupodiarou"/>
          <w:rFonts w:ascii="Times New Roman" w:hAnsi="Times New Roman"/>
        </w:rPr>
        <w:footnoteRef/>
      </w:r>
      <w:r>
        <w:rPr>
          <w:rFonts w:ascii="Times New Roman" w:hAnsi="Times New Roman"/>
        </w:rPr>
        <w:t>)</w:t>
      </w:r>
      <w:r w:rsidRPr="00F17A4B">
        <w:rPr>
          <w:rFonts w:ascii="Times New Roman" w:hAnsi="Times New Roman"/>
        </w:rPr>
        <w:t xml:space="preserve"> </w:t>
      </w:r>
      <w:hyperlink r:id="rId1" w:history="1">
        <w:r w:rsidR="00181807">
          <w:rPr>
            <w:rStyle w:val="Hypertextovprepojenie"/>
            <w:rFonts w:ascii="Times New Roman" w:hAnsi="Times New Roman"/>
          </w:rPr>
          <w:t>https://www.employment.gov.sk/files/slovensky/socialne-poistenie-dochodkovy-system/dochodkovy-system/analyzy/analyza-opatreni-podporujucich-efektivnejsie-rozlozenie-uspor-medzi-triedami-aktiv-ii-iii-pilieri-dochodkoveho-sporenia.pdf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090C"/>
    <w:multiLevelType w:val="hybridMultilevel"/>
    <w:tmpl w:val="481AA318"/>
    <w:lvl w:ilvl="0" w:tplc="7538860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F360F92"/>
    <w:multiLevelType w:val="hybridMultilevel"/>
    <w:tmpl w:val="6E948932"/>
    <w:lvl w:ilvl="0" w:tplc="0414C46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F59763A"/>
    <w:multiLevelType w:val="hybridMultilevel"/>
    <w:tmpl w:val="630050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587F35"/>
    <w:multiLevelType w:val="hybridMultilevel"/>
    <w:tmpl w:val="6254BB54"/>
    <w:lvl w:ilvl="0" w:tplc="0C18511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6DF064FC"/>
    <w:multiLevelType w:val="hybridMultilevel"/>
    <w:tmpl w:val="38D4914A"/>
    <w:lvl w:ilvl="0" w:tplc="70504B38">
      <w:numFmt w:val="bullet"/>
      <w:lvlText w:val="-"/>
      <w:lvlJc w:val="left"/>
      <w:pPr>
        <w:ind w:left="1429" w:hanging="360"/>
      </w:pPr>
      <w:rPr>
        <w:rFonts w:ascii="Times New Roman" w:eastAsia="Calibri"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DB"/>
    <w:rsid w:val="000007A7"/>
    <w:rsid w:val="00025672"/>
    <w:rsid w:val="000609F2"/>
    <w:rsid w:val="00074EBA"/>
    <w:rsid w:val="000A3C0F"/>
    <w:rsid w:val="000B300A"/>
    <w:rsid w:val="0010086F"/>
    <w:rsid w:val="00107772"/>
    <w:rsid w:val="001467D4"/>
    <w:rsid w:val="00151CE4"/>
    <w:rsid w:val="0016395A"/>
    <w:rsid w:val="0017495C"/>
    <w:rsid w:val="00181748"/>
    <w:rsid w:val="00181807"/>
    <w:rsid w:val="00202F89"/>
    <w:rsid w:val="0024379D"/>
    <w:rsid w:val="00251C0D"/>
    <w:rsid w:val="00265DA8"/>
    <w:rsid w:val="002661CD"/>
    <w:rsid w:val="00271D6B"/>
    <w:rsid w:val="002848DA"/>
    <w:rsid w:val="00285171"/>
    <w:rsid w:val="00285307"/>
    <w:rsid w:val="002B03D2"/>
    <w:rsid w:val="002C40DD"/>
    <w:rsid w:val="002C78C9"/>
    <w:rsid w:val="003019F1"/>
    <w:rsid w:val="0030486D"/>
    <w:rsid w:val="003128CF"/>
    <w:rsid w:val="00366542"/>
    <w:rsid w:val="00395729"/>
    <w:rsid w:val="003C57C7"/>
    <w:rsid w:val="003C7933"/>
    <w:rsid w:val="003D430C"/>
    <w:rsid w:val="003F440A"/>
    <w:rsid w:val="00410AA7"/>
    <w:rsid w:val="00416503"/>
    <w:rsid w:val="004A70CB"/>
    <w:rsid w:val="004E4631"/>
    <w:rsid w:val="004F1428"/>
    <w:rsid w:val="004F790F"/>
    <w:rsid w:val="005017B8"/>
    <w:rsid w:val="00505B85"/>
    <w:rsid w:val="005359F9"/>
    <w:rsid w:val="00541094"/>
    <w:rsid w:val="00571F52"/>
    <w:rsid w:val="0058494F"/>
    <w:rsid w:val="005A2AA0"/>
    <w:rsid w:val="005C042B"/>
    <w:rsid w:val="005C242E"/>
    <w:rsid w:val="005E2877"/>
    <w:rsid w:val="005E2DBF"/>
    <w:rsid w:val="0060039D"/>
    <w:rsid w:val="006055FF"/>
    <w:rsid w:val="00644F37"/>
    <w:rsid w:val="006A7677"/>
    <w:rsid w:val="006D2D87"/>
    <w:rsid w:val="006E6A30"/>
    <w:rsid w:val="00700325"/>
    <w:rsid w:val="0072278F"/>
    <w:rsid w:val="00777C48"/>
    <w:rsid w:val="00781ECC"/>
    <w:rsid w:val="00793F96"/>
    <w:rsid w:val="007A26A2"/>
    <w:rsid w:val="007A7262"/>
    <w:rsid w:val="007B2041"/>
    <w:rsid w:val="007B24F7"/>
    <w:rsid w:val="007E5997"/>
    <w:rsid w:val="00836E52"/>
    <w:rsid w:val="0086394C"/>
    <w:rsid w:val="0089091F"/>
    <w:rsid w:val="008B724D"/>
    <w:rsid w:val="008E13B6"/>
    <w:rsid w:val="008E4933"/>
    <w:rsid w:val="00902F0C"/>
    <w:rsid w:val="0090351E"/>
    <w:rsid w:val="009449A7"/>
    <w:rsid w:val="00946D2B"/>
    <w:rsid w:val="009A7CBE"/>
    <w:rsid w:val="009D48D6"/>
    <w:rsid w:val="009F41EC"/>
    <w:rsid w:val="00A41FD0"/>
    <w:rsid w:val="00A70624"/>
    <w:rsid w:val="00A86CDC"/>
    <w:rsid w:val="00A9681B"/>
    <w:rsid w:val="00AC4932"/>
    <w:rsid w:val="00AC5C09"/>
    <w:rsid w:val="00AE778A"/>
    <w:rsid w:val="00B1444C"/>
    <w:rsid w:val="00B21062"/>
    <w:rsid w:val="00B260C1"/>
    <w:rsid w:val="00B50FD8"/>
    <w:rsid w:val="00B533AB"/>
    <w:rsid w:val="00B6342C"/>
    <w:rsid w:val="00B80709"/>
    <w:rsid w:val="00B843BB"/>
    <w:rsid w:val="00B8483B"/>
    <w:rsid w:val="00BC4B7F"/>
    <w:rsid w:val="00BD00B1"/>
    <w:rsid w:val="00BF19E9"/>
    <w:rsid w:val="00C351B0"/>
    <w:rsid w:val="00C416E3"/>
    <w:rsid w:val="00C434FF"/>
    <w:rsid w:val="00C56058"/>
    <w:rsid w:val="00C60A61"/>
    <w:rsid w:val="00C749AD"/>
    <w:rsid w:val="00C7530A"/>
    <w:rsid w:val="00C85B4C"/>
    <w:rsid w:val="00CA5B32"/>
    <w:rsid w:val="00CB26B4"/>
    <w:rsid w:val="00CC3C13"/>
    <w:rsid w:val="00D05C8C"/>
    <w:rsid w:val="00D13B9C"/>
    <w:rsid w:val="00D3747A"/>
    <w:rsid w:val="00D65696"/>
    <w:rsid w:val="00DA10DB"/>
    <w:rsid w:val="00DA22C5"/>
    <w:rsid w:val="00DB55BA"/>
    <w:rsid w:val="00DC4316"/>
    <w:rsid w:val="00E043AB"/>
    <w:rsid w:val="00E12AEB"/>
    <w:rsid w:val="00E345BF"/>
    <w:rsid w:val="00E540E6"/>
    <w:rsid w:val="00E62DB1"/>
    <w:rsid w:val="00E71328"/>
    <w:rsid w:val="00E71D17"/>
    <w:rsid w:val="00EE1FB4"/>
    <w:rsid w:val="00EF26BE"/>
    <w:rsid w:val="00F0688F"/>
    <w:rsid w:val="00F17A4B"/>
    <w:rsid w:val="00F27705"/>
    <w:rsid w:val="00F30339"/>
    <w:rsid w:val="00F452D0"/>
    <w:rsid w:val="00F67017"/>
    <w:rsid w:val="00F73EC0"/>
    <w:rsid w:val="00FB02AE"/>
    <w:rsid w:val="00FB6363"/>
    <w:rsid w:val="00FD4AA4"/>
    <w:rsid w:val="00FE10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E958D-77BE-45A5-8AAB-A7A859D6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DA10DB"/>
    <w:pPr>
      <w:widowControl w:val="0"/>
      <w:suppressAutoHyphens/>
      <w:autoSpaceDN w:val="0"/>
      <w:spacing w:after="0" w:line="240" w:lineRule="auto"/>
      <w:textAlignment w:val="baseline"/>
    </w:pPr>
    <w:rPr>
      <w:rFonts w:ascii="Calibri" w:eastAsia="Calibri" w:hAnsi="Calibri" w:cs="Times New Roman"/>
      <w:kern w:val="3"/>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DA10DB"/>
    <w:pPr>
      <w:ind w:left="720"/>
    </w:pPr>
    <w:rPr>
      <w:sz w:val="22"/>
      <w:szCs w:val="22"/>
    </w:rPr>
  </w:style>
  <w:style w:type="paragraph" w:styleId="Pta">
    <w:name w:val="footer"/>
    <w:basedOn w:val="Normlny"/>
    <w:link w:val="PtaChar"/>
    <w:uiPriority w:val="99"/>
    <w:rsid w:val="00DA10DB"/>
    <w:pPr>
      <w:suppressLineNumbers/>
      <w:tabs>
        <w:tab w:val="center" w:pos="4536"/>
        <w:tab w:val="right" w:pos="9072"/>
      </w:tabs>
    </w:pPr>
    <w:rPr>
      <w:sz w:val="22"/>
      <w:szCs w:val="22"/>
    </w:rPr>
  </w:style>
  <w:style w:type="character" w:customStyle="1" w:styleId="PtaChar">
    <w:name w:val="Päta Char"/>
    <w:basedOn w:val="Predvolenpsmoodseku"/>
    <w:link w:val="Pta"/>
    <w:uiPriority w:val="99"/>
    <w:rsid w:val="00DA10DB"/>
    <w:rPr>
      <w:rFonts w:ascii="Calibri" w:eastAsia="Calibri" w:hAnsi="Calibri" w:cs="Times New Roman"/>
      <w:kern w:val="3"/>
      <w:lang w:eastAsia="sk-SK"/>
    </w:rPr>
  </w:style>
  <w:style w:type="character" w:customStyle="1" w:styleId="OdsekzoznamuChar">
    <w:name w:val="Odsek zoznamu Char"/>
    <w:aliases w:val="body Char,Odsek zoznamu2 Char,Odsek Char,Odsek zoznamu1 Char"/>
    <w:link w:val="Odsekzoznamu"/>
    <w:uiPriority w:val="34"/>
    <w:locked/>
    <w:rsid w:val="00DA10DB"/>
    <w:rPr>
      <w:rFonts w:ascii="Calibri" w:eastAsia="Calibri" w:hAnsi="Calibri" w:cs="Times New Roman"/>
      <w:kern w:val="3"/>
      <w:lang w:eastAsia="sk-SK"/>
    </w:rPr>
  </w:style>
  <w:style w:type="character" w:styleId="Odkaznakomentr">
    <w:name w:val="annotation reference"/>
    <w:basedOn w:val="Predvolenpsmoodseku"/>
    <w:uiPriority w:val="99"/>
    <w:semiHidden/>
    <w:unhideWhenUsed/>
    <w:rsid w:val="00B533AB"/>
    <w:rPr>
      <w:sz w:val="16"/>
      <w:szCs w:val="16"/>
    </w:rPr>
  </w:style>
  <w:style w:type="paragraph" w:styleId="Textkomentra">
    <w:name w:val="annotation text"/>
    <w:basedOn w:val="Normlny"/>
    <w:link w:val="TextkomentraChar"/>
    <w:uiPriority w:val="99"/>
    <w:unhideWhenUsed/>
    <w:rsid w:val="00B533AB"/>
  </w:style>
  <w:style w:type="character" w:customStyle="1" w:styleId="TextkomentraChar">
    <w:name w:val="Text komentára Char"/>
    <w:basedOn w:val="Predvolenpsmoodseku"/>
    <w:link w:val="Textkomentra"/>
    <w:uiPriority w:val="99"/>
    <w:rsid w:val="00B533AB"/>
    <w:rPr>
      <w:rFonts w:ascii="Calibri" w:eastAsia="Calibri" w:hAnsi="Calibri" w:cs="Times New Roman"/>
      <w:kern w:val="3"/>
      <w:sz w:val="20"/>
      <w:szCs w:val="20"/>
      <w:lang w:eastAsia="sk-SK"/>
    </w:rPr>
  </w:style>
  <w:style w:type="paragraph" w:styleId="Predmetkomentra">
    <w:name w:val="annotation subject"/>
    <w:basedOn w:val="Textkomentra"/>
    <w:next w:val="Textkomentra"/>
    <w:link w:val="PredmetkomentraChar"/>
    <w:uiPriority w:val="99"/>
    <w:semiHidden/>
    <w:unhideWhenUsed/>
    <w:rsid w:val="00B533AB"/>
    <w:rPr>
      <w:b/>
      <w:bCs/>
    </w:rPr>
  </w:style>
  <w:style w:type="character" w:customStyle="1" w:styleId="PredmetkomentraChar">
    <w:name w:val="Predmet komentára Char"/>
    <w:basedOn w:val="TextkomentraChar"/>
    <w:link w:val="Predmetkomentra"/>
    <w:uiPriority w:val="99"/>
    <w:semiHidden/>
    <w:rsid w:val="00B533AB"/>
    <w:rPr>
      <w:rFonts w:ascii="Calibri" w:eastAsia="Calibri" w:hAnsi="Calibri" w:cs="Times New Roman"/>
      <w:b/>
      <w:bCs/>
      <w:kern w:val="3"/>
      <w:sz w:val="20"/>
      <w:szCs w:val="20"/>
      <w:lang w:eastAsia="sk-SK"/>
    </w:rPr>
  </w:style>
  <w:style w:type="paragraph" w:styleId="Textbubliny">
    <w:name w:val="Balloon Text"/>
    <w:basedOn w:val="Normlny"/>
    <w:link w:val="TextbublinyChar"/>
    <w:uiPriority w:val="99"/>
    <w:semiHidden/>
    <w:unhideWhenUsed/>
    <w:rsid w:val="00B533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33AB"/>
    <w:rPr>
      <w:rFonts w:ascii="Segoe UI" w:eastAsia="Calibri" w:hAnsi="Segoe UI" w:cs="Segoe UI"/>
      <w:kern w:val="3"/>
      <w:sz w:val="18"/>
      <w:szCs w:val="18"/>
      <w:lang w:eastAsia="sk-SK"/>
    </w:rPr>
  </w:style>
  <w:style w:type="character" w:styleId="Zstupntext">
    <w:name w:val="Placeholder Text"/>
    <w:basedOn w:val="Predvolenpsmoodseku"/>
    <w:uiPriority w:val="99"/>
    <w:semiHidden/>
    <w:rsid w:val="00285307"/>
    <w:rPr>
      <w:color w:val="808080"/>
    </w:rPr>
  </w:style>
  <w:style w:type="paragraph" w:styleId="Textpoznmkypodiarou">
    <w:name w:val="footnote text"/>
    <w:basedOn w:val="Normlny"/>
    <w:link w:val="TextpoznmkypodiarouChar"/>
    <w:uiPriority w:val="99"/>
    <w:semiHidden/>
    <w:unhideWhenUsed/>
    <w:rsid w:val="002B03D2"/>
  </w:style>
  <w:style w:type="character" w:customStyle="1" w:styleId="TextpoznmkypodiarouChar">
    <w:name w:val="Text poznámky pod čiarou Char"/>
    <w:basedOn w:val="Predvolenpsmoodseku"/>
    <w:link w:val="Textpoznmkypodiarou"/>
    <w:uiPriority w:val="99"/>
    <w:semiHidden/>
    <w:rsid w:val="002B03D2"/>
    <w:rPr>
      <w:rFonts w:ascii="Calibri" w:eastAsia="Calibri" w:hAnsi="Calibri" w:cs="Times New Roman"/>
      <w:kern w:val="3"/>
      <w:sz w:val="20"/>
      <w:szCs w:val="20"/>
      <w:lang w:eastAsia="sk-SK"/>
    </w:rPr>
  </w:style>
  <w:style w:type="character" w:styleId="Odkaznapoznmkupodiarou">
    <w:name w:val="footnote reference"/>
    <w:basedOn w:val="Predvolenpsmoodseku"/>
    <w:uiPriority w:val="99"/>
    <w:semiHidden/>
    <w:unhideWhenUsed/>
    <w:rsid w:val="002B03D2"/>
    <w:rPr>
      <w:vertAlign w:val="superscript"/>
    </w:rPr>
  </w:style>
  <w:style w:type="character" w:styleId="Hypertextovprepojenie">
    <w:name w:val="Hyperlink"/>
    <w:basedOn w:val="Predvolenpsmoodseku"/>
    <w:uiPriority w:val="99"/>
    <w:semiHidden/>
    <w:unhideWhenUsed/>
    <w:rsid w:val="002B03D2"/>
    <w:rPr>
      <w:color w:val="0000FF"/>
      <w:u w:val="single"/>
    </w:rPr>
  </w:style>
  <w:style w:type="paragraph" w:styleId="Hlavika">
    <w:name w:val="header"/>
    <w:basedOn w:val="Normlny"/>
    <w:link w:val="HlavikaChar"/>
    <w:uiPriority w:val="99"/>
    <w:unhideWhenUsed/>
    <w:rsid w:val="000A3C0F"/>
    <w:pPr>
      <w:tabs>
        <w:tab w:val="center" w:pos="4536"/>
        <w:tab w:val="right" w:pos="9072"/>
      </w:tabs>
    </w:pPr>
  </w:style>
  <w:style w:type="character" w:customStyle="1" w:styleId="HlavikaChar">
    <w:name w:val="Hlavička Char"/>
    <w:basedOn w:val="Predvolenpsmoodseku"/>
    <w:link w:val="Hlavika"/>
    <w:uiPriority w:val="99"/>
    <w:rsid w:val="000A3C0F"/>
    <w:rPr>
      <w:rFonts w:ascii="Calibri" w:eastAsia="Calibri" w:hAnsi="Calibri" w:cs="Times New Roman"/>
      <w:kern w:val="3"/>
      <w:sz w:val="20"/>
      <w:szCs w:val="20"/>
      <w:lang w:eastAsia="sk-SK"/>
    </w:rPr>
  </w:style>
  <w:style w:type="paragraph" w:styleId="Revzia">
    <w:name w:val="Revision"/>
    <w:hidden/>
    <w:uiPriority w:val="99"/>
    <w:semiHidden/>
    <w:rsid w:val="00D65696"/>
    <w:pPr>
      <w:spacing w:after="0" w:line="240" w:lineRule="auto"/>
    </w:pPr>
    <w:rPr>
      <w:rFonts w:ascii="Calibri" w:eastAsia="Calibri" w:hAnsi="Calibri" w:cs="Times New Roman"/>
      <w:kern w:val="3"/>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9857">
      <w:bodyDiv w:val="1"/>
      <w:marLeft w:val="0"/>
      <w:marRight w:val="0"/>
      <w:marTop w:val="0"/>
      <w:marBottom w:val="0"/>
      <w:divBdr>
        <w:top w:val="none" w:sz="0" w:space="0" w:color="auto"/>
        <w:left w:val="none" w:sz="0" w:space="0" w:color="auto"/>
        <w:bottom w:val="none" w:sz="0" w:space="0" w:color="auto"/>
        <w:right w:val="none" w:sz="0" w:space="0" w:color="auto"/>
      </w:divBdr>
    </w:div>
    <w:div w:id="586114141">
      <w:bodyDiv w:val="1"/>
      <w:marLeft w:val="0"/>
      <w:marRight w:val="0"/>
      <w:marTop w:val="0"/>
      <w:marBottom w:val="0"/>
      <w:divBdr>
        <w:top w:val="none" w:sz="0" w:space="0" w:color="auto"/>
        <w:left w:val="none" w:sz="0" w:space="0" w:color="auto"/>
        <w:bottom w:val="none" w:sz="0" w:space="0" w:color="auto"/>
        <w:right w:val="none" w:sz="0" w:space="0" w:color="auto"/>
      </w:divBdr>
    </w:div>
    <w:div w:id="1862623694">
      <w:bodyDiv w:val="1"/>
      <w:marLeft w:val="0"/>
      <w:marRight w:val="0"/>
      <w:marTop w:val="0"/>
      <w:marBottom w:val="0"/>
      <w:divBdr>
        <w:top w:val="none" w:sz="0" w:space="0" w:color="auto"/>
        <w:left w:val="none" w:sz="0" w:space="0" w:color="auto"/>
        <w:bottom w:val="none" w:sz="0" w:space="0" w:color="auto"/>
        <w:right w:val="none" w:sz="0" w:space="0" w:color="auto"/>
      </w:divBdr>
      <w:divsChild>
        <w:div w:id="326401757">
          <w:marLeft w:val="255"/>
          <w:marRight w:val="0"/>
          <w:marTop w:val="0"/>
          <w:marBottom w:val="0"/>
          <w:divBdr>
            <w:top w:val="none" w:sz="0" w:space="0" w:color="auto"/>
            <w:left w:val="none" w:sz="0" w:space="0" w:color="auto"/>
            <w:bottom w:val="none" w:sz="0" w:space="0" w:color="auto"/>
            <w:right w:val="none" w:sz="0" w:space="0" w:color="auto"/>
          </w:divBdr>
        </w:div>
        <w:div w:id="429005109">
          <w:marLeft w:val="255"/>
          <w:marRight w:val="0"/>
          <w:marTop w:val="0"/>
          <w:marBottom w:val="0"/>
          <w:divBdr>
            <w:top w:val="none" w:sz="0" w:space="0" w:color="auto"/>
            <w:left w:val="none" w:sz="0" w:space="0" w:color="auto"/>
            <w:bottom w:val="none" w:sz="0" w:space="0" w:color="auto"/>
            <w:right w:val="none" w:sz="0" w:space="0" w:color="auto"/>
          </w:divBdr>
        </w:div>
        <w:div w:id="213467236">
          <w:marLeft w:val="255"/>
          <w:marRight w:val="0"/>
          <w:marTop w:val="0"/>
          <w:marBottom w:val="0"/>
          <w:divBdr>
            <w:top w:val="none" w:sz="0" w:space="0" w:color="auto"/>
            <w:left w:val="none" w:sz="0" w:space="0" w:color="auto"/>
            <w:bottom w:val="none" w:sz="0" w:space="0" w:color="auto"/>
            <w:right w:val="none" w:sz="0" w:space="0" w:color="auto"/>
          </w:divBdr>
        </w:div>
        <w:div w:id="164700510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mployment.gov.sk/files/slovensky/socialne-poistenie-dochodkovy-system/dochodkovy-system/analyzy/analyza-opatreni-podporujucich-efektivnejsie-rozlozenie-uspor-medzi-triedami-aktiv-ii-iii-pilieri-dochodkoveho-sporenia.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áva"/>
    <f:field ref="objsubject" par="" edit="true" text=""/>
    <f:field ref="objcreatedby" par="" text="Hornáček, Vladimír, Mgr."/>
    <f:field ref="objcreatedat" par="" text="11.10.2022 15:31:31"/>
    <f:field ref="objchangedby" par="" text="Administrator, System"/>
    <f:field ref="objmodifiedat" par="" text="11.10.2022 15:31: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5402FC-A3A2-42A8-B98C-775DB7CF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3815</Words>
  <Characters>21751</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ieri dôchodkového sporenia</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ieri dôchodkového sporenia</dc:title>
  <dc:subject/>
  <dc:creator>Slavka Fujdová</dc:creator>
  <cp:keywords/>
  <dc:description/>
  <cp:lastModifiedBy>Cebulakova Monika</cp:lastModifiedBy>
  <cp:revision>2</cp:revision>
  <dcterms:created xsi:type="dcterms:W3CDTF">2022-10-24T04:22:00Z</dcterms:created>
  <dcterms:modified xsi:type="dcterms:W3CDTF">2022-10-24T04:22:00Z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Návrh poslancov Národnej rady Slovenskej republiky Tomáša Lehotského, Petra Cmoreja, Mariána Viskupiča a Vladimíra Ledeckého na vydanie zákona, ktorým sa mení zákon č. 650/2004 Z. z. o doplnkovom dôchodkovom sporení a o zmene a doplnení niektorých zákono</vt:lpwstr>
  </property>
  <property fmtid="{D5CDD505-2E9C-101B-9397-08002B2CF9AE}" pid="15" name="FSC#SKEDITIONSLOVLEX@103.510:nazovpredpis1">
    <vt:lpwstr>v v znení neskorších predpisov (tlač 1120)</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zákona_x000d_
Národnej rady Slovenskej republiky_x000d_
č. 350/1996 Z. z. o rokovacom poriadku_x000d_
Národnej rady Slovenskej republiky_x000d_
republiky_x000d_
</vt:lpwstr>
  </property>
  <property fmtid="{D5CDD505-2E9C-101B-9397-08002B2CF9AE}" pid="23" name="FSC#SKEDITIONSLOVLEX@103.510:plnynazovpredpis">
    <vt:lpwstr> Návrh poslancov Národnej rady Slovenskej republiky Tomáša Lehotského, Petra Cmoreja, Mariána Viskupiča a Vladimíra Ledeckého na vydanie zákona, ktorým sa mení zákon č. 650/2004 Z. z. o doplnkovom dôchodkovom sporení a o zmene a doplnení niektorých zákono</vt:lpwstr>
  </property>
  <property fmtid="{D5CDD505-2E9C-101B-9397-08002B2CF9AE}" pid="24" name="FSC#SKEDITIONSLOVLEX@103.510:plnynazovpredpis1">
    <vt:lpwstr>v v znení neskorších predpisov (tlač 1120)</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22088/2022-M_OPVA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LP/2022/619</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11. 10. 2022</vt:lpwstr>
  </property>
  <property fmtid="{D5CDD505-2E9C-101B-9397-08002B2CF9AE}" pid="151" name="FSC#COOSYSTEM@1.1:Container">
    <vt:lpwstr>COO.2145.1000.3.5222559</vt:lpwstr>
  </property>
  <property fmtid="{D5CDD505-2E9C-101B-9397-08002B2CF9AE}" pid="152" name="FSC#FSCFOLIO@1.1001:docpropproject">
    <vt:lpwstr/>
  </property>
</Properties>
</file>