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8C4C" w14:textId="06729E37" w:rsidR="00640AD6" w:rsidRDefault="00640AD6" w:rsidP="00640AD6">
      <w:pPr>
        <w:jc w:val="center"/>
        <w:rPr>
          <w:rFonts w:eastAsia="Calibri"/>
          <w:b/>
          <w:sz w:val="24"/>
          <w:szCs w:val="24"/>
        </w:rPr>
      </w:pPr>
      <w:bookmarkStart w:id="0" w:name="_GoBack"/>
      <w:bookmarkEnd w:id="0"/>
      <w:r w:rsidRPr="003715EB">
        <w:rPr>
          <w:rFonts w:eastAsia="Calibri"/>
          <w:b/>
          <w:sz w:val="24"/>
          <w:szCs w:val="24"/>
        </w:rPr>
        <w:t>Analýza vpl</w:t>
      </w:r>
      <w:r w:rsidR="00EF270E" w:rsidRPr="003715EB">
        <w:rPr>
          <w:rFonts w:eastAsia="Calibri"/>
          <w:b/>
          <w:sz w:val="24"/>
          <w:szCs w:val="24"/>
        </w:rPr>
        <w:t>yvov na podnikateľské prostredi</w:t>
      </w:r>
      <w:r w:rsidR="00A03F3E" w:rsidRPr="003715EB">
        <w:rPr>
          <w:rFonts w:eastAsia="Calibri"/>
          <w:b/>
          <w:sz w:val="24"/>
          <w:szCs w:val="24"/>
        </w:rPr>
        <w:t>e</w:t>
      </w:r>
    </w:p>
    <w:p w14:paraId="762C57AE" w14:textId="77777777" w:rsidR="0078144B" w:rsidRPr="00B2053F" w:rsidRDefault="0078144B" w:rsidP="00640AD6">
      <w:pPr>
        <w:jc w:val="center"/>
        <w:rPr>
          <w:rFonts w:eastAsia="Calibri"/>
          <w:sz w:val="24"/>
          <w:szCs w:val="24"/>
        </w:rPr>
      </w:pPr>
    </w:p>
    <w:p w14:paraId="08C33DA7" w14:textId="77777777" w:rsidR="00B2053F" w:rsidRDefault="00640AD6" w:rsidP="00640AD6">
      <w:pPr>
        <w:jc w:val="both"/>
        <w:rPr>
          <w:rFonts w:eastAsia="Calibri"/>
          <w:b/>
          <w:sz w:val="24"/>
          <w:szCs w:val="24"/>
        </w:rPr>
      </w:pPr>
      <w:r w:rsidRPr="003715EB">
        <w:rPr>
          <w:rFonts w:eastAsia="Calibri"/>
          <w:b/>
          <w:sz w:val="24"/>
          <w:szCs w:val="24"/>
        </w:rPr>
        <w:t xml:space="preserve">Názov materiálu: </w:t>
      </w:r>
    </w:p>
    <w:p w14:paraId="4D261AB9" w14:textId="454F2820" w:rsidR="00640AD6" w:rsidRPr="003715EB" w:rsidRDefault="00640AD6" w:rsidP="00640AD6">
      <w:pPr>
        <w:jc w:val="both"/>
        <w:rPr>
          <w:rFonts w:eastAsia="Calibri"/>
          <w:b/>
          <w:sz w:val="24"/>
          <w:szCs w:val="24"/>
        </w:rPr>
      </w:pPr>
      <w:r w:rsidRPr="003715EB">
        <w:rPr>
          <w:rFonts w:eastAsia="Calibri"/>
          <w:sz w:val="24"/>
          <w:szCs w:val="24"/>
        </w:rPr>
        <w:t>Nariadenie vlády Slovenskej republiky</w:t>
      </w:r>
      <w:r w:rsidR="00BD1AD1" w:rsidRPr="003715EB">
        <w:rPr>
          <w:rFonts w:eastAsia="Calibri"/>
          <w:sz w:val="24"/>
          <w:szCs w:val="24"/>
        </w:rPr>
        <w:t xml:space="preserve">, ktorým sa </w:t>
      </w:r>
      <w:r w:rsidR="00253350" w:rsidRPr="003715EB">
        <w:rPr>
          <w:rFonts w:eastAsia="Calibri"/>
          <w:sz w:val="24"/>
          <w:szCs w:val="24"/>
        </w:rPr>
        <w:t>mení a dopĺňa nariadenie vlády Slovenskej republiky č. 152/2013 Z. z. o podmienkach poskytovania podpory v poľnohospodárstve formou prechodných vnútroštátnych platieb v znení neskorších predpisov</w:t>
      </w:r>
    </w:p>
    <w:p w14:paraId="7F733EB5" w14:textId="77777777" w:rsidR="00B2053F" w:rsidRPr="00B2053F" w:rsidRDefault="00B2053F" w:rsidP="00640AD6">
      <w:pPr>
        <w:jc w:val="both"/>
        <w:rPr>
          <w:rFonts w:eastAsia="Calibri"/>
          <w:sz w:val="24"/>
          <w:szCs w:val="24"/>
        </w:rPr>
      </w:pPr>
    </w:p>
    <w:p w14:paraId="16649A85" w14:textId="77777777" w:rsidR="00B2053F" w:rsidRDefault="00640AD6" w:rsidP="00640AD6">
      <w:pPr>
        <w:jc w:val="both"/>
        <w:rPr>
          <w:rFonts w:eastAsia="Calibri"/>
          <w:b/>
          <w:sz w:val="24"/>
          <w:szCs w:val="24"/>
        </w:rPr>
      </w:pPr>
      <w:r w:rsidRPr="003715EB">
        <w:rPr>
          <w:rFonts w:eastAsia="Calibri"/>
          <w:b/>
          <w:sz w:val="24"/>
          <w:szCs w:val="24"/>
        </w:rPr>
        <w:t>Predkladateľ:</w:t>
      </w:r>
    </w:p>
    <w:p w14:paraId="49DC0040" w14:textId="3D013042" w:rsidR="00640AD6" w:rsidRPr="003715EB" w:rsidRDefault="00640AD6" w:rsidP="00640AD6">
      <w:pPr>
        <w:jc w:val="both"/>
        <w:rPr>
          <w:rFonts w:eastAsia="Calibri"/>
          <w:b/>
          <w:sz w:val="24"/>
          <w:szCs w:val="24"/>
        </w:rPr>
      </w:pPr>
      <w:r w:rsidRPr="003715EB">
        <w:rPr>
          <w:rFonts w:eastAsia="Calibri"/>
          <w:sz w:val="24"/>
          <w:szCs w:val="24"/>
        </w:rPr>
        <w:t>Ministerstvo pôdohospodárstva a</w:t>
      </w:r>
      <w:r w:rsidR="00B2053F">
        <w:rPr>
          <w:rFonts w:eastAsia="Calibri"/>
          <w:sz w:val="24"/>
          <w:szCs w:val="24"/>
        </w:rPr>
        <w:t xml:space="preserve"> </w:t>
      </w:r>
      <w:r w:rsidRPr="003715EB">
        <w:rPr>
          <w:rFonts w:eastAsia="Calibri"/>
          <w:sz w:val="24"/>
          <w:szCs w:val="24"/>
        </w:rPr>
        <w:t>rozvoja vidieka Slovenskej republiky</w:t>
      </w:r>
    </w:p>
    <w:p w14:paraId="652F3BB0" w14:textId="77777777" w:rsidR="00B2053F" w:rsidRDefault="00B2053F" w:rsidP="00640AD6">
      <w:pPr>
        <w:jc w:val="both"/>
        <w:rPr>
          <w:rFonts w:eastAsia="Calibri"/>
          <w:b/>
          <w:sz w:val="24"/>
          <w:szCs w:val="24"/>
        </w:rPr>
      </w:pPr>
    </w:p>
    <w:p w14:paraId="18027750" w14:textId="1D446DA6" w:rsidR="00640AD6" w:rsidRPr="003715EB" w:rsidRDefault="00640AD6" w:rsidP="00640AD6">
      <w:pPr>
        <w:jc w:val="both"/>
        <w:rPr>
          <w:rFonts w:eastAsia="Calibri"/>
          <w:b/>
          <w:sz w:val="24"/>
          <w:szCs w:val="24"/>
        </w:rPr>
      </w:pPr>
      <w:r w:rsidRPr="003715EB">
        <w:rPr>
          <w:rFonts w:eastAsia="Calibri"/>
          <w:b/>
          <w:sz w:val="24"/>
          <w:szCs w:val="24"/>
        </w:rPr>
        <w:t>3.1 Náklady regulácie</w:t>
      </w:r>
    </w:p>
    <w:p w14:paraId="31A7E64B" w14:textId="0C82999A" w:rsidR="00640AD6" w:rsidRPr="003715EB" w:rsidRDefault="00640AD6" w:rsidP="00640AD6">
      <w:pPr>
        <w:tabs>
          <w:tab w:val="left" w:pos="8025"/>
        </w:tabs>
        <w:rPr>
          <w:rFonts w:eastAsia="Calibri"/>
          <w:bCs/>
          <w:i/>
          <w:iCs/>
          <w:sz w:val="24"/>
          <w:szCs w:val="24"/>
        </w:rPr>
      </w:pPr>
      <w:r w:rsidRPr="003715EB">
        <w:rPr>
          <w:rFonts w:eastAsia="Calibri"/>
          <w:b/>
          <w:i/>
          <w:iCs/>
          <w:sz w:val="24"/>
          <w:szCs w:val="24"/>
        </w:rPr>
        <w:t>3.1.1 Súhr</w:t>
      </w:r>
      <w:r w:rsidR="00B2053F">
        <w:rPr>
          <w:rFonts w:eastAsia="Calibri"/>
          <w:b/>
          <w:i/>
          <w:iCs/>
          <w:sz w:val="24"/>
          <w:szCs w:val="24"/>
        </w:rPr>
        <w:t>nná tabuľka nákladov regulácie</w:t>
      </w:r>
    </w:p>
    <w:p w14:paraId="113AA7DC" w14:textId="77777777" w:rsidR="00640AD6" w:rsidRPr="003715EB" w:rsidRDefault="00640AD6" w:rsidP="00640AD6">
      <w:pPr>
        <w:jc w:val="both"/>
        <w:rPr>
          <w:rFonts w:eastAsia="Calibri"/>
          <w:i/>
          <w:sz w:val="24"/>
          <w:szCs w:val="24"/>
        </w:rPr>
      </w:pPr>
      <w:r w:rsidRPr="003715EB">
        <w:rPr>
          <w:rFonts w:eastAsia="Calibri"/>
          <w:i/>
          <w:sz w:val="24"/>
          <w:szCs w:val="24"/>
        </w:rPr>
        <w:t xml:space="preserve">Tabuľka č. 1: Zmeny nákladov (ročne) v prepočte na podnikateľské prostredie (PP), vyhodnotenie mechanizmu znižovania byrokracie a nákladov. </w:t>
      </w:r>
    </w:p>
    <w:p w14:paraId="124669E2" w14:textId="15EB6D61" w:rsidR="00640AD6" w:rsidRPr="003715EB" w:rsidRDefault="00640AD6" w:rsidP="00640AD6">
      <w:pPr>
        <w:jc w:val="both"/>
        <w:rPr>
          <w:rFonts w:eastAsia="Calibri"/>
          <w:i/>
          <w:sz w:val="24"/>
          <w:szCs w:val="24"/>
        </w:rPr>
      </w:pPr>
      <w:r w:rsidRPr="003715EB">
        <w:rPr>
          <w:rFonts w:eastAsia="Calibri"/>
          <w:i/>
          <w:sz w:val="24"/>
          <w:szCs w:val="24"/>
        </w:rPr>
        <w:t>Nahraďte rovnakou tabuľkou po vyplnení Kalkulačky nákladov podnikateľského prostredia, ktorá je povinnou prílohou tejto analýzy a</w:t>
      </w:r>
      <w:r w:rsidR="00B2053F">
        <w:rPr>
          <w:rFonts w:eastAsia="Calibri"/>
          <w:i/>
          <w:sz w:val="24"/>
          <w:szCs w:val="24"/>
        </w:rPr>
        <w:t xml:space="preserve"> </w:t>
      </w:r>
      <w:r w:rsidRPr="003715EB">
        <w:rPr>
          <w:rFonts w:eastAsia="Calibri"/>
          <w:i/>
          <w:sz w:val="24"/>
          <w:szCs w:val="24"/>
        </w:rPr>
        <w:t xml:space="preserve">nájdete ju na </w:t>
      </w:r>
      <w:hyperlink r:id="rId8" w:history="1">
        <w:r w:rsidRPr="003715EB">
          <w:rPr>
            <w:rFonts w:eastAsia="Calibri"/>
            <w:i/>
            <w:sz w:val="24"/>
            <w:szCs w:val="24"/>
            <w:u w:val="single"/>
          </w:rPr>
          <w:t>webovom sídle MH SR</w:t>
        </w:r>
      </w:hyperlink>
      <w:r w:rsidRPr="003715EB">
        <w:rPr>
          <w:rFonts w:eastAsia="Calibri"/>
          <w:i/>
          <w:sz w:val="24"/>
          <w:szCs w:val="24"/>
        </w:rPr>
        <w:t>, (ďalej len „Kalkulačka nákladov“):</w:t>
      </w:r>
    </w:p>
    <w:tbl>
      <w:tblPr>
        <w:tblStyle w:val="Mriekatabuky2"/>
        <w:tblW w:w="9067" w:type="dxa"/>
        <w:tblLook w:val="04A0" w:firstRow="1" w:lastRow="0" w:firstColumn="1" w:lastColumn="0" w:noHBand="0" w:noVBand="1"/>
      </w:tblPr>
      <w:tblGrid>
        <w:gridCol w:w="3681"/>
        <w:gridCol w:w="2693"/>
        <w:gridCol w:w="2693"/>
      </w:tblGrid>
      <w:tr w:rsidR="003715EB" w:rsidRPr="003715EB" w14:paraId="239E9DEA" w14:textId="77777777" w:rsidTr="00ED1A67">
        <w:tc>
          <w:tcPr>
            <w:tcW w:w="3681" w:type="dxa"/>
          </w:tcPr>
          <w:p w14:paraId="3258B71A" w14:textId="77777777" w:rsidR="00640AD6" w:rsidRPr="003715EB" w:rsidRDefault="00640AD6" w:rsidP="00ED1A67">
            <w:pPr>
              <w:rPr>
                <w:rFonts w:eastAsia="Calibri"/>
                <w:b/>
                <w:bCs/>
                <w:i/>
                <w:sz w:val="24"/>
                <w:szCs w:val="24"/>
              </w:rPr>
            </w:pPr>
            <w:r w:rsidRPr="003715EB">
              <w:rPr>
                <w:rFonts w:eastAsia="Calibri"/>
                <w:b/>
                <w:bCs/>
                <w:i/>
                <w:sz w:val="24"/>
                <w:szCs w:val="24"/>
              </w:rPr>
              <w:t>TYP NÁKLADOV</w:t>
            </w:r>
          </w:p>
        </w:tc>
        <w:tc>
          <w:tcPr>
            <w:tcW w:w="2693" w:type="dxa"/>
            <w:shd w:val="clear" w:color="auto" w:fill="FFC000"/>
          </w:tcPr>
          <w:p w14:paraId="10753C89" w14:textId="77777777" w:rsidR="00640AD6" w:rsidRPr="003715EB" w:rsidRDefault="00640AD6" w:rsidP="00ED1A67">
            <w:pPr>
              <w:jc w:val="center"/>
              <w:rPr>
                <w:rFonts w:eastAsia="Calibri"/>
                <w:i/>
                <w:sz w:val="24"/>
                <w:szCs w:val="24"/>
              </w:rPr>
            </w:pPr>
            <w:r w:rsidRPr="003715EB">
              <w:rPr>
                <w:rFonts w:eastAsia="Calibri"/>
                <w:b/>
                <w:bCs/>
                <w:sz w:val="24"/>
                <w:szCs w:val="24"/>
              </w:rPr>
              <w:t>Zvýšenie nákladov v € na PP</w:t>
            </w:r>
          </w:p>
        </w:tc>
        <w:tc>
          <w:tcPr>
            <w:tcW w:w="2693" w:type="dxa"/>
            <w:shd w:val="clear" w:color="auto" w:fill="92D050"/>
          </w:tcPr>
          <w:p w14:paraId="7CA0104F" w14:textId="77777777" w:rsidR="00640AD6" w:rsidRPr="003715EB" w:rsidRDefault="00640AD6" w:rsidP="00ED1A67">
            <w:pPr>
              <w:jc w:val="center"/>
              <w:rPr>
                <w:rFonts w:eastAsia="Calibri"/>
                <w:b/>
                <w:bCs/>
                <w:sz w:val="24"/>
                <w:szCs w:val="24"/>
              </w:rPr>
            </w:pPr>
            <w:r w:rsidRPr="003715EB">
              <w:rPr>
                <w:rFonts w:eastAsia="Calibri"/>
                <w:b/>
                <w:bCs/>
                <w:sz w:val="24"/>
                <w:szCs w:val="24"/>
              </w:rPr>
              <w:t>Zníženie nákladov v € na PP</w:t>
            </w:r>
          </w:p>
        </w:tc>
      </w:tr>
      <w:tr w:rsidR="003715EB" w:rsidRPr="003715EB" w14:paraId="6A48DE35" w14:textId="77777777" w:rsidTr="00B2053F">
        <w:trPr>
          <w:trHeight w:val="227"/>
        </w:trPr>
        <w:tc>
          <w:tcPr>
            <w:tcW w:w="3681" w:type="dxa"/>
          </w:tcPr>
          <w:p w14:paraId="171CCD30" w14:textId="6DD74030" w:rsidR="00640AD6" w:rsidRPr="003715EB" w:rsidRDefault="00640AD6" w:rsidP="00B2053F">
            <w:pPr>
              <w:rPr>
                <w:rFonts w:eastAsia="Calibri"/>
                <w:i/>
                <w:iCs/>
                <w:sz w:val="24"/>
                <w:szCs w:val="24"/>
              </w:rPr>
            </w:pPr>
            <w:r w:rsidRPr="003715EB">
              <w:rPr>
                <w:rFonts w:eastAsia="Calibri"/>
                <w:i/>
                <w:iCs/>
                <w:sz w:val="24"/>
                <w:szCs w:val="24"/>
              </w:rPr>
              <w:t>A. Dane, odvody, clá a</w:t>
            </w:r>
            <w:r w:rsidR="00B2053F">
              <w:rPr>
                <w:rFonts w:eastAsia="Calibri"/>
                <w:i/>
                <w:iCs/>
                <w:sz w:val="24"/>
                <w:szCs w:val="24"/>
              </w:rPr>
              <w:t xml:space="preserve"> </w:t>
            </w:r>
            <w:r w:rsidRPr="003715EB">
              <w:rPr>
                <w:rFonts w:eastAsia="Calibri"/>
                <w:i/>
                <w:iCs/>
                <w:sz w:val="24"/>
                <w:szCs w:val="24"/>
              </w:rPr>
              <w:t>poplatky</w:t>
            </w:r>
            <w:r w:rsidRPr="003715EB">
              <w:rPr>
                <w:sz w:val="24"/>
                <w:szCs w:val="24"/>
              </w:rPr>
              <w:t>,</w:t>
            </w:r>
            <w:r w:rsidRPr="003715EB">
              <w:rPr>
                <w:b/>
                <w:bCs/>
                <w:sz w:val="24"/>
                <w:szCs w:val="24"/>
              </w:rPr>
              <w:t xml:space="preserve"> </w:t>
            </w:r>
            <w:r w:rsidRPr="003715EB">
              <w:rPr>
                <w:rFonts w:eastAsia="Calibri"/>
                <w:i/>
                <w:iCs/>
                <w:sz w:val="24"/>
                <w:szCs w:val="24"/>
              </w:rPr>
              <w:t>ktorých cieľom je znižovať negatívne externality</w:t>
            </w:r>
          </w:p>
        </w:tc>
        <w:tc>
          <w:tcPr>
            <w:tcW w:w="2693" w:type="dxa"/>
            <w:shd w:val="clear" w:color="auto" w:fill="FFC000"/>
            <w:vAlign w:val="center"/>
          </w:tcPr>
          <w:p w14:paraId="46F8603C" w14:textId="77777777" w:rsidR="00640AD6" w:rsidRPr="003715EB" w:rsidRDefault="00640AD6" w:rsidP="00B2053F">
            <w:pPr>
              <w:jc w:val="center"/>
              <w:rPr>
                <w:rFonts w:eastAsia="Calibri"/>
                <w:i/>
                <w:sz w:val="24"/>
                <w:szCs w:val="24"/>
              </w:rPr>
            </w:pPr>
            <w:r w:rsidRPr="003715EB">
              <w:rPr>
                <w:rFonts w:eastAsia="Calibri"/>
                <w:i/>
                <w:sz w:val="24"/>
                <w:szCs w:val="24"/>
              </w:rPr>
              <w:t>0</w:t>
            </w:r>
          </w:p>
        </w:tc>
        <w:tc>
          <w:tcPr>
            <w:tcW w:w="2693" w:type="dxa"/>
            <w:shd w:val="clear" w:color="auto" w:fill="92D050"/>
            <w:vAlign w:val="center"/>
          </w:tcPr>
          <w:p w14:paraId="4190C7AC" w14:textId="77777777" w:rsidR="00640AD6" w:rsidRPr="003715EB" w:rsidRDefault="00640AD6" w:rsidP="00B2053F">
            <w:pPr>
              <w:jc w:val="center"/>
              <w:rPr>
                <w:rFonts w:eastAsia="Calibri"/>
                <w:i/>
                <w:sz w:val="24"/>
                <w:szCs w:val="24"/>
              </w:rPr>
            </w:pPr>
            <w:r w:rsidRPr="003715EB">
              <w:rPr>
                <w:rFonts w:eastAsia="Calibri"/>
                <w:i/>
                <w:sz w:val="24"/>
                <w:szCs w:val="24"/>
              </w:rPr>
              <w:t>0</w:t>
            </w:r>
          </w:p>
        </w:tc>
      </w:tr>
      <w:tr w:rsidR="003715EB" w:rsidRPr="003715EB" w14:paraId="107798F7" w14:textId="77777777" w:rsidTr="00B2053F">
        <w:tc>
          <w:tcPr>
            <w:tcW w:w="3681" w:type="dxa"/>
          </w:tcPr>
          <w:p w14:paraId="08819776" w14:textId="77777777" w:rsidR="00640AD6" w:rsidRPr="003715EB" w:rsidRDefault="00640AD6" w:rsidP="00ED1A67">
            <w:pPr>
              <w:rPr>
                <w:rFonts w:eastAsia="Calibri"/>
                <w:i/>
                <w:sz w:val="24"/>
                <w:szCs w:val="24"/>
              </w:rPr>
            </w:pPr>
            <w:r w:rsidRPr="003715EB">
              <w:rPr>
                <w:rFonts w:eastAsia="Calibri"/>
                <w:i/>
                <w:sz w:val="24"/>
                <w:szCs w:val="24"/>
              </w:rPr>
              <w:t>B. Iné poplatky</w:t>
            </w:r>
          </w:p>
        </w:tc>
        <w:tc>
          <w:tcPr>
            <w:tcW w:w="2693" w:type="dxa"/>
            <w:shd w:val="clear" w:color="auto" w:fill="FFC000"/>
            <w:vAlign w:val="center"/>
          </w:tcPr>
          <w:p w14:paraId="6E9C352C" w14:textId="77777777" w:rsidR="00640AD6" w:rsidRPr="003715EB" w:rsidRDefault="00640AD6" w:rsidP="00B2053F">
            <w:pPr>
              <w:jc w:val="center"/>
              <w:rPr>
                <w:rFonts w:eastAsia="Calibri"/>
                <w:i/>
                <w:sz w:val="24"/>
                <w:szCs w:val="24"/>
              </w:rPr>
            </w:pPr>
            <w:r w:rsidRPr="003715EB">
              <w:rPr>
                <w:rFonts w:eastAsia="Calibri"/>
                <w:i/>
                <w:sz w:val="24"/>
                <w:szCs w:val="24"/>
              </w:rPr>
              <w:t>0</w:t>
            </w:r>
          </w:p>
        </w:tc>
        <w:tc>
          <w:tcPr>
            <w:tcW w:w="2693" w:type="dxa"/>
            <w:shd w:val="clear" w:color="auto" w:fill="92D050"/>
            <w:vAlign w:val="center"/>
          </w:tcPr>
          <w:p w14:paraId="79B0D8BC" w14:textId="77777777" w:rsidR="00640AD6" w:rsidRPr="003715EB" w:rsidRDefault="00640AD6" w:rsidP="00B2053F">
            <w:pPr>
              <w:jc w:val="center"/>
              <w:rPr>
                <w:rFonts w:eastAsia="Calibri"/>
                <w:i/>
                <w:sz w:val="24"/>
                <w:szCs w:val="24"/>
              </w:rPr>
            </w:pPr>
            <w:r w:rsidRPr="003715EB">
              <w:rPr>
                <w:rFonts w:eastAsia="Calibri"/>
                <w:i/>
                <w:sz w:val="24"/>
                <w:szCs w:val="24"/>
              </w:rPr>
              <w:t>0</w:t>
            </w:r>
          </w:p>
        </w:tc>
      </w:tr>
      <w:tr w:rsidR="003715EB" w:rsidRPr="003715EB" w14:paraId="0BBBDCA7" w14:textId="77777777" w:rsidTr="00B2053F">
        <w:tc>
          <w:tcPr>
            <w:tcW w:w="3681" w:type="dxa"/>
          </w:tcPr>
          <w:p w14:paraId="5733E829" w14:textId="77777777" w:rsidR="00640AD6" w:rsidRPr="003715EB" w:rsidRDefault="00640AD6" w:rsidP="00ED1A67">
            <w:pPr>
              <w:rPr>
                <w:rFonts w:eastAsia="Calibri"/>
                <w:i/>
                <w:sz w:val="24"/>
                <w:szCs w:val="24"/>
              </w:rPr>
            </w:pPr>
            <w:r w:rsidRPr="003715EB">
              <w:rPr>
                <w:rFonts w:eastAsia="Calibri"/>
                <w:i/>
                <w:sz w:val="24"/>
                <w:szCs w:val="24"/>
              </w:rPr>
              <w:t>C. Nepriame finančné náklady</w:t>
            </w:r>
          </w:p>
        </w:tc>
        <w:tc>
          <w:tcPr>
            <w:tcW w:w="2693" w:type="dxa"/>
            <w:shd w:val="clear" w:color="auto" w:fill="FFC000"/>
            <w:vAlign w:val="center"/>
          </w:tcPr>
          <w:p w14:paraId="7D5E6214" w14:textId="77777777" w:rsidR="00640AD6" w:rsidRPr="003715EB" w:rsidRDefault="00640AD6" w:rsidP="00B2053F">
            <w:pPr>
              <w:jc w:val="center"/>
              <w:rPr>
                <w:rFonts w:eastAsia="Calibri"/>
                <w:i/>
                <w:sz w:val="24"/>
                <w:szCs w:val="24"/>
              </w:rPr>
            </w:pPr>
            <w:r w:rsidRPr="003715EB">
              <w:rPr>
                <w:rFonts w:eastAsia="Calibri"/>
                <w:i/>
                <w:sz w:val="24"/>
                <w:szCs w:val="24"/>
              </w:rPr>
              <w:t>0</w:t>
            </w:r>
          </w:p>
        </w:tc>
        <w:tc>
          <w:tcPr>
            <w:tcW w:w="2693" w:type="dxa"/>
            <w:shd w:val="clear" w:color="auto" w:fill="92D050"/>
            <w:vAlign w:val="center"/>
          </w:tcPr>
          <w:p w14:paraId="28E59CC4" w14:textId="77777777" w:rsidR="00640AD6" w:rsidRPr="003715EB" w:rsidRDefault="00640AD6" w:rsidP="00B2053F">
            <w:pPr>
              <w:jc w:val="center"/>
              <w:rPr>
                <w:rFonts w:eastAsia="Calibri"/>
                <w:i/>
                <w:sz w:val="24"/>
                <w:szCs w:val="24"/>
              </w:rPr>
            </w:pPr>
            <w:r w:rsidRPr="003715EB">
              <w:rPr>
                <w:rFonts w:eastAsia="Calibri"/>
                <w:i/>
                <w:sz w:val="24"/>
                <w:szCs w:val="24"/>
              </w:rPr>
              <w:t>0</w:t>
            </w:r>
          </w:p>
        </w:tc>
      </w:tr>
      <w:tr w:rsidR="003715EB" w:rsidRPr="003715EB" w14:paraId="1663805B" w14:textId="77777777" w:rsidTr="00B2053F">
        <w:tc>
          <w:tcPr>
            <w:tcW w:w="3681" w:type="dxa"/>
          </w:tcPr>
          <w:p w14:paraId="410CB727" w14:textId="77777777" w:rsidR="00640AD6" w:rsidRPr="003715EB" w:rsidRDefault="00640AD6" w:rsidP="00ED1A67">
            <w:pPr>
              <w:rPr>
                <w:rFonts w:eastAsia="Calibri"/>
                <w:i/>
                <w:sz w:val="24"/>
                <w:szCs w:val="24"/>
              </w:rPr>
            </w:pPr>
            <w:r w:rsidRPr="003715EB">
              <w:rPr>
                <w:rFonts w:eastAsia="Calibri"/>
                <w:i/>
                <w:sz w:val="24"/>
                <w:szCs w:val="24"/>
              </w:rPr>
              <w:t>D. Administratívne náklady</w:t>
            </w:r>
          </w:p>
        </w:tc>
        <w:tc>
          <w:tcPr>
            <w:tcW w:w="2693" w:type="dxa"/>
            <w:shd w:val="clear" w:color="auto" w:fill="FFC000"/>
            <w:vAlign w:val="center"/>
          </w:tcPr>
          <w:p w14:paraId="1FDB2DC2" w14:textId="77777777" w:rsidR="00640AD6" w:rsidRPr="003715EB" w:rsidRDefault="00640AD6" w:rsidP="00B2053F">
            <w:pPr>
              <w:jc w:val="center"/>
              <w:rPr>
                <w:rFonts w:eastAsia="Calibri"/>
                <w:i/>
                <w:sz w:val="24"/>
                <w:szCs w:val="24"/>
              </w:rPr>
            </w:pPr>
            <w:r w:rsidRPr="003715EB">
              <w:rPr>
                <w:rFonts w:eastAsia="Calibri"/>
                <w:i/>
                <w:sz w:val="24"/>
                <w:szCs w:val="24"/>
              </w:rPr>
              <w:t>0</w:t>
            </w:r>
          </w:p>
        </w:tc>
        <w:tc>
          <w:tcPr>
            <w:tcW w:w="2693" w:type="dxa"/>
            <w:shd w:val="clear" w:color="auto" w:fill="92D050"/>
            <w:vAlign w:val="center"/>
          </w:tcPr>
          <w:p w14:paraId="3677361B" w14:textId="6F7A6C47" w:rsidR="00640AD6" w:rsidRPr="003715EB" w:rsidRDefault="00100E8F" w:rsidP="00B2053F">
            <w:pPr>
              <w:jc w:val="center"/>
              <w:rPr>
                <w:rFonts w:eastAsia="Calibri"/>
                <w:i/>
                <w:sz w:val="24"/>
                <w:szCs w:val="24"/>
              </w:rPr>
            </w:pPr>
            <w:r w:rsidRPr="003715EB">
              <w:rPr>
                <w:rFonts w:eastAsia="Calibri"/>
                <w:i/>
                <w:sz w:val="24"/>
                <w:szCs w:val="24"/>
              </w:rPr>
              <w:t>12</w:t>
            </w:r>
            <w:r w:rsidR="00604690">
              <w:rPr>
                <w:rFonts w:eastAsia="Calibri"/>
                <w:i/>
                <w:sz w:val="24"/>
                <w:szCs w:val="24"/>
              </w:rPr>
              <w:t xml:space="preserve"> </w:t>
            </w:r>
            <w:r w:rsidRPr="003715EB">
              <w:rPr>
                <w:rFonts w:eastAsia="Calibri"/>
                <w:i/>
                <w:sz w:val="24"/>
                <w:szCs w:val="24"/>
              </w:rPr>
              <w:t>591,00</w:t>
            </w:r>
          </w:p>
        </w:tc>
      </w:tr>
      <w:tr w:rsidR="003715EB" w:rsidRPr="003715EB" w14:paraId="25A5A5FE" w14:textId="77777777" w:rsidTr="00B2053F">
        <w:tc>
          <w:tcPr>
            <w:tcW w:w="3681" w:type="dxa"/>
          </w:tcPr>
          <w:p w14:paraId="023FCEAC" w14:textId="77777777" w:rsidR="00640AD6" w:rsidRPr="003715EB" w:rsidRDefault="00640AD6" w:rsidP="00ED1A67">
            <w:pPr>
              <w:rPr>
                <w:rFonts w:eastAsia="Calibri"/>
                <w:b/>
                <w:i/>
                <w:sz w:val="24"/>
                <w:szCs w:val="24"/>
              </w:rPr>
            </w:pPr>
            <w:r w:rsidRPr="003715EB">
              <w:rPr>
                <w:rFonts w:eastAsia="Calibri"/>
                <w:b/>
                <w:i/>
                <w:sz w:val="24"/>
                <w:szCs w:val="24"/>
              </w:rPr>
              <w:t>Spolu = A+B+C+D</w:t>
            </w:r>
          </w:p>
        </w:tc>
        <w:tc>
          <w:tcPr>
            <w:tcW w:w="2693" w:type="dxa"/>
            <w:shd w:val="clear" w:color="auto" w:fill="FFC000"/>
            <w:vAlign w:val="center"/>
          </w:tcPr>
          <w:p w14:paraId="64E84505" w14:textId="77777777" w:rsidR="00640AD6" w:rsidRPr="003715EB" w:rsidRDefault="00640AD6" w:rsidP="00B2053F">
            <w:pPr>
              <w:jc w:val="center"/>
              <w:rPr>
                <w:rFonts w:eastAsia="Calibri"/>
                <w:b/>
                <w:i/>
                <w:sz w:val="24"/>
                <w:szCs w:val="24"/>
              </w:rPr>
            </w:pPr>
            <w:r w:rsidRPr="003715EB">
              <w:rPr>
                <w:rFonts w:eastAsia="Calibri"/>
                <w:b/>
                <w:i/>
                <w:sz w:val="24"/>
                <w:szCs w:val="24"/>
              </w:rPr>
              <w:t>0</w:t>
            </w:r>
          </w:p>
        </w:tc>
        <w:tc>
          <w:tcPr>
            <w:tcW w:w="2693" w:type="dxa"/>
            <w:shd w:val="clear" w:color="auto" w:fill="92D050"/>
            <w:vAlign w:val="center"/>
          </w:tcPr>
          <w:p w14:paraId="3DACB4EC" w14:textId="05DCE35B" w:rsidR="00640AD6" w:rsidRPr="003715EB" w:rsidRDefault="00100E8F" w:rsidP="00B2053F">
            <w:pPr>
              <w:jc w:val="center"/>
              <w:rPr>
                <w:rFonts w:eastAsia="Calibri"/>
                <w:b/>
                <w:i/>
                <w:sz w:val="24"/>
                <w:szCs w:val="24"/>
              </w:rPr>
            </w:pPr>
            <w:r w:rsidRPr="003715EB">
              <w:rPr>
                <w:rFonts w:eastAsia="Calibri"/>
                <w:b/>
                <w:i/>
                <w:sz w:val="24"/>
                <w:szCs w:val="24"/>
              </w:rPr>
              <w:t>12</w:t>
            </w:r>
            <w:r w:rsidR="00604690">
              <w:rPr>
                <w:rFonts w:eastAsia="Calibri"/>
                <w:b/>
                <w:i/>
                <w:sz w:val="24"/>
                <w:szCs w:val="24"/>
              </w:rPr>
              <w:t xml:space="preserve"> </w:t>
            </w:r>
            <w:r w:rsidRPr="003715EB">
              <w:rPr>
                <w:rFonts w:eastAsia="Calibri"/>
                <w:b/>
                <w:i/>
                <w:sz w:val="24"/>
                <w:szCs w:val="24"/>
              </w:rPr>
              <w:t>591,00</w:t>
            </w:r>
          </w:p>
        </w:tc>
      </w:tr>
      <w:tr w:rsidR="003715EB" w:rsidRPr="003715EB" w14:paraId="1B556714" w14:textId="77777777" w:rsidTr="00B2053F">
        <w:tc>
          <w:tcPr>
            <w:tcW w:w="3681" w:type="dxa"/>
          </w:tcPr>
          <w:p w14:paraId="5EDDB619" w14:textId="77777777" w:rsidR="00640AD6" w:rsidRPr="003715EB" w:rsidRDefault="00640AD6" w:rsidP="00ED1A67">
            <w:pPr>
              <w:rPr>
                <w:rFonts w:eastAsia="Calibri"/>
                <w:b/>
                <w:i/>
                <w:sz w:val="24"/>
                <w:szCs w:val="24"/>
              </w:rPr>
            </w:pPr>
            <w:r w:rsidRPr="003715EB">
              <w:rPr>
                <w:rFonts w:eastAsia="Calibri"/>
                <w:b/>
                <w:i/>
                <w:sz w:val="24"/>
                <w:szCs w:val="24"/>
              </w:rPr>
              <w:t xml:space="preserve"> z toho</w:t>
            </w:r>
          </w:p>
        </w:tc>
        <w:tc>
          <w:tcPr>
            <w:tcW w:w="2693" w:type="dxa"/>
            <w:shd w:val="clear" w:color="auto" w:fill="FFC000"/>
            <w:vAlign w:val="center"/>
          </w:tcPr>
          <w:p w14:paraId="7A9FB917" w14:textId="77777777" w:rsidR="00640AD6" w:rsidRPr="003715EB" w:rsidRDefault="00640AD6" w:rsidP="00B2053F">
            <w:pPr>
              <w:jc w:val="center"/>
              <w:rPr>
                <w:rFonts w:eastAsia="Calibri"/>
                <w:b/>
                <w:i/>
                <w:sz w:val="24"/>
                <w:szCs w:val="24"/>
              </w:rPr>
            </w:pPr>
          </w:p>
        </w:tc>
        <w:tc>
          <w:tcPr>
            <w:tcW w:w="2693" w:type="dxa"/>
            <w:shd w:val="clear" w:color="auto" w:fill="92D050"/>
            <w:vAlign w:val="center"/>
          </w:tcPr>
          <w:p w14:paraId="5C8CA9A8" w14:textId="77777777" w:rsidR="00640AD6" w:rsidRPr="003715EB" w:rsidRDefault="00640AD6" w:rsidP="00B2053F">
            <w:pPr>
              <w:jc w:val="center"/>
              <w:rPr>
                <w:rFonts w:eastAsia="Calibri"/>
                <w:b/>
                <w:i/>
                <w:sz w:val="24"/>
                <w:szCs w:val="24"/>
              </w:rPr>
            </w:pPr>
          </w:p>
        </w:tc>
      </w:tr>
      <w:tr w:rsidR="003715EB" w:rsidRPr="003715EB" w14:paraId="7AA24123" w14:textId="77777777" w:rsidTr="00B2053F">
        <w:tc>
          <w:tcPr>
            <w:tcW w:w="3681" w:type="dxa"/>
          </w:tcPr>
          <w:p w14:paraId="366023F6" w14:textId="4CDDE22E" w:rsidR="00640AD6" w:rsidRPr="003715EB" w:rsidRDefault="00640AD6" w:rsidP="00B2053F">
            <w:pPr>
              <w:rPr>
                <w:rFonts w:eastAsia="Calibri"/>
                <w:i/>
                <w:sz w:val="24"/>
                <w:szCs w:val="24"/>
              </w:rPr>
            </w:pPr>
            <w:r w:rsidRPr="003715EB">
              <w:rPr>
                <w:rFonts w:eastAsia="Calibri"/>
                <w:i/>
                <w:sz w:val="24"/>
                <w:szCs w:val="24"/>
              </w:rPr>
              <w:t>E. Vplyv na mikro, malé a</w:t>
            </w:r>
            <w:r w:rsidR="00B2053F">
              <w:rPr>
                <w:rFonts w:eastAsia="Calibri"/>
                <w:i/>
                <w:sz w:val="24"/>
                <w:szCs w:val="24"/>
              </w:rPr>
              <w:t xml:space="preserve"> </w:t>
            </w:r>
            <w:r w:rsidRPr="003715EB">
              <w:rPr>
                <w:rFonts w:eastAsia="Calibri"/>
                <w:i/>
                <w:sz w:val="24"/>
                <w:szCs w:val="24"/>
              </w:rPr>
              <w:t>stredné podniky</w:t>
            </w:r>
          </w:p>
        </w:tc>
        <w:tc>
          <w:tcPr>
            <w:tcW w:w="2693" w:type="dxa"/>
            <w:shd w:val="clear" w:color="auto" w:fill="FFC000"/>
            <w:vAlign w:val="center"/>
          </w:tcPr>
          <w:p w14:paraId="215068F7" w14:textId="77777777" w:rsidR="00640AD6" w:rsidRPr="003715EB" w:rsidRDefault="00640AD6" w:rsidP="00B2053F">
            <w:pPr>
              <w:jc w:val="center"/>
              <w:rPr>
                <w:rFonts w:eastAsia="Calibri"/>
                <w:b/>
                <w:i/>
                <w:sz w:val="24"/>
                <w:szCs w:val="24"/>
              </w:rPr>
            </w:pPr>
            <w:r w:rsidRPr="003715EB">
              <w:rPr>
                <w:rFonts w:eastAsia="Calibri"/>
                <w:i/>
                <w:sz w:val="24"/>
                <w:szCs w:val="24"/>
              </w:rPr>
              <w:t>0</w:t>
            </w:r>
          </w:p>
        </w:tc>
        <w:tc>
          <w:tcPr>
            <w:tcW w:w="2693" w:type="dxa"/>
            <w:shd w:val="clear" w:color="auto" w:fill="92D050"/>
            <w:vAlign w:val="center"/>
          </w:tcPr>
          <w:p w14:paraId="24D781FB" w14:textId="77777777" w:rsidR="00640AD6" w:rsidRPr="003715EB" w:rsidRDefault="00640AD6" w:rsidP="00B2053F">
            <w:pPr>
              <w:jc w:val="center"/>
              <w:rPr>
                <w:rFonts w:eastAsia="Calibri"/>
                <w:b/>
                <w:i/>
                <w:sz w:val="24"/>
                <w:szCs w:val="24"/>
              </w:rPr>
            </w:pPr>
            <w:r w:rsidRPr="003715EB">
              <w:rPr>
                <w:rFonts w:eastAsia="Calibri"/>
                <w:i/>
                <w:sz w:val="24"/>
                <w:szCs w:val="24"/>
              </w:rPr>
              <w:t>0</w:t>
            </w:r>
          </w:p>
        </w:tc>
      </w:tr>
      <w:tr w:rsidR="003715EB" w:rsidRPr="003715EB" w14:paraId="78A22463" w14:textId="77777777" w:rsidTr="00B2053F">
        <w:tc>
          <w:tcPr>
            <w:tcW w:w="3681" w:type="dxa"/>
          </w:tcPr>
          <w:p w14:paraId="3DA9DC71" w14:textId="77777777" w:rsidR="00640AD6" w:rsidRPr="003715EB" w:rsidRDefault="00640AD6" w:rsidP="00ED1A67">
            <w:pPr>
              <w:rPr>
                <w:rFonts w:eastAsia="Calibri"/>
                <w:i/>
                <w:sz w:val="24"/>
                <w:szCs w:val="24"/>
              </w:rPr>
            </w:pPr>
            <w:r w:rsidRPr="003715EB">
              <w:rPr>
                <w:rFonts w:eastAsia="Calibri"/>
                <w:i/>
                <w:sz w:val="24"/>
                <w:szCs w:val="24"/>
              </w:rPr>
              <w:t>F. Úplná harmonizácia práva EÚ</w:t>
            </w:r>
          </w:p>
        </w:tc>
        <w:tc>
          <w:tcPr>
            <w:tcW w:w="2693" w:type="dxa"/>
            <w:shd w:val="clear" w:color="auto" w:fill="FFC000"/>
            <w:vAlign w:val="center"/>
          </w:tcPr>
          <w:p w14:paraId="387AB74A" w14:textId="77777777" w:rsidR="00640AD6" w:rsidRPr="003715EB" w:rsidRDefault="00640AD6" w:rsidP="00B2053F">
            <w:pPr>
              <w:jc w:val="center"/>
              <w:rPr>
                <w:rFonts w:eastAsia="Calibri"/>
                <w:b/>
                <w:i/>
                <w:sz w:val="24"/>
                <w:szCs w:val="24"/>
              </w:rPr>
            </w:pPr>
            <w:r w:rsidRPr="003715EB">
              <w:rPr>
                <w:rFonts w:eastAsia="Calibri"/>
                <w:i/>
                <w:sz w:val="24"/>
                <w:szCs w:val="24"/>
              </w:rPr>
              <w:t>0</w:t>
            </w:r>
          </w:p>
        </w:tc>
        <w:tc>
          <w:tcPr>
            <w:tcW w:w="2693" w:type="dxa"/>
            <w:shd w:val="clear" w:color="auto" w:fill="92D050"/>
            <w:vAlign w:val="center"/>
          </w:tcPr>
          <w:p w14:paraId="56D65C5C" w14:textId="77777777" w:rsidR="00640AD6" w:rsidRPr="003715EB" w:rsidRDefault="00640AD6" w:rsidP="00B2053F">
            <w:pPr>
              <w:jc w:val="center"/>
              <w:rPr>
                <w:rFonts w:eastAsia="Calibri"/>
                <w:b/>
                <w:i/>
                <w:sz w:val="24"/>
                <w:szCs w:val="24"/>
              </w:rPr>
            </w:pPr>
            <w:r w:rsidRPr="003715EB">
              <w:rPr>
                <w:rFonts w:eastAsia="Calibri"/>
                <w:i/>
                <w:sz w:val="24"/>
                <w:szCs w:val="24"/>
              </w:rPr>
              <w:t>0</w:t>
            </w:r>
          </w:p>
        </w:tc>
      </w:tr>
      <w:tr w:rsidR="003715EB" w:rsidRPr="003715EB" w14:paraId="5DE4A4A5" w14:textId="77777777" w:rsidTr="00ED1A67">
        <w:tc>
          <w:tcPr>
            <w:tcW w:w="9067" w:type="dxa"/>
            <w:gridSpan w:val="3"/>
            <w:shd w:val="clear" w:color="auto" w:fill="auto"/>
          </w:tcPr>
          <w:p w14:paraId="7F5AEA8A" w14:textId="77777777" w:rsidR="00640AD6" w:rsidRPr="003715EB" w:rsidRDefault="00640AD6" w:rsidP="00ED1A67">
            <w:pPr>
              <w:jc w:val="center"/>
              <w:rPr>
                <w:rFonts w:eastAsia="Calibri"/>
                <w:b/>
                <w:bCs/>
                <w:i/>
                <w:sz w:val="24"/>
                <w:szCs w:val="24"/>
              </w:rPr>
            </w:pPr>
          </w:p>
        </w:tc>
      </w:tr>
      <w:tr w:rsidR="003715EB" w:rsidRPr="003715EB" w14:paraId="0A03F1A0" w14:textId="77777777" w:rsidTr="00ED1A67">
        <w:tc>
          <w:tcPr>
            <w:tcW w:w="3681" w:type="dxa"/>
          </w:tcPr>
          <w:p w14:paraId="278D392A" w14:textId="77777777" w:rsidR="00640AD6" w:rsidRPr="003715EB" w:rsidRDefault="00640AD6" w:rsidP="00ED1A67">
            <w:pPr>
              <w:rPr>
                <w:rFonts w:eastAsia="Calibri"/>
                <w:b/>
                <w:i/>
                <w:sz w:val="24"/>
                <w:szCs w:val="24"/>
              </w:rPr>
            </w:pPr>
            <w:r w:rsidRPr="003715EB">
              <w:rPr>
                <w:rFonts w:eastAsia="Calibri"/>
                <w:b/>
                <w:bCs/>
                <w:i/>
                <w:sz w:val="24"/>
                <w:szCs w:val="24"/>
              </w:rPr>
              <w:t>VÝPOČET mechanizmu znižovania byrokracie a nákladov</w:t>
            </w:r>
          </w:p>
        </w:tc>
        <w:tc>
          <w:tcPr>
            <w:tcW w:w="2693" w:type="dxa"/>
            <w:shd w:val="clear" w:color="auto" w:fill="FFC000"/>
          </w:tcPr>
          <w:p w14:paraId="6FD6D752" w14:textId="77777777" w:rsidR="00640AD6" w:rsidRPr="003715EB" w:rsidRDefault="00640AD6" w:rsidP="00ED1A67">
            <w:pPr>
              <w:jc w:val="center"/>
              <w:rPr>
                <w:rFonts w:eastAsia="Calibri"/>
                <w:b/>
                <w:bCs/>
                <w:i/>
                <w:sz w:val="24"/>
                <w:szCs w:val="24"/>
              </w:rPr>
            </w:pPr>
            <w:r w:rsidRPr="003715EB">
              <w:rPr>
                <w:rFonts w:eastAsia="Calibri"/>
                <w:b/>
                <w:bCs/>
                <w:i/>
                <w:sz w:val="24"/>
                <w:szCs w:val="24"/>
              </w:rPr>
              <w:t>IN</w:t>
            </w:r>
          </w:p>
        </w:tc>
        <w:tc>
          <w:tcPr>
            <w:tcW w:w="2693" w:type="dxa"/>
            <w:shd w:val="clear" w:color="auto" w:fill="92D050"/>
          </w:tcPr>
          <w:p w14:paraId="200F678B" w14:textId="77777777" w:rsidR="00640AD6" w:rsidRPr="003715EB" w:rsidRDefault="00640AD6" w:rsidP="00ED1A67">
            <w:pPr>
              <w:jc w:val="center"/>
              <w:rPr>
                <w:rFonts w:eastAsia="Calibri"/>
                <w:b/>
                <w:bCs/>
                <w:i/>
                <w:sz w:val="24"/>
                <w:szCs w:val="24"/>
              </w:rPr>
            </w:pPr>
            <w:r w:rsidRPr="003715EB">
              <w:rPr>
                <w:rFonts w:eastAsia="Calibri"/>
                <w:b/>
                <w:bCs/>
                <w:i/>
                <w:sz w:val="24"/>
                <w:szCs w:val="24"/>
              </w:rPr>
              <w:t>OUT</w:t>
            </w:r>
          </w:p>
        </w:tc>
      </w:tr>
      <w:tr w:rsidR="003715EB" w:rsidRPr="003715EB" w14:paraId="20A0B658" w14:textId="77777777" w:rsidTr="00ED1A67">
        <w:tc>
          <w:tcPr>
            <w:tcW w:w="3681" w:type="dxa"/>
          </w:tcPr>
          <w:p w14:paraId="54594E75" w14:textId="77777777" w:rsidR="00640AD6" w:rsidRPr="003715EB" w:rsidRDefault="00640AD6" w:rsidP="00ED1A67">
            <w:pPr>
              <w:rPr>
                <w:rFonts w:eastAsia="Calibri"/>
                <w:b/>
                <w:i/>
                <w:sz w:val="24"/>
                <w:szCs w:val="24"/>
              </w:rPr>
            </w:pPr>
            <w:r w:rsidRPr="003715EB">
              <w:rPr>
                <w:rFonts w:eastAsia="Calibri"/>
                <w:b/>
                <w:i/>
                <w:sz w:val="24"/>
                <w:szCs w:val="24"/>
              </w:rPr>
              <w:t>G. Náklady okrem výnimiek = B+C+D-F</w:t>
            </w:r>
          </w:p>
        </w:tc>
        <w:tc>
          <w:tcPr>
            <w:tcW w:w="2693" w:type="dxa"/>
            <w:shd w:val="clear" w:color="auto" w:fill="FFC000"/>
          </w:tcPr>
          <w:p w14:paraId="0123B55A" w14:textId="77777777" w:rsidR="00640AD6" w:rsidRPr="003715EB" w:rsidRDefault="00640AD6" w:rsidP="00ED1A67">
            <w:pPr>
              <w:jc w:val="center"/>
              <w:rPr>
                <w:rFonts w:eastAsia="Calibri"/>
                <w:b/>
                <w:bCs/>
                <w:i/>
                <w:sz w:val="24"/>
                <w:szCs w:val="24"/>
              </w:rPr>
            </w:pPr>
            <w:r w:rsidRPr="003715EB">
              <w:rPr>
                <w:rFonts w:eastAsia="Calibri"/>
                <w:b/>
                <w:bCs/>
                <w:i/>
                <w:sz w:val="24"/>
                <w:szCs w:val="24"/>
              </w:rPr>
              <w:t>0</w:t>
            </w:r>
          </w:p>
        </w:tc>
        <w:tc>
          <w:tcPr>
            <w:tcW w:w="2693" w:type="dxa"/>
            <w:shd w:val="clear" w:color="auto" w:fill="92D050"/>
          </w:tcPr>
          <w:p w14:paraId="51F0DED0" w14:textId="5C83ACA5" w:rsidR="00640AD6" w:rsidRPr="003715EB" w:rsidRDefault="00100E8F" w:rsidP="00ED1A67">
            <w:pPr>
              <w:jc w:val="center"/>
              <w:rPr>
                <w:rFonts w:eastAsia="Calibri"/>
                <w:b/>
                <w:bCs/>
                <w:i/>
                <w:sz w:val="24"/>
                <w:szCs w:val="24"/>
              </w:rPr>
            </w:pPr>
            <w:r w:rsidRPr="003715EB">
              <w:rPr>
                <w:rFonts w:eastAsia="Calibri"/>
                <w:b/>
                <w:bCs/>
                <w:i/>
                <w:sz w:val="24"/>
                <w:szCs w:val="24"/>
              </w:rPr>
              <w:t>12</w:t>
            </w:r>
            <w:r w:rsidR="00604690">
              <w:rPr>
                <w:rFonts w:eastAsia="Calibri"/>
                <w:b/>
                <w:bCs/>
                <w:i/>
                <w:sz w:val="24"/>
                <w:szCs w:val="24"/>
              </w:rPr>
              <w:t xml:space="preserve"> </w:t>
            </w:r>
            <w:r w:rsidRPr="003715EB">
              <w:rPr>
                <w:rFonts w:eastAsia="Calibri"/>
                <w:b/>
                <w:bCs/>
                <w:i/>
                <w:sz w:val="24"/>
                <w:szCs w:val="24"/>
              </w:rPr>
              <w:t>591,00</w:t>
            </w:r>
          </w:p>
        </w:tc>
      </w:tr>
    </w:tbl>
    <w:p w14:paraId="508018AC" w14:textId="77777777" w:rsidR="00640AD6" w:rsidRPr="003715EB" w:rsidRDefault="00640AD6" w:rsidP="00640AD6">
      <w:pPr>
        <w:rPr>
          <w:rFonts w:eastAsia="Calibri"/>
          <w:i/>
          <w:sz w:val="24"/>
          <w:szCs w:val="24"/>
        </w:rPr>
      </w:pPr>
    </w:p>
    <w:p w14:paraId="5D3F5BFE" w14:textId="77777777" w:rsidR="00640AD6" w:rsidRPr="003715EB" w:rsidRDefault="00640AD6" w:rsidP="00640AD6">
      <w:pPr>
        <w:rPr>
          <w:rFonts w:eastAsia="Calibri"/>
          <w:b/>
          <w:sz w:val="24"/>
          <w:szCs w:val="24"/>
        </w:rPr>
      </w:pPr>
    </w:p>
    <w:p w14:paraId="62B9137C" w14:textId="77777777" w:rsidR="00640AD6" w:rsidRPr="003715EB" w:rsidRDefault="00640AD6" w:rsidP="00640AD6">
      <w:pPr>
        <w:rPr>
          <w:rFonts w:eastAsia="Calibri"/>
          <w:b/>
          <w:sz w:val="24"/>
          <w:szCs w:val="24"/>
        </w:rPr>
        <w:sectPr w:rsidR="00640AD6" w:rsidRPr="003715EB" w:rsidSect="003B208D">
          <w:headerReference w:type="default" r:id="rId9"/>
          <w:footerReference w:type="default" r:id="rId10"/>
          <w:pgSz w:w="11906" w:h="16838"/>
          <w:pgMar w:top="993" w:right="1417" w:bottom="1417" w:left="1417" w:header="708" w:footer="708" w:gutter="0"/>
          <w:pgNumType w:start="13"/>
          <w:cols w:space="708"/>
          <w:docGrid w:linePitch="360"/>
        </w:sectPr>
      </w:pPr>
    </w:p>
    <w:p w14:paraId="712D71AE" w14:textId="1C0027C2" w:rsidR="00640AD6" w:rsidRPr="003715EB" w:rsidRDefault="00640AD6" w:rsidP="00640AD6">
      <w:pPr>
        <w:rPr>
          <w:rFonts w:eastAsia="Calibri"/>
          <w:b/>
          <w:i/>
          <w:iCs/>
          <w:sz w:val="24"/>
          <w:szCs w:val="24"/>
        </w:rPr>
      </w:pPr>
      <w:r w:rsidRPr="003715EB">
        <w:rPr>
          <w:rFonts w:eastAsia="Calibri"/>
          <w:b/>
          <w:i/>
          <w:iCs/>
          <w:sz w:val="24"/>
          <w:szCs w:val="24"/>
        </w:rPr>
        <w:lastRenderedPageBreak/>
        <w:t>3.1.2 Výpočty vplyvov jednotlivých regulácií na zmeny v</w:t>
      </w:r>
      <w:r w:rsidR="00B2053F">
        <w:rPr>
          <w:rFonts w:eastAsia="Calibri"/>
          <w:b/>
          <w:i/>
          <w:iCs/>
          <w:sz w:val="24"/>
          <w:szCs w:val="24"/>
        </w:rPr>
        <w:t xml:space="preserve"> </w:t>
      </w:r>
      <w:r w:rsidRPr="003715EB">
        <w:rPr>
          <w:rFonts w:eastAsia="Calibri"/>
          <w:b/>
          <w:i/>
          <w:iCs/>
          <w:sz w:val="24"/>
          <w:szCs w:val="24"/>
        </w:rPr>
        <w:t>nákladoch podnikateľov</w:t>
      </w:r>
    </w:p>
    <w:p w14:paraId="776F2727" w14:textId="77777777" w:rsidR="00640AD6" w:rsidRPr="003715EB" w:rsidRDefault="00640AD6" w:rsidP="00640AD6">
      <w:pPr>
        <w:jc w:val="both"/>
        <w:rPr>
          <w:rFonts w:eastAsia="Calibri"/>
          <w:i/>
          <w:sz w:val="24"/>
          <w:szCs w:val="24"/>
        </w:rPr>
      </w:pPr>
      <w:r w:rsidRPr="003715EB">
        <w:rPr>
          <w:rFonts w:eastAsia="Calibri"/>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434"/>
        <w:gridCol w:w="1831"/>
        <w:gridCol w:w="1129"/>
        <w:gridCol w:w="1325"/>
        <w:gridCol w:w="1130"/>
        <w:gridCol w:w="1547"/>
        <w:gridCol w:w="974"/>
        <w:gridCol w:w="974"/>
        <w:gridCol w:w="982"/>
        <w:gridCol w:w="992"/>
        <w:gridCol w:w="1060"/>
      </w:tblGrid>
      <w:tr w:rsidR="003715EB" w:rsidRPr="003715EB" w14:paraId="0D90AA0F" w14:textId="77777777" w:rsidTr="00B2053F">
        <w:trPr>
          <w:trHeight w:val="1885"/>
        </w:trPr>
        <w:tc>
          <w:tcPr>
            <w:tcW w:w="479" w:type="dxa"/>
            <w:shd w:val="clear" w:color="auto" w:fill="BFBFBF"/>
            <w:vAlign w:val="center"/>
          </w:tcPr>
          <w:p w14:paraId="7E3E089D" w14:textId="77777777" w:rsidR="00640AD6" w:rsidRPr="00B2053F" w:rsidRDefault="00640AD6" w:rsidP="00B2053F">
            <w:pPr>
              <w:jc w:val="center"/>
              <w:rPr>
                <w:b/>
                <w:bCs/>
                <w:sz w:val="22"/>
                <w:szCs w:val="22"/>
              </w:rPr>
            </w:pPr>
            <w:r w:rsidRPr="00B2053F">
              <w:rPr>
                <w:b/>
                <w:bCs/>
                <w:sz w:val="22"/>
                <w:szCs w:val="22"/>
              </w:rPr>
              <w:t>P.č.</w:t>
            </w:r>
          </w:p>
        </w:tc>
        <w:tc>
          <w:tcPr>
            <w:tcW w:w="2690" w:type="dxa"/>
            <w:shd w:val="clear" w:color="auto" w:fill="BFBFBF"/>
            <w:vAlign w:val="center"/>
            <w:hideMark/>
          </w:tcPr>
          <w:p w14:paraId="2CDD5C35" w14:textId="77777777" w:rsidR="00640AD6" w:rsidRPr="00411FC6" w:rsidRDefault="00640AD6" w:rsidP="00B2053F">
            <w:pPr>
              <w:jc w:val="center"/>
              <w:rPr>
                <w:b/>
                <w:bCs/>
              </w:rPr>
            </w:pPr>
            <w:r w:rsidRPr="00411FC6">
              <w:rPr>
                <w:b/>
                <w:bCs/>
              </w:rPr>
              <w:t>Zrozumiteľný a stručný opis regulácie vyjadrujúci dôvod zvýšenia/zníženia nákladov na PP</w:t>
            </w:r>
          </w:p>
        </w:tc>
        <w:tc>
          <w:tcPr>
            <w:tcW w:w="1677" w:type="dxa"/>
            <w:shd w:val="clear" w:color="auto" w:fill="BFBFBF"/>
            <w:vAlign w:val="center"/>
          </w:tcPr>
          <w:p w14:paraId="5079BC69" w14:textId="77777777" w:rsidR="00640AD6" w:rsidRPr="00411FC6" w:rsidRDefault="00640AD6" w:rsidP="00B2053F">
            <w:pPr>
              <w:jc w:val="center"/>
              <w:rPr>
                <w:b/>
                <w:bCs/>
              </w:rPr>
            </w:pPr>
            <w:r w:rsidRPr="00411FC6">
              <w:rPr>
                <w:b/>
                <w:bCs/>
              </w:rPr>
              <w:t>Číslo normy</w:t>
            </w:r>
          </w:p>
          <w:p w14:paraId="693DE62D" w14:textId="75AACD3F" w:rsidR="00640AD6" w:rsidRPr="00B2053F" w:rsidRDefault="00640AD6" w:rsidP="00B2053F">
            <w:pPr>
              <w:jc w:val="center"/>
              <w:rPr>
                <w:bCs/>
                <w:sz w:val="18"/>
                <w:szCs w:val="18"/>
              </w:rPr>
            </w:pPr>
            <w:r w:rsidRPr="00B2053F">
              <w:rPr>
                <w:bCs/>
                <w:sz w:val="18"/>
                <w:szCs w:val="18"/>
              </w:rPr>
              <w:t>(zákona, vyhlášky a</w:t>
            </w:r>
            <w:r w:rsidR="00B2053F">
              <w:rPr>
                <w:bCs/>
                <w:sz w:val="18"/>
                <w:szCs w:val="18"/>
              </w:rPr>
              <w:t> </w:t>
            </w:r>
            <w:r w:rsidRPr="00B2053F">
              <w:rPr>
                <w:bCs/>
                <w:sz w:val="18"/>
                <w:szCs w:val="18"/>
              </w:rPr>
              <w:t>pod.)</w:t>
            </w:r>
          </w:p>
        </w:tc>
        <w:tc>
          <w:tcPr>
            <w:tcW w:w="1129" w:type="dxa"/>
            <w:shd w:val="clear" w:color="auto" w:fill="BFBFBF"/>
            <w:vAlign w:val="center"/>
            <w:hideMark/>
          </w:tcPr>
          <w:p w14:paraId="06B44AFB" w14:textId="77777777" w:rsidR="00640AD6" w:rsidRPr="00411FC6" w:rsidRDefault="00640AD6" w:rsidP="00B2053F">
            <w:pPr>
              <w:jc w:val="center"/>
              <w:rPr>
                <w:b/>
                <w:bCs/>
              </w:rPr>
            </w:pPr>
            <w:r w:rsidRPr="00411FC6">
              <w:rPr>
                <w:b/>
                <w:bCs/>
              </w:rPr>
              <w:t xml:space="preserve">Lokalizácia </w:t>
            </w:r>
            <w:r w:rsidRPr="00411FC6">
              <w:rPr>
                <w:bCs/>
              </w:rPr>
              <w:t>(§, ods.)</w:t>
            </w:r>
          </w:p>
        </w:tc>
        <w:tc>
          <w:tcPr>
            <w:tcW w:w="1246" w:type="dxa"/>
            <w:shd w:val="clear" w:color="auto" w:fill="BFBFBF"/>
            <w:vAlign w:val="center"/>
          </w:tcPr>
          <w:p w14:paraId="4DAD319C" w14:textId="77777777" w:rsidR="00640AD6" w:rsidRPr="00411FC6" w:rsidRDefault="00640AD6" w:rsidP="00B2053F">
            <w:pPr>
              <w:jc w:val="center"/>
              <w:rPr>
                <w:b/>
                <w:bCs/>
              </w:rPr>
            </w:pPr>
            <w:r w:rsidRPr="00411FC6">
              <w:rPr>
                <w:b/>
                <w:bCs/>
              </w:rPr>
              <w:t>Pôvod regulácie:</w:t>
            </w:r>
          </w:p>
          <w:p w14:paraId="085510E1" w14:textId="77777777" w:rsidR="00640AD6" w:rsidRPr="00411FC6" w:rsidRDefault="00640AD6" w:rsidP="00B2053F">
            <w:pPr>
              <w:jc w:val="center"/>
              <w:rPr>
                <w:bCs/>
              </w:rPr>
            </w:pPr>
            <w:r w:rsidRPr="00411FC6">
              <w:rPr>
                <w:bCs/>
              </w:rPr>
              <w:t>SK/EÚ úplná harm./EÚ harm. s možnosťou voľby</w:t>
            </w:r>
          </w:p>
        </w:tc>
        <w:tc>
          <w:tcPr>
            <w:tcW w:w="934" w:type="dxa"/>
            <w:shd w:val="clear" w:color="auto" w:fill="BFBFBF"/>
            <w:vAlign w:val="center"/>
            <w:hideMark/>
          </w:tcPr>
          <w:p w14:paraId="42754E19" w14:textId="77777777" w:rsidR="00640AD6" w:rsidRPr="00411FC6" w:rsidRDefault="00640AD6" w:rsidP="00B2053F">
            <w:pPr>
              <w:jc w:val="center"/>
              <w:rPr>
                <w:b/>
                <w:bCs/>
              </w:rPr>
            </w:pPr>
            <w:r w:rsidRPr="00411FC6">
              <w:rPr>
                <w:b/>
                <w:bCs/>
              </w:rPr>
              <w:t>Účinnosť</w:t>
            </w:r>
          </w:p>
          <w:p w14:paraId="2941DE10" w14:textId="77777777" w:rsidR="00640AD6" w:rsidRPr="00411FC6" w:rsidRDefault="00640AD6" w:rsidP="00B2053F">
            <w:pPr>
              <w:jc w:val="center"/>
              <w:rPr>
                <w:b/>
                <w:bCs/>
              </w:rPr>
            </w:pPr>
            <w:r w:rsidRPr="00411FC6">
              <w:rPr>
                <w:b/>
                <w:bCs/>
              </w:rPr>
              <w:t>regulácie</w:t>
            </w:r>
          </w:p>
          <w:p w14:paraId="5EF0E281" w14:textId="77777777" w:rsidR="00640AD6" w:rsidRPr="00411FC6" w:rsidRDefault="00640AD6" w:rsidP="00B2053F">
            <w:pPr>
              <w:jc w:val="center"/>
              <w:rPr>
                <w:b/>
                <w:bCs/>
              </w:rPr>
            </w:pPr>
          </w:p>
        </w:tc>
        <w:tc>
          <w:tcPr>
            <w:tcW w:w="1677" w:type="dxa"/>
            <w:shd w:val="clear" w:color="auto" w:fill="BFBFBF"/>
            <w:vAlign w:val="center"/>
          </w:tcPr>
          <w:p w14:paraId="5A2E4EC5" w14:textId="77777777" w:rsidR="00640AD6" w:rsidRPr="00411FC6" w:rsidRDefault="00640AD6" w:rsidP="00B2053F">
            <w:pPr>
              <w:jc w:val="center"/>
              <w:rPr>
                <w:b/>
                <w:bCs/>
              </w:rPr>
            </w:pPr>
            <w:r w:rsidRPr="00411FC6">
              <w:rPr>
                <w:b/>
                <w:bCs/>
              </w:rPr>
              <w:t>Kategória dotk. subjektov</w:t>
            </w:r>
          </w:p>
        </w:tc>
        <w:tc>
          <w:tcPr>
            <w:tcW w:w="974" w:type="dxa"/>
            <w:shd w:val="clear" w:color="auto" w:fill="BFBFBF"/>
            <w:vAlign w:val="center"/>
          </w:tcPr>
          <w:p w14:paraId="3D90C896" w14:textId="1549A4A4" w:rsidR="00640AD6" w:rsidRPr="00411FC6" w:rsidRDefault="00640AD6" w:rsidP="00B2053F">
            <w:pPr>
              <w:jc w:val="center"/>
              <w:rPr>
                <w:b/>
                <w:bCs/>
              </w:rPr>
            </w:pPr>
            <w:r w:rsidRPr="00411FC6">
              <w:rPr>
                <w:b/>
                <w:bCs/>
              </w:rPr>
              <w:t>Počet</w:t>
            </w:r>
            <w:r w:rsidR="005C4986" w:rsidRPr="00411FC6">
              <w:rPr>
                <w:b/>
                <w:bCs/>
              </w:rPr>
              <w:t xml:space="preserve"> </w:t>
            </w:r>
            <w:r w:rsidRPr="00411FC6">
              <w:rPr>
                <w:b/>
                <w:bCs/>
              </w:rPr>
              <w:t>subjektov v dotk. kategórii</w:t>
            </w:r>
          </w:p>
        </w:tc>
        <w:tc>
          <w:tcPr>
            <w:tcW w:w="974" w:type="dxa"/>
            <w:shd w:val="clear" w:color="auto" w:fill="BFBFBF"/>
            <w:vAlign w:val="center"/>
            <w:hideMark/>
          </w:tcPr>
          <w:p w14:paraId="766C0758" w14:textId="453DEE63" w:rsidR="00640AD6" w:rsidRPr="00411FC6" w:rsidRDefault="00640AD6" w:rsidP="00B2053F">
            <w:pPr>
              <w:jc w:val="center"/>
              <w:rPr>
                <w:b/>
                <w:bCs/>
              </w:rPr>
            </w:pPr>
            <w:r w:rsidRPr="00411FC6">
              <w:rPr>
                <w:b/>
                <w:bCs/>
              </w:rPr>
              <w:t>Počet subjektov MSP v dotk. kategórii</w:t>
            </w:r>
          </w:p>
        </w:tc>
        <w:tc>
          <w:tcPr>
            <w:tcW w:w="982" w:type="dxa"/>
            <w:shd w:val="clear" w:color="auto" w:fill="BFBFBF"/>
            <w:vAlign w:val="center"/>
            <w:hideMark/>
          </w:tcPr>
          <w:p w14:paraId="2962A78B" w14:textId="77777777" w:rsidR="00640AD6" w:rsidRPr="00411FC6" w:rsidRDefault="00640AD6" w:rsidP="00B2053F">
            <w:pPr>
              <w:jc w:val="center"/>
              <w:rPr>
                <w:b/>
                <w:bCs/>
              </w:rPr>
            </w:pPr>
            <w:r w:rsidRPr="00411FC6">
              <w:rPr>
                <w:b/>
                <w:bCs/>
              </w:rPr>
              <w:t>Vplyv na 1 podnik. v €</w:t>
            </w:r>
          </w:p>
        </w:tc>
        <w:tc>
          <w:tcPr>
            <w:tcW w:w="992" w:type="dxa"/>
            <w:shd w:val="clear" w:color="auto" w:fill="BFBFBF"/>
            <w:vAlign w:val="center"/>
            <w:hideMark/>
          </w:tcPr>
          <w:p w14:paraId="48C23A9D" w14:textId="77777777" w:rsidR="00640AD6" w:rsidRPr="00411FC6" w:rsidRDefault="00640AD6" w:rsidP="00B2053F">
            <w:pPr>
              <w:jc w:val="center"/>
              <w:rPr>
                <w:b/>
                <w:bCs/>
              </w:rPr>
            </w:pPr>
            <w:r w:rsidRPr="00411FC6">
              <w:rPr>
                <w:b/>
                <w:bCs/>
              </w:rPr>
              <w:t>Vplyv na kategóriu dotk. subjektov v €</w:t>
            </w:r>
          </w:p>
        </w:tc>
        <w:tc>
          <w:tcPr>
            <w:tcW w:w="1107" w:type="dxa"/>
            <w:shd w:val="clear" w:color="auto" w:fill="BFBFBF"/>
            <w:vAlign w:val="center"/>
          </w:tcPr>
          <w:p w14:paraId="5E4F7EF0" w14:textId="77777777" w:rsidR="00640AD6" w:rsidRPr="00411FC6" w:rsidRDefault="00640AD6" w:rsidP="00B2053F">
            <w:pPr>
              <w:jc w:val="center"/>
              <w:rPr>
                <w:b/>
                <w:bCs/>
              </w:rPr>
            </w:pPr>
            <w:r w:rsidRPr="00411FC6">
              <w:rPr>
                <w:b/>
                <w:bCs/>
              </w:rPr>
              <w:t>Druh vplyvu</w:t>
            </w:r>
          </w:p>
          <w:p w14:paraId="2AC5983A" w14:textId="73EF1864" w:rsidR="00640AD6" w:rsidRPr="00411FC6" w:rsidRDefault="00640AD6" w:rsidP="00B2053F">
            <w:pPr>
              <w:jc w:val="center"/>
              <w:rPr>
                <w:bCs/>
              </w:rPr>
            </w:pPr>
            <w:r w:rsidRPr="00411FC6">
              <w:rPr>
                <w:bCs/>
              </w:rPr>
              <w:t>In (zvyšuje náklady) /</w:t>
            </w:r>
          </w:p>
          <w:p w14:paraId="796DB724" w14:textId="77777777" w:rsidR="00640AD6" w:rsidRPr="00B2053F" w:rsidRDefault="00640AD6" w:rsidP="00B2053F">
            <w:pPr>
              <w:jc w:val="center"/>
              <w:rPr>
                <w:b/>
                <w:bCs/>
                <w:sz w:val="22"/>
                <w:szCs w:val="22"/>
              </w:rPr>
            </w:pPr>
            <w:r w:rsidRPr="00411FC6">
              <w:rPr>
                <w:bCs/>
              </w:rPr>
              <w:t>Out (znižuje náklady)</w:t>
            </w:r>
          </w:p>
          <w:p w14:paraId="0117EAA0" w14:textId="77777777" w:rsidR="00640AD6" w:rsidRPr="00B2053F" w:rsidRDefault="00640AD6" w:rsidP="00B2053F">
            <w:pPr>
              <w:jc w:val="center"/>
              <w:rPr>
                <w:b/>
                <w:bCs/>
                <w:sz w:val="22"/>
                <w:szCs w:val="22"/>
              </w:rPr>
            </w:pPr>
          </w:p>
        </w:tc>
      </w:tr>
      <w:tr w:rsidR="003715EB" w:rsidRPr="003715EB" w14:paraId="771D675D" w14:textId="77777777" w:rsidTr="00411FC6">
        <w:trPr>
          <w:trHeight w:val="612"/>
        </w:trPr>
        <w:tc>
          <w:tcPr>
            <w:tcW w:w="479" w:type="dxa"/>
            <w:vAlign w:val="center"/>
          </w:tcPr>
          <w:p w14:paraId="01D8C231" w14:textId="1A0A585B" w:rsidR="00640AD6" w:rsidRPr="003715EB" w:rsidRDefault="00411FC6" w:rsidP="00ED1A67">
            <w:pPr>
              <w:rPr>
                <w:sz w:val="24"/>
                <w:szCs w:val="24"/>
              </w:rPr>
            </w:pPr>
            <w:r>
              <w:rPr>
                <w:sz w:val="24"/>
                <w:szCs w:val="24"/>
              </w:rPr>
              <w:t>1.</w:t>
            </w:r>
          </w:p>
        </w:tc>
        <w:tc>
          <w:tcPr>
            <w:tcW w:w="2690" w:type="dxa"/>
            <w:shd w:val="clear" w:color="auto" w:fill="auto"/>
          </w:tcPr>
          <w:p w14:paraId="24C906C2" w14:textId="4CAC37EF" w:rsidR="00640AD6" w:rsidRPr="00411FC6" w:rsidRDefault="00870C74" w:rsidP="00411FC6">
            <w:pPr>
              <w:jc w:val="center"/>
              <w:rPr>
                <w:sz w:val="22"/>
                <w:szCs w:val="22"/>
              </w:rPr>
            </w:pPr>
            <w:r w:rsidRPr="00411FC6">
              <w:rPr>
                <w:sz w:val="22"/>
                <w:szCs w:val="22"/>
              </w:rPr>
              <w:t>Zníženie administratívnej záťaže, t. j. zrušenie zasielania zoznamu zvierat ako prílohy k</w:t>
            </w:r>
            <w:r w:rsidR="00411FC6">
              <w:rPr>
                <w:sz w:val="22"/>
                <w:szCs w:val="22"/>
              </w:rPr>
              <w:t> </w:t>
            </w:r>
            <w:r w:rsidRPr="00411FC6">
              <w:rPr>
                <w:sz w:val="22"/>
                <w:szCs w:val="22"/>
              </w:rPr>
              <w:t xml:space="preserve">žiadosti o </w:t>
            </w:r>
            <w:r w:rsidR="00100E8F" w:rsidRPr="00411FC6">
              <w:rPr>
                <w:sz w:val="22"/>
                <w:szCs w:val="22"/>
              </w:rPr>
              <w:t>vnútroštátnu platbu na dojčiace kravy (stav k dátumu podania žiadosti) a</w:t>
            </w:r>
            <w:r w:rsidRPr="00411FC6">
              <w:rPr>
                <w:sz w:val="22"/>
                <w:szCs w:val="22"/>
              </w:rPr>
              <w:t xml:space="preserve"> ovce</w:t>
            </w:r>
            <w:r w:rsidR="00100E8F" w:rsidRPr="00411FC6">
              <w:rPr>
                <w:sz w:val="22"/>
                <w:szCs w:val="22"/>
              </w:rPr>
              <w:t xml:space="preserve"> a</w:t>
            </w:r>
            <w:r w:rsidR="00411FC6">
              <w:rPr>
                <w:sz w:val="22"/>
                <w:szCs w:val="22"/>
              </w:rPr>
              <w:t xml:space="preserve"> </w:t>
            </w:r>
            <w:r w:rsidR="00100E8F" w:rsidRPr="00411FC6">
              <w:rPr>
                <w:sz w:val="22"/>
                <w:szCs w:val="22"/>
              </w:rPr>
              <w:t>kozy (</w:t>
            </w:r>
            <w:r w:rsidRPr="00411FC6">
              <w:rPr>
                <w:sz w:val="22"/>
                <w:szCs w:val="22"/>
              </w:rPr>
              <w:t>stav ku dňu podania žiadosti</w:t>
            </w:r>
            <w:r w:rsidR="00100E8F" w:rsidRPr="00411FC6">
              <w:rPr>
                <w:sz w:val="22"/>
                <w:szCs w:val="22"/>
              </w:rPr>
              <w:t>)</w:t>
            </w:r>
          </w:p>
        </w:tc>
        <w:tc>
          <w:tcPr>
            <w:tcW w:w="1677" w:type="dxa"/>
          </w:tcPr>
          <w:p w14:paraId="4F14F573" w14:textId="423F21C2" w:rsidR="00640AD6" w:rsidRPr="00411FC6" w:rsidRDefault="00405C64" w:rsidP="00411FC6">
            <w:pPr>
              <w:jc w:val="center"/>
              <w:rPr>
                <w:sz w:val="22"/>
                <w:szCs w:val="22"/>
              </w:rPr>
            </w:pPr>
            <w:r w:rsidRPr="00411FC6">
              <w:rPr>
                <w:sz w:val="22"/>
                <w:szCs w:val="22"/>
              </w:rPr>
              <w:t>Nariadenie vlády Slovenskej republiky, ktorým sa mení a dopĺňa nariadenie vlády Slovenskej republiky č. 152/2013 Z. z. o podmienkach poskytovania podpory v poľnohospodárstve formou prechodných vnútroštátnych platieb v znení neskorších predpisov</w:t>
            </w:r>
          </w:p>
        </w:tc>
        <w:tc>
          <w:tcPr>
            <w:tcW w:w="1129" w:type="dxa"/>
            <w:shd w:val="clear" w:color="auto" w:fill="auto"/>
          </w:tcPr>
          <w:p w14:paraId="721926B9" w14:textId="327B520F" w:rsidR="00640AD6" w:rsidRPr="00411FC6" w:rsidRDefault="00416304" w:rsidP="00411FC6">
            <w:pPr>
              <w:jc w:val="center"/>
              <w:rPr>
                <w:sz w:val="22"/>
                <w:szCs w:val="22"/>
              </w:rPr>
            </w:pPr>
            <w:r w:rsidRPr="00411FC6">
              <w:rPr>
                <w:sz w:val="22"/>
                <w:szCs w:val="22"/>
              </w:rPr>
              <w:t>§ 5</w:t>
            </w:r>
          </w:p>
        </w:tc>
        <w:tc>
          <w:tcPr>
            <w:tcW w:w="1246" w:type="dxa"/>
          </w:tcPr>
          <w:p w14:paraId="49EF8144" w14:textId="0B0FA197" w:rsidR="00640AD6" w:rsidRPr="00411FC6" w:rsidRDefault="003715EB" w:rsidP="00411FC6">
            <w:pPr>
              <w:jc w:val="center"/>
              <w:rPr>
                <w:sz w:val="22"/>
                <w:szCs w:val="22"/>
              </w:rPr>
            </w:pPr>
            <w:r w:rsidRPr="00411FC6">
              <w:rPr>
                <w:sz w:val="22"/>
                <w:szCs w:val="22"/>
              </w:rPr>
              <w:t>EÚ harmonizácia s možnosťou voľby</w:t>
            </w:r>
          </w:p>
        </w:tc>
        <w:tc>
          <w:tcPr>
            <w:tcW w:w="934" w:type="dxa"/>
            <w:shd w:val="clear" w:color="auto" w:fill="auto"/>
            <w:noWrap/>
          </w:tcPr>
          <w:p w14:paraId="043EE380" w14:textId="12A871CD" w:rsidR="00640AD6" w:rsidRPr="00411FC6" w:rsidRDefault="005913F9" w:rsidP="00411FC6">
            <w:pPr>
              <w:jc w:val="center"/>
              <w:rPr>
                <w:sz w:val="22"/>
                <w:szCs w:val="22"/>
              </w:rPr>
            </w:pPr>
            <w:r w:rsidRPr="00411FC6">
              <w:rPr>
                <w:sz w:val="22"/>
                <w:szCs w:val="22"/>
              </w:rPr>
              <w:t>01.01.2023</w:t>
            </w:r>
          </w:p>
        </w:tc>
        <w:tc>
          <w:tcPr>
            <w:tcW w:w="1677" w:type="dxa"/>
          </w:tcPr>
          <w:p w14:paraId="5104A1EA" w14:textId="5FB5F953" w:rsidR="00640AD6" w:rsidRPr="00411FC6" w:rsidRDefault="005913F9" w:rsidP="00411FC6">
            <w:pPr>
              <w:jc w:val="center"/>
              <w:rPr>
                <w:sz w:val="22"/>
                <w:szCs w:val="22"/>
              </w:rPr>
            </w:pPr>
            <w:r w:rsidRPr="00411FC6">
              <w:rPr>
                <w:sz w:val="22"/>
                <w:szCs w:val="22"/>
              </w:rPr>
              <w:t xml:space="preserve">Žiadateľ </w:t>
            </w:r>
            <w:r w:rsidR="00100E8F" w:rsidRPr="00411FC6">
              <w:rPr>
                <w:sz w:val="22"/>
                <w:szCs w:val="22"/>
              </w:rPr>
              <w:t>v zmysle podmienok uvedených v</w:t>
            </w:r>
            <w:r w:rsidR="00411FC6">
              <w:rPr>
                <w:sz w:val="22"/>
                <w:szCs w:val="22"/>
              </w:rPr>
              <w:t> </w:t>
            </w:r>
            <w:r w:rsidR="00100E8F" w:rsidRPr="00411FC6">
              <w:rPr>
                <w:sz w:val="22"/>
                <w:szCs w:val="22"/>
              </w:rPr>
              <w:t>návrhu</w:t>
            </w:r>
            <w:r w:rsidR="00411FC6">
              <w:rPr>
                <w:sz w:val="22"/>
                <w:szCs w:val="22"/>
              </w:rPr>
              <w:t xml:space="preserve"> nariadenia vlády</w:t>
            </w:r>
          </w:p>
          <w:p w14:paraId="39C46E71" w14:textId="77777777" w:rsidR="00640AD6" w:rsidRPr="00411FC6" w:rsidRDefault="00640AD6" w:rsidP="00411FC6">
            <w:pPr>
              <w:jc w:val="center"/>
              <w:rPr>
                <w:sz w:val="22"/>
                <w:szCs w:val="22"/>
              </w:rPr>
            </w:pPr>
          </w:p>
          <w:p w14:paraId="3FCDB620" w14:textId="77777777" w:rsidR="00640AD6" w:rsidRPr="00411FC6" w:rsidRDefault="00640AD6" w:rsidP="00411FC6">
            <w:pPr>
              <w:jc w:val="center"/>
              <w:rPr>
                <w:sz w:val="22"/>
                <w:szCs w:val="22"/>
              </w:rPr>
            </w:pPr>
          </w:p>
          <w:p w14:paraId="51D0B1A1" w14:textId="77777777" w:rsidR="00640AD6" w:rsidRPr="00411FC6" w:rsidRDefault="00640AD6" w:rsidP="00411FC6">
            <w:pPr>
              <w:jc w:val="center"/>
              <w:rPr>
                <w:sz w:val="22"/>
                <w:szCs w:val="22"/>
              </w:rPr>
            </w:pPr>
          </w:p>
          <w:p w14:paraId="4E3B5CAE" w14:textId="77777777" w:rsidR="00640AD6" w:rsidRPr="00411FC6" w:rsidRDefault="00640AD6" w:rsidP="00411FC6">
            <w:pPr>
              <w:jc w:val="center"/>
              <w:rPr>
                <w:sz w:val="22"/>
                <w:szCs w:val="22"/>
              </w:rPr>
            </w:pPr>
          </w:p>
          <w:p w14:paraId="565F6E54" w14:textId="77777777" w:rsidR="00640AD6" w:rsidRPr="00411FC6" w:rsidRDefault="00640AD6" w:rsidP="00411FC6">
            <w:pPr>
              <w:jc w:val="center"/>
              <w:rPr>
                <w:sz w:val="22"/>
                <w:szCs w:val="22"/>
              </w:rPr>
            </w:pPr>
          </w:p>
          <w:p w14:paraId="261874AB" w14:textId="77777777" w:rsidR="00640AD6" w:rsidRPr="00411FC6" w:rsidRDefault="00640AD6" w:rsidP="00411FC6">
            <w:pPr>
              <w:jc w:val="center"/>
              <w:rPr>
                <w:sz w:val="22"/>
                <w:szCs w:val="22"/>
              </w:rPr>
            </w:pPr>
          </w:p>
          <w:p w14:paraId="13408A08" w14:textId="77777777" w:rsidR="00640AD6" w:rsidRPr="00411FC6" w:rsidRDefault="00640AD6" w:rsidP="00411FC6">
            <w:pPr>
              <w:jc w:val="center"/>
              <w:rPr>
                <w:sz w:val="22"/>
                <w:szCs w:val="22"/>
              </w:rPr>
            </w:pPr>
          </w:p>
          <w:p w14:paraId="2DFC1A71" w14:textId="77777777" w:rsidR="00640AD6" w:rsidRPr="00411FC6" w:rsidRDefault="00640AD6" w:rsidP="00411FC6">
            <w:pPr>
              <w:jc w:val="center"/>
              <w:rPr>
                <w:sz w:val="22"/>
                <w:szCs w:val="22"/>
              </w:rPr>
            </w:pPr>
          </w:p>
          <w:p w14:paraId="3B8F2A1B" w14:textId="77777777" w:rsidR="00640AD6" w:rsidRPr="00411FC6" w:rsidRDefault="00640AD6" w:rsidP="00411FC6">
            <w:pPr>
              <w:jc w:val="center"/>
              <w:rPr>
                <w:sz w:val="22"/>
                <w:szCs w:val="22"/>
              </w:rPr>
            </w:pPr>
          </w:p>
          <w:p w14:paraId="7E4F2B77" w14:textId="77777777" w:rsidR="00640AD6" w:rsidRPr="00411FC6" w:rsidRDefault="00640AD6" w:rsidP="00411FC6">
            <w:pPr>
              <w:jc w:val="center"/>
              <w:rPr>
                <w:sz w:val="22"/>
                <w:szCs w:val="22"/>
              </w:rPr>
            </w:pPr>
          </w:p>
          <w:p w14:paraId="3E437662" w14:textId="77777777" w:rsidR="00640AD6" w:rsidRPr="00411FC6" w:rsidRDefault="00640AD6" w:rsidP="00411FC6">
            <w:pPr>
              <w:jc w:val="center"/>
              <w:rPr>
                <w:sz w:val="22"/>
                <w:szCs w:val="22"/>
              </w:rPr>
            </w:pPr>
          </w:p>
          <w:p w14:paraId="3D2154B6" w14:textId="77777777" w:rsidR="00640AD6" w:rsidRPr="00411FC6" w:rsidRDefault="00640AD6" w:rsidP="00411FC6">
            <w:pPr>
              <w:jc w:val="center"/>
              <w:rPr>
                <w:sz w:val="22"/>
                <w:szCs w:val="22"/>
              </w:rPr>
            </w:pPr>
          </w:p>
          <w:p w14:paraId="42BB8C0E" w14:textId="77777777" w:rsidR="00640AD6" w:rsidRPr="00411FC6" w:rsidRDefault="00640AD6" w:rsidP="00411FC6">
            <w:pPr>
              <w:jc w:val="center"/>
              <w:rPr>
                <w:sz w:val="22"/>
                <w:szCs w:val="22"/>
              </w:rPr>
            </w:pPr>
          </w:p>
          <w:p w14:paraId="5F962B89" w14:textId="18BD4428" w:rsidR="00640AD6" w:rsidRPr="00411FC6" w:rsidRDefault="00640AD6" w:rsidP="00411FC6">
            <w:pPr>
              <w:jc w:val="center"/>
              <w:rPr>
                <w:sz w:val="22"/>
                <w:szCs w:val="22"/>
              </w:rPr>
            </w:pPr>
          </w:p>
        </w:tc>
        <w:tc>
          <w:tcPr>
            <w:tcW w:w="974" w:type="dxa"/>
            <w:shd w:val="clear" w:color="auto" w:fill="auto"/>
            <w:noWrap/>
          </w:tcPr>
          <w:p w14:paraId="1F1113CB" w14:textId="2082331D" w:rsidR="00640AD6" w:rsidRPr="00411FC6" w:rsidRDefault="00FF6B7A" w:rsidP="00411FC6">
            <w:pPr>
              <w:jc w:val="center"/>
              <w:rPr>
                <w:sz w:val="22"/>
                <w:szCs w:val="22"/>
              </w:rPr>
            </w:pPr>
            <w:r w:rsidRPr="00411FC6">
              <w:rPr>
                <w:sz w:val="22"/>
                <w:szCs w:val="22"/>
              </w:rPr>
              <w:t>2461</w:t>
            </w:r>
          </w:p>
        </w:tc>
        <w:tc>
          <w:tcPr>
            <w:tcW w:w="974" w:type="dxa"/>
            <w:shd w:val="clear" w:color="auto" w:fill="auto"/>
            <w:noWrap/>
          </w:tcPr>
          <w:p w14:paraId="6D31113C" w14:textId="21AE333B" w:rsidR="00640AD6" w:rsidRPr="00411FC6" w:rsidRDefault="003F04A5" w:rsidP="00411FC6">
            <w:pPr>
              <w:jc w:val="center"/>
              <w:rPr>
                <w:sz w:val="22"/>
                <w:szCs w:val="22"/>
              </w:rPr>
            </w:pPr>
            <w:r w:rsidRPr="00411FC6">
              <w:rPr>
                <w:sz w:val="22"/>
                <w:szCs w:val="22"/>
              </w:rPr>
              <w:t>N</w:t>
            </w:r>
          </w:p>
        </w:tc>
        <w:tc>
          <w:tcPr>
            <w:tcW w:w="982" w:type="dxa"/>
            <w:shd w:val="clear" w:color="auto" w:fill="auto"/>
            <w:noWrap/>
          </w:tcPr>
          <w:p w14:paraId="31B93747" w14:textId="77777777" w:rsidR="00640AD6" w:rsidRPr="00411FC6" w:rsidRDefault="00100E8F" w:rsidP="00411FC6">
            <w:pPr>
              <w:jc w:val="center"/>
              <w:rPr>
                <w:sz w:val="22"/>
                <w:szCs w:val="22"/>
              </w:rPr>
            </w:pPr>
            <w:r w:rsidRPr="00411FC6">
              <w:rPr>
                <w:sz w:val="22"/>
                <w:szCs w:val="22"/>
              </w:rPr>
              <w:t>5</w:t>
            </w:r>
          </w:p>
          <w:p w14:paraId="0E6F175F" w14:textId="3876697A" w:rsidR="00100E8F" w:rsidRPr="00411FC6" w:rsidRDefault="00100E8F" w:rsidP="00411FC6">
            <w:pPr>
              <w:jc w:val="center"/>
              <w:rPr>
                <w:sz w:val="22"/>
                <w:szCs w:val="22"/>
              </w:rPr>
            </w:pPr>
          </w:p>
        </w:tc>
        <w:tc>
          <w:tcPr>
            <w:tcW w:w="992" w:type="dxa"/>
            <w:shd w:val="clear" w:color="auto" w:fill="auto"/>
            <w:noWrap/>
          </w:tcPr>
          <w:p w14:paraId="56E052A1" w14:textId="34BEE66E" w:rsidR="00640AD6" w:rsidRPr="00411FC6" w:rsidRDefault="003715EB" w:rsidP="00411FC6">
            <w:pPr>
              <w:jc w:val="center"/>
              <w:rPr>
                <w:sz w:val="22"/>
                <w:szCs w:val="22"/>
              </w:rPr>
            </w:pPr>
            <w:r w:rsidRPr="00411FC6">
              <w:rPr>
                <w:sz w:val="22"/>
                <w:szCs w:val="22"/>
              </w:rPr>
              <w:t>12591,00</w:t>
            </w:r>
          </w:p>
        </w:tc>
        <w:tc>
          <w:tcPr>
            <w:tcW w:w="1107" w:type="dxa"/>
          </w:tcPr>
          <w:p w14:paraId="76CED063" w14:textId="39053F67" w:rsidR="00640AD6" w:rsidRPr="00411FC6" w:rsidRDefault="005913F9" w:rsidP="00411FC6">
            <w:pPr>
              <w:jc w:val="center"/>
              <w:rPr>
                <w:sz w:val="22"/>
                <w:szCs w:val="22"/>
              </w:rPr>
            </w:pPr>
            <w:r w:rsidRPr="00411FC6">
              <w:rPr>
                <w:sz w:val="22"/>
                <w:szCs w:val="22"/>
              </w:rPr>
              <w:t>Out (znižuje náklady)</w:t>
            </w:r>
          </w:p>
        </w:tc>
      </w:tr>
    </w:tbl>
    <w:p w14:paraId="3E134F4D" w14:textId="77777777" w:rsidR="00640AD6" w:rsidRPr="003715EB" w:rsidRDefault="00640AD6" w:rsidP="00640AD6">
      <w:pPr>
        <w:jc w:val="both"/>
        <w:rPr>
          <w:rFonts w:eastAsia="Calibri"/>
          <w:i/>
          <w:sz w:val="24"/>
          <w:szCs w:val="24"/>
        </w:rPr>
      </w:pPr>
    </w:p>
    <w:p w14:paraId="05D601D6" w14:textId="77777777" w:rsidR="00640AD6" w:rsidRPr="003715EB" w:rsidRDefault="00640AD6" w:rsidP="00640AD6">
      <w:pPr>
        <w:jc w:val="both"/>
        <w:rPr>
          <w:rFonts w:eastAsia="Calibri"/>
          <w:b/>
          <w:bCs/>
          <w:i/>
          <w:sz w:val="24"/>
          <w:szCs w:val="24"/>
        </w:rPr>
        <w:sectPr w:rsidR="00640AD6" w:rsidRPr="003715EB" w:rsidSect="00142154">
          <w:pgSz w:w="16838" w:h="11906" w:orient="landscape"/>
          <w:pgMar w:top="1417" w:right="1417" w:bottom="1417" w:left="1417" w:header="708" w:footer="708" w:gutter="0"/>
          <w:cols w:space="708"/>
          <w:docGrid w:linePitch="360"/>
        </w:sectPr>
      </w:pPr>
    </w:p>
    <w:p w14:paraId="7E111F71" w14:textId="77777777" w:rsidR="00640AD6" w:rsidRPr="003715EB" w:rsidRDefault="00640AD6" w:rsidP="00640AD6">
      <w:pPr>
        <w:jc w:val="both"/>
        <w:rPr>
          <w:rFonts w:eastAsia="Calibri"/>
          <w:b/>
          <w:bCs/>
          <w:i/>
          <w:sz w:val="24"/>
          <w:szCs w:val="24"/>
          <w:u w:val="single"/>
        </w:rPr>
      </w:pPr>
      <w:r w:rsidRPr="003715EB">
        <w:rPr>
          <w:rFonts w:eastAsia="Calibri"/>
          <w:b/>
          <w:bCs/>
          <w:i/>
          <w:sz w:val="24"/>
          <w:szCs w:val="24"/>
          <w:u w:val="single"/>
        </w:rPr>
        <w:lastRenderedPageBreak/>
        <w:t xml:space="preserve">Doplňujúce informácie k spôsobu výpočtu vplyvov jednotlivých regulácií na zmenu nákladov </w:t>
      </w:r>
    </w:p>
    <w:p w14:paraId="18DFED07" w14:textId="21FCE04B" w:rsidR="00B33DBC" w:rsidRPr="003715EB" w:rsidRDefault="00640AD6" w:rsidP="00640AD6">
      <w:pPr>
        <w:jc w:val="both"/>
        <w:rPr>
          <w:rFonts w:eastAsia="Calibri"/>
          <w:bCs/>
          <w:i/>
          <w:iCs/>
          <w:sz w:val="24"/>
          <w:szCs w:val="24"/>
        </w:rPr>
      </w:pPr>
      <w:r w:rsidRPr="003715EB">
        <w:rPr>
          <w:rFonts w:eastAsia="Calibri"/>
          <w:bCs/>
          <w:i/>
          <w:iCs/>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019E5F19" w14:textId="77777777" w:rsidR="00191EBA" w:rsidRPr="003715EB" w:rsidRDefault="00191EBA" w:rsidP="00640AD6">
      <w:pPr>
        <w:jc w:val="both"/>
        <w:rPr>
          <w:sz w:val="24"/>
          <w:szCs w:val="24"/>
        </w:rPr>
      </w:pPr>
    </w:p>
    <w:p w14:paraId="3A9A1E71" w14:textId="09A58444" w:rsidR="00B33DBC" w:rsidRPr="003715EB" w:rsidRDefault="00F63492" w:rsidP="00F63492">
      <w:pPr>
        <w:spacing w:after="160" w:line="259" w:lineRule="auto"/>
        <w:jc w:val="both"/>
        <w:rPr>
          <w:sz w:val="24"/>
          <w:szCs w:val="24"/>
        </w:rPr>
      </w:pPr>
      <w:r w:rsidRPr="003715EB">
        <w:rPr>
          <w:sz w:val="24"/>
          <w:szCs w:val="24"/>
        </w:rPr>
        <w:t>Úpravou</w:t>
      </w:r>
      <w:r w:rsidR="00191EBA" w:rsidRPr="003715EB">
        <w:rPr>
          <w:sz w:val="24"/>
          <w:szCs w:val="24"/>
        </w:rPr>
        <w:t xml:space="preserve"> nariadenia vlády Slovenskej republiky, ktorým sa mení a dopĺňa nariadenie vlády Slovenskej republiky č. 152/2013 Z. z. o pod</w:t>
      </w:r>
      <w:r w:rsidR="00E3450B" w:rsidRPr="003715EB">
        <w:rPr>
          <w:sz w:val="24"/>
          <w:szCs w:val="24"/>
        </w:rPr>
        <w:t>mienkach poskytovania podpory v </w:t>
      </w:r>
      <w:r w:rsidR="00191EBA" w:rsidRPr="003715EB">
        <w:rPr>
          <w:sz w:val="24"/>
          <w:szCs w:val="24"/>
        </w:rPr>
        <w:t xml:space="preserve">poľnohospodárstve formou prechodných vnútroštátnych platieb v znení neskorších predpisov </w:t>
      </w:r>
      <w:r w:rsidRPr="003715EB">
        <w:rPr>
          <w:sz w:val="24"/>
          <w:szCs w:val="24"/>
        </w:rPr>
        <w:t xml:space="preserve">dôjde k zníženiu </w:t>
      </w:r>
      <w:r w:rsidRPr="003715EB">
        <w:rPr>
          <w:b/>
          <w:sz w:val="24"/>
          <w:szCs w:val="24"/>
        </w:rPr>
        <w:t>administra</w:t>
      </w:r>
      <w:r w:rsidR="0032522D">
        <w:rPr>
          <w:b/>
          <w:sz w:val="24"/>
          <w:szCs w:val="24"/>
        </w:rPr>
        <w:t xml:space="preserve">tívnych nákladov pre žiadateľov </w:t>
      </w:r>
      <w:r w:rsidR="0032522D" w:rsidRPr="00411FC6">
        <w:rPr>
          <w:sz w:val="24"/>
          <w:szCs w:val="24"/>
        </w:rPr>
        <w:t xml:space="preserve">v zmysle podmienok uvedených v návrhu </w:t>
      </w:r>
      <w:r w:rsidR="00E3450B" w:rsidRPr="003715EB">
        <w:rPr>
          <w:sz w:val="24"/>
          <w:szCs w:val="24"/>
        </w:rPr>
        <w:t>v </w:t>
      </w:r>
      <w:r w:rsidRPr="003715EB">
        <w:rPr>
          <w:sz w:val="24"/>
          <w:szCs w:val="24"/>
        </w:rPr>
        <w:t>poľnohospodárstve formou prec</w:t>
      </w:r>
      <w:r w:rsidR="003F04A5">
        <w:rPr>
          <w:sz w:val="24"/>
          <w:szCs w:val="24"/>
        </w:rPr>
        <w:t xml:space="preserve">hodných vnútroštátnych platieb, </w:t>
      </w:r>
      <w:r w:rsidRPr="003715EB">
        <w:rPr>
          <w:sz w:val="24"/>
          <w:szCs w:val="24"/>
        </w:rPr>
        <w:t xml:space="preserve">konkrétne </w:t>
      </w:r>
      <w:r w:rsidR="006F71D3" w:rsidRPr="003715EB">
        <w:rPr>
          <w:sz w:val="24"/>
          <w:szCs w:val="24"/>
        </w:rPr>
        <w:t>odstránením zasielania povinnej</w:t>
      </w:r>
      <w:r w:rsidRPr="003715EB">
        <w:rPr>
          <w:sz w:val="24"/>
          <w:szCs w:val="24"/>
        </w:rPr>
        <w:t xml:space="preserve"> príloh</w:t>
      </w:r>
      <w:r w:rsidR="006F71D3" w:rsidRPr="003715EB">
        <w:rPr>
          <w:sz w:val="24"/>
          <w:szCs w:val="24"/>
        </w:rPr>
        <w:t>y (zoznamu zvierat)</w:t>
      </w:r>
      <w:r w:rsidRPr="003715EB">
        <w:rPr>
          <w:sz w:val="24"/>
          <w:szCs w:val="24"/>
        </w:rPr>
        <w:t xml:space="preserve"> k žiadosti o platbu podľa </w:t>
      </w:r>
      <w:r w:rsidR="00191EBA" w:rsidRPr="003715EB">
        <w:rPr>
          <w:sz w:val="24"/>
          <w:szCs w:val="24"/>
        </w:rPr>
        <w:t>§ 5</w:t>
      </w:r>
      <w:r w:rsidR="003F04A5">
        <w:rPr>
          <w:sz w:val="24"/>
          <w:szCs w:val="24"/>
        </w:rPr>
        <w:t xml:space="preserve"> a zavedeniu automatického systému žiadostí</w:t>
      </w:r>
      <w:r w:rsidR="00191EBA" w:rsidRPr="003715EB">
        <w:rPr>
          <w:sz w:val="24"/>
          <w:szCs w:val="24"/>
        </w:rPr>
        <w:t>.</w:t>
      </w:r>
      <w:r w:rsidR="006F71D3" w:rsidRPr="003715EB">
        <w:rPr>
          <w:sz w:val="24"/>
          <w:szCs w:val="24"/>
        </w:rPr>
        <w:t xml:space="preserve"> </w:t>
      </w:r>
      <w:r w:rsidR="003F04A5">
        <w:rPr>
          <w:sz w:val="24"/>
          <w:szCs w:val="24"/>
        </w:rPr>
        <w:t>Automatický systém žiadostí</w:t>
      </w:r>
      <w:r w:rsidR="003F04A5" w:rsidRPr="003F04A5">
        <w:rPr>
          <w:sz w:val="24"/>
          <w:szCs w:val="24"/>
        </w:rPr>
        <w:t xml:space="preserve"> zabezpečí, že údaje požadované zo strany</w:t>
      </w:r>
      <w:r w:rsidR="003F04A5">
        <w:rPr>
          <w:sz w:val="24"/>
          <w:szCs w:val="24"/>
        </w:rPr>
        <w:t xml:space="preserve"> Pôdohospodárskej</w:t>
      </w:r>
      <w:r w:rsidR="003F04A5" w:rsidRPr="003F04A5">
        <w:rPr>
          <w:sz w:val="24"/>
          <w:szCs w:val="24"/>
        </w:rPr>
        <w:t xml:space="preserve"> platobnej agentúry sú k dispozícii z úradnej počítačovej databázy Centrálnej evidencie hospodárskych zvierat</w:t>
      </w:r>
      <w:r w:rsidR="006F71D3" w:rsidRPr="003715EB">
        <w:rPr>
          <w:sz w:val="24"/>
          <w:szCs w:val="24"/>
        </w:rPr>
        <w:t>. V dôsledku modifikácie administratívneho procesu</w:t>
      </w:r>
      <w:r w:rsidR="006E3B96" w:rsidRPr="003715EB">
        <w:rPr>
          <w:sz w:val="24"/>
          <w:szCs w:val="24"/>
        </w:rPr>
        <w:t xml:space="preserve"> </w:t>
      </w:r>
      <w:r w:rsidR="006F71D3" w:rsidRPr="003715EB">
        <w:rPr>
          <w:sz w:val="24"/>
          <w:szCs w:val="24"/>
        </w:rPr>
        <w:t>dôjde k zníženiu nákladov v kategórii dotknutých subjektov o</w:t>
      </w:r>
      <w:r w:rsidR="0032522D">
        <w:rPr>
          <w:sz w:val="24"/>
          <w:szCs w:val="24"/>
        </w:rPr>
        <w:t xml:space="preserve"> 12 591,00 </w:t>
      </w:r>
      <w:r w:rsidR="006F71D3" w:rsidRPr="003715EB">
        <w:rPr>
          <w:sz w:val="24"/>
          <w:szCs w:val="24"/>
        </w:rPr>
        <w:t>€.</w:t>
      </w:r>
      <w:r w:rsidR="006028D7" w:rsidRPr="003715EB">
        <w:rPr>
          <w:sz w:val="24"/>
          <w:szCs w:val="24"/>
        </w:rPr>
        <w:t xml:space="preserve"> Uvedený objem </w:t>
      </w:r>
      <w:r w:rsidR="00D0503D" w:rsidRPr="003715EB">
        <w:rPr>
          <w:sz w:val="24"/>
          <w:szCs w:val="24"/>
        </w:rPr>
        <w:t xml:space="preserve">znížených </w:t>
      </w:r>
      <w:r w:rsidR="006028D7" w:rsidRPr="003715EB">
        <w:rPr>
          <w:sz w:val="24"/>
          <w:szCs w:val="24"/>
        </w:rPr>
        <w:t>nákladov bol kvantifikovaný ako súčin nasledujúcich vstupných údajov:</w:t>
      </w:r>
      <w:r w:rsidR="006F71D3" w:rsidRPr="003715EB">
        <w:rPr>
          <w:sz w:val="24"/>
          <w:szCs w:val="24"/>
        </w:rPr>
        <w:t xml:space="preserve"> </w:t>
      </w:r>
    </w:p>
    <w:p w14:paraId="4BF0B8B0" w14:textId="04703E69" w:rsidR="006E3B96" w:rsidRPr="00910798" w:rsidRDefault="00604690" w:rsidP="00D66332">
      <w:pPr>
        <w:pStyle w:val="Odsekzoznamu"/>
        <w:numPr>
          <w:ilvl w:val="0"/>
          <w:numId w:val="21"/>
        </w:numPr>
        <w:jc w:val="both"/>
        <w:rPr>
          <w:rFonts w:ascii="Times New Roman" w:eastAsia="Times New Roman" w:hAnsi="Times New Roman" w:cs="Times New Roman"/>
          <w:sz w:val="24"/>
          <w:szCs w:val="24"/>
          <w:lang w:eastAsia="sk-SK"/>
        </w:rPr>
      </w:pPr>
      <w:r>
        <w:rPr>
          <w:rFonts w:ascii="Times New Roman" w:hAnsi="Times New Roman" w:cs="Times New Roman"/>
          <w:sz w:val="24"/>
          <w:szCs w:val="24"/>
        </w:rPr>
        <w:t>p</w:t>
      </w:r>
      <w:r w:rsidR="006028D7" w:rsidRPr="00910798">
        <w:rPr>
          <w:rFonts w:ascii="Times New Roman" w:hAnsi="Times New Roman" w:cs="Times New Roman"/>
          <w:sz w:val="24"/>
          <w:szCs w:val="24"/>
        </w:rPr>
        <w:t>očet subjektov v</w:t>
      </w:r>
      <w:r w:rsidR="00910798">
        <w:rPr>
          <w:rFonts w:ascii="Times New Roman" w:hAnsi="Times New Roman" w:cs="Times New Roman"/>
          <w:sz w:val="24"/>
          <w:szCs w:val="24"/>
        </w:rPr>
        <w:t xml:space="preserve"> </w:t>
      </w:r>
      <w:r w:rsidR="006028D7" w:rsidRPr="00910798">
        <w:rPr>
          <w:rFonts w:ascii="Times New Roman" w:hAnsi="Times New Roman" w:cs="Times New Roman"/>
          <w:sz w:val="24"/>
          <w:szCs w:val="24"/>
        </w:rPr>
        <w:t xml:space="preserve">dotknutej kategórii </w:t>
      </w:r>
      <w:r w:rsidR="00A44421" w:rsidRPr="00910798">
        <w:rPr>
          <w:rFonts w:ascii="Times New Roman" w:hAnsi="Times New Roman" w:cs="Times New Roman"/>
          <w:sz w:val="24"/>
          <w:szCs w:val="24"/>
        </w:rPr>
        <w:t>–</w:t>
      </w:r>
      <w:r w:rsidR="006028D7" w:rsidRPr="00910798">
        <w:rPr>
          <w:rFonts w:ascii="Times New Roman" w:hAnsi="Times New Roman" w:cs="Times New Roman"/>
          <w:sz w:val="24"/>
          <w:szCs w:val="24"/>
        </w:rPr>
        <w:t xml:space="preserve"> 2</w:t>
      </w:r>
      <w:r w:rsidR="00E3450B" w:rsidRPr="00910798">
        <w:rPr>
          <w:rFonts w:ascii="Times New Roman" w:hAnsi="Times New Roman" w:cs="Times New Roman"/>
          <w:sz w:val="24"/>
          <w:szCs w:val="24"/>
        </w:rPr>
        <w:t xml:space="preserve"> </w:t>
      </w:r>
      <w:r w:rsidR="006028D7" w:rsidRPr="00910798">
        <w:rPr>
          <w:rFonts w:ascii="Times New Roman" w:hAnsi="Times New Roman" w:cs="Times New Roman"/>
          <w:sz w:val="24"/>
          <w:szCs w:val="24"/>
        </w:rPr>
        <w:t>461</w:t>
      </w:r>
      <w:r w:rsidR="00A44421" w:rsidRPr="00910798">
        <w:rPr>
          <w:rFonts w:ascii="Times New Roman" w:hAnsi="Times New Roman" w:cs="Times New Roman"/>
          <w:sz w:val="24"/>
          <w:szCs w:val="24"/>
        </w:rPr>
        <w:t xml:space="preserve"> </w:t>
      </w:r>
      <w:r w:rsidR="0032522D" w:rsidRPr="00910798">
        <w:rPr>
          <w:rFonts w:ascii="Times New Roman" w:hAnsi="Times New Roman" w:cs="Times New Roman"/>
          <w:sz w:val="24"/>
          <w:szCs w:val="24"/>
        </w:rPr>
        <w:t>žiadateľ</w:t>
      </w:r>
      <w:r>
        <w:rPr>
          <w:rFonts w:ascii="Times New Roman" w:hAnsi="Times New Roman" w:cs="Times New Roman"/>
          <w:sz w:val="24"/>
          <w:szCs w:val="24"/>
        </w:rPr>
        <w:t>ov</w:t>
      </w:r>
      <w:r w:rsidR="0032522D" w:rsidRPr="00910798">
        <w:rPr>
          <w:rFonts w:ascii="Times New Roman" w:hAnsi="Times New Roman" w:cs="Times New Roman"/>
          <w:sz w:val="24"/>
          <w:szCs w:val="24"/>
        </w:rPr>
        <w:t xml:space="preserve"> v zmysle podmienok uvedených v návrhu </w:t>
      </w:r>
      <w:r w:rsidR="009D48AD" w:rsidRPr="00910798">
        <w:rPr>
          <w:rFonts w:ascii="Times New Roman" w:hAnsi="Times New Roman" w:cs="Times New Roman"/>
          <w:sz w:val="24"/>
          <w:szCs w:val="24"/>
        </w:rPr>
        <w:t>za</w:t>
      </w:r>
      <w:r w:rsidR="00F31E01" w:rsidRPr="00910798">
        <w:rPr>
          <w:rFonts w:ascii="Times New Roman" w:hAnsi="Times New Roman" w:cs="Times New Roman"/>
          <w:sz w:val="24"/>
          <w:szCs w:val="24"/>
        </w:rPr>
        <w:t xml:space="preserve"> rok 2021</w:t>
      </w:r>
      <w:r w:rsidR="006028D7" w:rsidRPr="00910798">
        <w:rPr>
          <w:rFonts w:ascii="Times New Roman" w:hAnsi="Times New Roman" w:cs="Times New Roman"/>
          <w:sz w:val="24"/>
          <w:szCs w:val="24"/>
        </w:rPr>
        <w:t xml:space="preserve">; zdroj: </w:t>
      </w:r>
      <w:r w:rsidR="006028D7" w:rsidRPr="00910798">
        <w:rPr>
          <w:rFonts w:ascii="Times New Roman" w:eastAsia="Times New Roman" w:hAnsi="Times New Roman" w:cs="Times New Roman"/>
          <w:sz w:val="24"/>
          <w:szCs w:val="24"/>
          <w:lang w:eastAsia="sk-SK"/>
        </w:rPr>
        <w:t>Výročná správa PPA za rok 2021</w:t>
      </w:r>
      <w:r w:rsidR="00910798">
        <w:rPr>
          <w:rFonts w:ascii="Times New Roman" w:eastAsia="Times New Roman" w:hAnsi="Times New Roman" w:cs="Times New Roman"/>
          <w:sz w:val="24"/>
          <w:szCs w:val="24"/>
          <w:lang w:eastAsia="sk-SK"/>
        </w:rPr>
        <w:t>,</w:t>
      </w:r>
      <w:r w:rsidR="006028D7" w:rsidRPr="00910798">
        <w:rPr>
          <w:rFonts w:ascii="Times New Roman" w:eastAsia="Times New Roman" w:hAnsi="Times New Roman" w:cs="Times New Roman"/>
          <w:sz w:val="24"/>
          <w:szCs w:val="24"/>
          <w:lang w:eastAsia="sk-SK"/>
        </w:rPr>
        <w:t xml:space="preserve"> </w:t>
      </w:r>
      <w:hyperlink r:id="rId11" w:history="1">
        <w:r w:rsidR="00B33DBC" w:rsidRPr="00910798">
          <w:rPr>
            <w:rFonts w:ascii="Times New Roman" w:eastAsia="Times New Roman" w:hAnsi="Times New Roman" w:cs="Times New Roman"/>
            <w:sz w:val="24"/>
            <w:szCs w:val="24"/>
            <w:lang w:eastAsia="sk-SK"/>
          </w:rPr>
          <w:t>https://www.apa.sk/vyrocne-spravy-ppa</w:t>
        </w:r>
      </w:hyperlink>
      <w:r w:rsidR="00B33DBC" w:rsidRPr="00910798">
        <w:rPr>
          <w:rFonts w:ascii="Times New Roman" w:eastAsia="Times New Roman" w:hAnsi="Times New Roman" w:cs="Times New Roman"/>
          <w:sz w:val="24"/>
          <w:szCs w:val="24"/>
          <w:lang w:eastAsia="sk-SK"/>
        </w:rPr>
        <w:t xml:space="preserve"> (str. 9)</w:t>
      </w:r>
      <w:r>
        <w:rPr>
          <w:rFonts w:ascii="Times New Roman" w:eastAsia="Times New Roman" w:hAnsi="Times New Roman" w:cs="Times New Roman"/>
          <w:sz w:val="24"/>
          <w:szCs w:val="24"/>
          <w:lang w:eastAsia="sk-SK"/>
        </w:rPr>
        <w:t>,</w:t>
      </w:r>
    </w:p>
    <w:p w14:paraId="4F89F56B" w14:textId="4A0CAB43" w:rsidR="00910798" w:rsidRPr="00910798" w:rsidRDefault="00604690" w:rsidP="001211E1">
      <w:pPr>
        <w:pStyle w:val="Odsekzoznamu"/>
        <w:numPr>
          <w:ilvl w:val="0"/>
          <w:numId w:val="23"/>
        </w:numPr>
        <w:jc w:val="both"/>
        <w:rPr>
          <w:rFonts w:eastAsia="Calibri"/>
          <w:bCs/>
          <w:iCs/>
          <w:sz w:val="24"/>
          <w:szCs w:val="24"/>
        </w:rPr>
      </w:pPr>
      <w:r>
        <w:rPr>
          <w:rFonts w:ascii="Times New Roman" w:eastAsia="Calibri" w:hAnsi="Times New Roman" w:cs="Times New Roman"/>
          <w:bCs/>
          <w:iCs/>
          <w:sz w:val="24"/>
          <w:szCs w:val="24"/>
        </w:rPr>
        <w:t>v</w:t>
      </w:r>
      <w:r w:rsidR="00E3450B" w:rsidRPr="00910798">
        <w:rPr>
          <w:rFonts w:ascii="Times New Roman" w:eastAsia="Calibri" w:hAnsi="Times New Roman" w:cs="Times New Roman"/>
          <w:bCs/>
          <w:iCs/>
          <w:sz w:val="24"/>
          <w:szCs w:val="24"/>
        </w:rPr>
        <w:t>plyv na 1 podnik v € –</w:t>
      </w:r>
      <w:r w:rsidR="00E5175C" w:rsidRPr="00910798">
        <w:rPr>
          <w:rFonts w:ascii="Times New Roman" w:eastAsia="Calibri" w:hAnsi="Times New Roman" w:cs="Times New Roman"/>
          <w:bCs/>
          <w:iCs/>
          <w:sz w:val="24"/>
          <w:szCs w:val="24"/>
        </w:rPr>
        <w:t xml:space="preserve"> hodnota 9,82 € na podnik predstavuje úplné hodinové náklady práce za </w:t>
      </w:r>
      <w:r w:rsidR="008B3957" w:rsidRPr="00910798">
        <w:rPr>
          <w:rFonts w:ascii="Times New Roman" w:eastAsia="Calibri" w:hAnsi="Times New Roman" w:cs="Times New Roman"/>
          <w:bCs/>
          <w:iCs/>
          <w:sz w:val="24"/>
          <w:szCs w:val="24"/>
        </w:rPr>
        <w:t>odvetvie poľnohospodárstva</w:t>
      </w:r>
      <w:r w:rsidR="00910798" w:rsidRPr="00910798">
        <w:rPr>
          <w:rFonts w:ascii="Times New Roman" w:eastAsia="Calibri" w:hAnsi="Times New Roman" w:cs="Times New Roman"/>
          <w:bCs/>
          <w:iCs/>
          <w:sz w:val="24"/>
          <w:szCs w:val="24"/>
        </w:rPr>
        <w:t>,</w:t>
      </w:r>
      <w:r w:rsidR="008B3957" w:rsidRPr="00910798">
        <w:rPr>
          <w:rFonts w:ascii="Times New Roman" w:eastAsia="Calibri" w:hAnsi="Times New Roman" w:cs="Times New Roman"/>
          <w:bCs/>
          <w:iCs/>
          <w:sz w:val="24"/>
          <w:szCs w:val="24"/>
        </w:rPr>
        <w:t xml:space="preserve"> lesníctva</w:t>
      </w:r>
      <w:r w:rsidR="00E5175C" w:rsidRPr="00910798">
        <w:rPr>
          <w:rFonts w:ascii="Times New Roman" w:eastAsia="Calibri" w:hAnsi="Times New Roman" w:cs="Times New Roman"/>
          <w:bCs/>
          <w:iCs/>
          <w:sz w:val="24"/>
          <w:szCs w:val="24"/>
        </w:rPr>
        <w:t xml:space="preserve"> a rybolov</w:t>
      </w:r>
      <w:r w:rsidR="008B3957" w:rsidRPr="00910798">
        <w:rPr>
          <w:rFonts w:ascii="Times New Roman" w:eastAsia="Calibri" w:hAnsi="Times New Roman" w:cs="Times New Roman"/>
          <w:bCs/>
          <w:iCs/>
          <w:sz w:val="24"/>
          <w:szCs w:val="24"/>
        </w:rPr>
        <w:t>u</w:t>
      </w:r>
      <w:r w:rsidR="00E5175C" w:rsidRPr="00910798">
        <w:rPr>
          <w:rFonts w:ascii="Times New Roman" w:eastAsia="Calibri" w:hAnsi="Times New Roman" w:cs="Times New Roman"/>
          <w:bCs/>
          <w:iCs/>
          <w:sz w:val="24"/>
          <w:szCs w:val="24"/>
        </w:rPr>
        <w:t xml:space="preserve"> v roku 2020 (podľa ŠÚ SR</w:t>
      </w:r>
      <w:r w:rsidR="008B3957" w:rsidRPr="00910798">
        <w:rPr>
          <w:rFonts w:ascii="Times New Roman" w:eastAsia="Calibri" w:hAnsi="Times New Roman" w:cs="Times New Roman"/>
          <w:bCs/>
          <w:iCs/>
          <w:sz w:val="24"/>
          <w:szCs w:val="24"/>
        </w:rPr>
        <w:t>, údaje za rok 2021 budú aktualizované v novembri 2022</w:t>
      </w:r>
      <w:r w:rsidR="00E5175C" w:rsidRPr="00910798">
        <w:rPr>
          <w:rFonts w:ascii="Times New Roman" w:eastAsia="Calibri" w:hAnsi="Times New Roman" w:cs="Times New Roman"/>
          <w:bCs/>
          <w:iCs/>
          <w:sz w:val="24"/>
          <w:szCs w:val="24"/>
        </w:rPr>
        <w:t>)</w:t>
      </w:r>
      <w:r w:rsidR="008B3957" w:rsidRPr="00910798">
        <w:rPr>
          <w:rFonts w:ascii="Times New Roman" w:eastAsia="Calibri" w:hAnsi="Times New Roman" w:cs="Times New Roman"/>
          <w:bCs/>
          <w:iCs/>
          <w:sz w:val="24"/>
          <w:szCs w:val="24"/>
        </w:rPr>
        <w:t xml:space="preserve">. </w:t>
      </w:r>
      <w:r w:rsidR="006E3B96" w:rsidRPr="00910798">
        <w:rPr>
          <w:rFonts w:ascii="Times New Roman" w:eastAsia="Calibri" w:hAnsi="Times New Roman" w:cs="Times New Roman"/>
          <w:bCs/>
          <w:iCs/>
          <w:sz w:val="24"/>
          <w:szCs w:val="24"/>
        </w:rPr>
        <w:t>Časov</w:t>
      </w:r>
      <w:r w:rsidR="00910798" w:rsidRPr="00910798">
        <w:rPr>
          <w:rFonts w:ascii="Times New Roman" w:eastAsia="Calibri" w:hAnsi="Times New Roman" w:cs="Times New Roman"/>
          <w:bCs/>
          <w:iCs/>
          <w:sz w:val="24"/>
          <w:szCs w:val="24"/>
        </w:rPr>
        <w:t>ú</w:t>
      </w:r>
      <w:r w:rsidR="006E3B96" w:rsidRPr="00910798">
        <w:rPr>
          <w:rFonts w:ascii="Times New Roman" w:eastAsia="Calibri" w:hAnsi="Times New Roman" w:cs="Times New Roman"/>
          <w:bCs/>
          <w:iCs/>
          <w:sz w:val="24"/>
          <w:szCs w:val="24"/>
        </w:rPr>
        <w:t xml:space="preserve"> náročnosť zrušenej povinnosti poskytovať zoznam zvierat k žiadosti o pla</w:t>
      </w:r>
      <w:r w:rsidR="00E3450B" w:rsidRPr="00910798">
        <w:rPr>
          <w:rFonts w:ascii="Times New Roman" w:eastAsia="Calibri" w:hAnsi="Times New Roman" w:cs="Times New Roman"/>
          <w:bCs/>
          <w:iCs/>
          <w:sz w:val="24"/>
          <w:szCs w:val="24"/>
        </w:rPr>
        <w:t>tbu odhadujeme na 30 minút (0,5 </w:t>
      </w:r>
      <w:r w:rsidR="006E3B96" w:rsidRPr="00910798">
        <w:rPr>
          <w:rFonts w:ascii="Times New Roman" w:eastAsia="Calibri" w:hAnsi="Times New Roman" w:cs="Times New Roman"/>
          <w:bCs/>
          <w:iCs/>
          <w:sz w:val="24"/>
          <w:szCs w:val="24"/>
        </w:rPr>
        <w:t>hodiny). Vychádzajúc z uvedeného, hodnota znížených nákladov na</w:t>
      </w:r>
      <w:r w:rsidR="00E3450B" w:rsidRPr="00910798">
        <w:rPr>
          <w:rFonts w:ascii="Times New Roman" w:eastAsia="Calibri" w:hAnsi="Times New Roman" w:cs="Times New Roman"/>
          <w:bCs/>
          <w:iCs/>
          <w:sz w:val="24"/>
          <w:szCs w:val="24"/>
        </w:rPr>
        <w:t xml:space="preserve"> podnik predstavuje 5,00</w:t>
      </w:r>
      <w:r w:rsidR="006E3B96" w:rsidRPr="00910798">
        <w:rPr>
          <w:rFonts w:ascii="Times New Roman" w:eastAsia="Calibri" w:hAnsi="Times New Roman" w:cs="Times New Roman"/>
          <w:bCs/>
          <w:iCs/>
          <w:sz w:val="24"/>
          <w:szCs w:val="24"/>
        </w:rPr>
        <w:t xml:space="preserve"> € ročne.</w:t>
      </w:r>
      <w:r w:rsidR="00910798" w:rsidRPr="00910798">
        <w:rPr>
          <w:rFonts w:ascii="Times New Roman" w:eastAsia="Calibri" w:hAnsi="Times New Roman" w:cs="Times New Roman"/>
          <w:bCs/>
          <w:iCs/>
          <w:sz w:val="24"/>
          <w:szCs w:val="24"/>
        </w:rPr>
        <w:t xml:space="preserve"> </w:t>
      </w:r>
    </w:p>
    <w:p w14:paraId="6A364E8F" w14:textId="15B4AE28" w:rsidR="00852ED9" w:rsidRPr="00910798" w:rsidRDefault="00801CC2" w:rsidP="00604690">
      <w:pPr>
        <w:pStyle w:val="Odsekzoznamu"/>
        <w:spacing w:after="0"/>
        <w:jc w:val="both"/>
        <w:rPr>
          <w:rFonts w:ascii="Times New Roman" w:eastAsia="Calibri" w:hAnsi="Times New Roman" w:cs="Times New Roman"/>
          <w:bCs/>
          <w:iCs/>
          <w:sz w:val="24"/>
          <w:szCs w:val="24"/>
        </w:rPr>
      </w:pPr>
      <w:hyperlink r:id="rId12" w:anchor="!/view/sk/VBD_SLOVSTAT/np2008rs/v_np2008rs_00_00_00_sk" w:history="1">
        <w:r w:rsidR="00852ED9" w:rsidRPr="00910798">
          <w:rPr>
            <w:rFonts w:ascii="Times New Roman" w:hAnsi="Times New Roman" w:cs="Times New Roman"/>
          </w:rPr>
          <w:t>http://datacube.statistics.sk/#!/view/sk/VBD_SLOVSTAT/np2008rs/v_np2008rs_00_00_00_sk</w:t>
        </w:r>
      </w:hyperlink>
    </w:p>
    <w:p w14:paraId="5D88828A" w14:textId="10B154D2" w:rsidR="00B33DBC" w:rsidRPr="003715EB" w:rsidRDefault="00B33DBC" w:rsidP="00640AD6">
      <w:pPr>
        <w:jc w:val="both"/>
        <w:rPr>
          <w:rFonts w:eastAsia="Calibri"/>
          <w:bCs/>
          <w:iCs/>
          <w:sz w:val="24"/>
          <w:szCs w:val="24"/>
        </w:rPr>
      </w:pPr>
    </w:p>
    <w:p w14:paraId="272674F7" w14:textId="77777777" w:rsidR="00640AD6" w:rsidRPr="003715EB" w:rsidRDefault="00640AD6" w:rsidP="00640AD6">
      <w:pPr>
        <w:jc w:val="both"/>
        <w:rPr>
          <w:rFonts w:eastAsia="Calibri"/>
          <w:b/>
          <w:sz w:val="24"/>
          <w:szCs w:val="24"/>
        </w:rPr>
      </w:pPr>
      <w:r w:rsidRPr="003715EB">
        <w:rPr>
          <w:rFonts w:eastAsia="Calibri"/>
          <w:b/>
          <w:sz w:val="24"/>
          <w:szCs w:val="24"/>
        </w:rPr>
        <w:t>3.2 Vyhodnotenie konzultácií s podnikateľskými subjektmi pred predbežným pripomienkovým konaním</w:t>
      </w:r>
    </w:p>
    <w:p w14:paraId="0961EF24" w14:textId="3386E80B" w:rsidR="00640AD6" w:rsidRPr="003715EB" w:rsidRDefault="00640AD6" w:rsidP="00640AD6">
      <w:pPr>
        <w:jc w:val="both"/>
        <w:rPr>
          <w:rFonts w:eastAsia="Calibri"/>
          <w:sz w:val="24"/>
          <w:szCs w:val="24"/>
        </w:rPr>
      </w:pPr>
      <w:r w:rsidRPr="003715EB">
        <w:rPr>
          <w:rFonts w:eastAsia="Calibri"/>
          <w:sz w:val="24"/>
          <w:szCs w:val="24"/>
        </w:rPr>
        <w:t>Predbežná informácia bola uverejnená</w:t>
      </w:r>
      <w:r w:rsidR="00C25C60" w:rsidRPr="003715EB">
        <w:rPr>
          <w:rFonts w:eastAsia="Calibri"/>
          <w:sz w:val="24"/>
          <w:szCs w:val="24"/>
        </w:rPr>
        <w:t xml:space="preserve"> na portáli Slov-lex pod číslom </w:t>
      </w:r>
      <w:r w:rsidR="00883AC2" w:rsidRPr="003715EB">
        <w:rPr>
          <w:rFonts w:eastAsia="Calibri"/>
          <w:sz w:val="24"/>
          <w:szCs w:val="24"/>
        </w:rPr>
        <w:t>PI/2022/68</w:t>
      </w:r>
      <w:r w:rsidR="002766B9" w:rsidRPr="003715EB">
        <w:rPr>
          <w:rFonts w:eastAsia="Calibri"/>
          <w:sz w:val="24"/>
          <w:szCs w:val="24"/>
        </w:rPr>
        <w:t xml:space="preserve">. </w:t>
      </w:r>
      <w:r w:rsidRPr="003715EB">
        <w:rPr>
          <w:rFonts w:eastAsia="Calibri"/>
          <w:sz w:val="24"/>
          <w:szCs w:val="24"/>
        </w:rPr>
        <w:t>Podklad na konzultá</w:t>
      </w:r>
      <w:r w:rsidR="002766B9" w:rsidRPr="003715EB">
        <w:rPr>
          <w:rFonts w:eastAsia="Calibri"/>
          <w:sz w:val="24"/>
          <w:szCs w:val="24"/>
        </w:rPr>
        <w:t xml:space="preserve">cie bol zároveň uverejnený dňa </w:t>
      </w:r>
      <w:r w:rsidR="001E6DC0" w:rsidRPr="003715EB">
        <w:rPr>
          <w:rFonts w:eastAsia="Calibri"/>
          <w:sz w:val="24"/>
          <w:szCs w:val="24"/>
        </w:rPr>
        <w:t>0</w:t>
      </w:r>
      <w:r w:rsidR="002766B9" w:rsidRPr="003715EB">
        <w:rPr>
          <w:rFonts w:eastAsia="Calibri"/>
          <w:sz w:val="24"/>
          <w:szCs w:val="24"/>
        </w:rPr>
        <w:t>7.</w:t>
      </w:r>
      <w:r w:rsidR="001E6DC0" w:rsidRPr="003715EB">
        <w:rPr>
          <w:rFonts w:eastAsia="Calibri"/>
          <w:sz w:val="24"/>
          <w:szCs w:val="24"/>
        </w:rPr>
        <w:t xml:space="preserve"> 0</w:t>
      </w:r>
      <w:r w:rsidR="002766B9" w:rsidRPr="003715EB">
        <w:rPr>
          <w:rFonts w:eastAsia="Calibri"/>
          <w:sz w:val="24"/>
          <w:szCs w:val="24"/>
        </w:rPr>
        <w:t>4.</w:t>
      </w:r>
      <w:r w:rsidR="001E6DC0" w:rsidRPr="003715EB">
        <w:rPr>
          <w:rFonts w:eastAsia="Calibri"/>
          <w:sz w:val="24"/>
          <w:szCs w:val="24"/>
        </w:rPr>
        <w:t xml:space="preserve"> </w:t>
      </w:r>
      <w:r w:rsidR="002766B9" w:rsidRPr="003715EB">
        <w:rPr>
          <w:rFonts w:eastAsia="Calibri"/>
          <w:sz w:val="24"/>
          <w:szCs w:val="24"/>
        </w:rPr>
        <w:t>2022</w:t>
      </w:r>
      <w:r w:rsidRPr="003715EB">
        <w:rPr>
          <w:rFonts w:eastAsia="Calibri"/>
          <w:sz w:val="24"/>
          <w:szCs w:val="24"/>
        </w:rPr>
        <w:t xml:space="preserve"> na webovom sídle predkladateľa </w:t>
      </w:r>
      <w:r w:rsidR="002766B9" w:rsidRPr="003715EB">
        <w:rPr>
          <w:rFonts w:eastAsia="Calibri"/>
          <w:sz w:val="24"/>
          <w:szCs w:val="24"/>
        </w:rPr>
        <w:t xml:space="preserve">s dobou trvania konzultácií od </w:t>
      </w:r>
      <w:r w:rsidR="001E6DC0" w:rsidRPr="003715EB">
        <w:rPr>
          <w:rFonts w:eastAsia="Calibri"/>
          <w:sz w:val="24"/>
          <w:szCs w:val="24"/>
        </w:rPr>
        <w:t>0</w:t>
      </w:r>
      <w:r w:rsidR="002766B9" w:rsidRPr="003715EB">
        <w:rPr>
          <w:rFonts w:eastAsia="Calibri"/>
          <w:sz w:val="24"/>
          <w:szCs w:val="24"/>
        </w:rPr>
        <w:t>7.</w:t>
      </w:r>
      <w:r w:rsidR="001E6DC0" w:rsidRPr="003715EB">
        <w:rPr>
          <w:rFonts w:eastAsia="Calibri"/>
          <w:sz w:val="24"/>
          <w:szCs w:val="24"/>
        </w:rPr>
        <w:t xml:space="preserve"> 0</w:t>
      </w:r>
      <w:r w:rsidR="002766B9" w:rsidRPr="003715EB">
        <w:rPr>
          <w:rFonts w:eastAsia="Calibri"/>
          <w:sz w:val="24"/>
          <w:szCs w:val="24"/>
        </w:rPr>
        <w:t>4.</w:t>
      </w:r>
      <w:r w:rsidR="001E6DC0" w:rsidRPr="003715EB">
        <w:rPr>
          <w:rFonts w:eastAsia="Calibri"/>
          <w:sz w:val="24"/>
          <w:szCs w:val="24"/>
        </w:rPr>
        <w:t xml:space="preserve"> </w:t>
      </w:r>
      <w:r w:rsidR="002766B9" w:rsidRPr="003715EB">
        <w:rPr>
          <w:rFonts w:eastAsia="Calibri"/>
          <w:sz w:val="24"/>
          <w:szCs w:val="24"/>
        </w:rPr>
        <w:t xml:space="preserve">2022 do </w:t>
      </w:r>
      <w:r w:rsidR="001E6DC0" w:rsidRPr="003715EB">
        <w:rPr>
          <w:rFonts w:eastAsia="Calibri"/>
          <w:sz w:val="24"/>
          <w:szCs w:val="24"/>
        </w:rPr>
        <w:t>0</w:t>
      </w:r>
      <w:r w:rsidR="002766B9" w:rsidRPr="003715EB">
        <w:rPr>
          <w:rFonts w:eastAsia="Calibri"/>
          <w:sz w:val="24"/>
          <w:szCs w:val="24"/>
        </w:rPr>
        <w:t>7.</w:t>
      </w:r>
      <w:r w:rsidR="001E6DC0" w:rsidRPr="003715EB">
        <w:rPr>
          <w:rFonts w:eastAsia="Calibri"/>
          <w:sz w:val="24"/>
          <w:szCs w:val="24"/>
        </w:rPr>
        <w:t xml:space="preserve"> 0</w:t>
      </w:r>
      <w:r w:rsidR="002766B9" w:rsidRPr="003715EB">
        <w:rPr>
          <w:rFonts w:eastAsia="Calibri"/>
          <w:sz w:val="24"/>
          <w:szCs w:val="24"/>
        </w:rPr>
        <w:t>5.</w:t>
      </w:r>
      <w:r w:rsidR="001E6DC0" w:rsidRPr="003715EB">
        <w:rPr>
          <w:rFonts w:eastAsia="Calibri"/>
          <w:sz w:val="24"/>
          <w:szCs w:val="24"/>
        </w:rPr>
        <w:t xml:space="preserve"> </w:t>
      </w:r>
      <w:r w:rsidR="002766B9" w:rsidRPr="003715EB">
        <w:rPr>
          <w:rFonts w:eastAsia="Calibri"/>
          <w:sz w:val="24"/>
          <w:szCs w:val="24"/>
        </w:rPr>
        <w:t>2022</w:t>
      </w:r>
      <w:r w:rsidRPr="003715EB">
        <w:rPr>
          <w:rFonts w:eastAsia="Calibri"/>
          <w:sz w:val="24"/>
          <w:szCs w:val="24"/>
        </w:rPr>
        <w:t>. O konzultáciu nepožiadali žiadne subjekty.</w:t>
      </w:r>
    </w:p>
    <w:p w14:paraId="0D1FEF87" w14:textId="77777777" w:rsidR="00640AD6" w:rsidRPr="003715EB" w:rsidRDefault="00640AD6" w:rsidP="00640AD6">
      <w:pPr>
        <w:jc w:val="both"/>
        <w:rPr>
          <w:rFonts w:eastAsia="Calibri"/>
          <w:i/>
          <w:sz w:val="24"/>
          <w:szCs w:val="24"/>
        </w:rPr>
      </w:pPr>
    </w:p>
    <w:p w14:paraId="1D34D168" w14:textId="690CB599" w:rsidR="00640AD6" w:rsidRPr="003715EB" w:rsidRDefault="00640AD6" w:rsidP="00640AD6">
      <w:pPr>
        <w:jc w:val="both"/>
        <w:rPr>
          <w:rFonts w:eastAsia="Calibri"/>
          <w:b/>
          <w:sz w:val="24"/>
          <w:szCs w:val="24"/>
        </w:rPr>
      </w:pPr>
      <w:bookmarkStart w:id="1" w:name="_Hlk47698091"/>
      <w:r w:rsidRPr="003715EB">
        <w:rPr>
          <w:rFonts w:eastAsia="Calibri"/>
          <w:b/>
          <w:sz w:val="24"/>
          <w:szCs w:val="24"/>
        </w:rPr>
        <w:t>3.3 Vplyvy na konkurencieschopnosť a </w:t>
      </w:r>
      <w:r w:rsidR="00910798">
        <w:rPr>
          <w:rFonts w:eastAsia="Calibri"/>
          <w:b/>
          <w:sz w:val="24"/>
          <w:szCs w:val="24"/>
        </w:rPr>
        <w:t>p</w:t>
      </w:r>
      <w:r w:rsidRPr="003715EB">
        <w:rPr>
          <w:rFonts w:eastAsia="Calibri"/>
          <w:b/>
          <w:sz w:val="24"/>
          <w:szCs w:val="24"/>
        </w:rPr>
        <w:t>roduktivitu</w:t>
      </w:r>
    </w:p>
    <w:bookmarkEnd w:id="1"/>
    <w:p w14:paraId="0E524193" w14:textId="77777777" w:rsidR="00640AD6" w:rsidRPr="003715EB" w:rsidRDefault="00640AD6" w:rsidP="00640AD6">
      <w:pPr>
        <w:jc w:val="both"/>
        <w:rPr>
          <w:rFonts w:eastAsia="Calibri"/>
          <w:i/>
          <w:sz w:val="24"/>
          <w:szCs w:val="24"/>
        </w:rPr>
      </w:pPr>
      <w:r w:rsidRPr="003715EB">
        <w:rPr>
          <w:rFonts w:eastAsia="Calibri"/>
          <w:i/>
          <w:sz w:val="24"/>
          <w:szCs w:val="24"/>
        </w:rPr>
        <w:t xml:space="preserve">Dochádza k vytvoreniu resp. k zmene bariér na trhu? </w:t>
      </w:r>
    </w:p>
    <w:p w14:paraId="04AA6020" w14:textId="77777777" w:rsidR="00640AD6" w:rsidRPr="003715EB" w:rsidRDefault="00640AD6" w:rsidP="00640AD6">
      <w:pPr>
        <w:jc w:val="both"/>
        <w:rPr>
          <w:rFonts w:eastAsia="Calibri"/>
          <w:i/>
          <w:sz w:val="24"/>
          <w:szCs w:val="24"/>
        </w:rPr>
      </w:pPr>
      <w:r w:rsidRPr="003715EB">
        <w:rPr>
          <w:rFonts w:eastAsia="Calibri"/>
          <w:i/>
          <w:sz w:val="24"/>
          <w:szCs w:val="24"/>
        </w:rPr>
        <w:lastRenderedPageBreak/>
        <w:t xml:space="preserve">Bude sa s niektorými podnikmi alebo produktmi zaobchádzať v porovnateľnej situácii rôzne (napr. špeciálne režimy pre mikro, malé a stredné podniky tzv. MSP)? </w:t>
      </w:r>
    </w:p>
    <w:p w14:paraId="17365630" w14:textId="77777777" w:rsidR="00640AD6" w:rsidRPr="003715EB" w:rsidRDefault="00640AD6" w:rsidP="00640AD6">
      <w:pPr>
        <w:jc w:val="both"/>
        <w:rPr>
          <w:rFonts w:eastAsia="Calibri"/>
          <w:i/>
          <w:sz w:val="24"/>
          <w:szCs w:val="24"/>
        </w:rPr>
      </w:pPr>
      <w:r w:rsidRPr="003715EB">
        <w:rPr>
          <w:rFonts w:eastAsia="Calibri"/>
          <w:i/>
          <w:sz w:val="24"/>
          <w:szCs w:val="24"/>
        </w:rPr>
        <w:t xml:space="preserve">Ovplyvňuje zmena regulácie cezhraničné investície (príliv/odliv zahraničných investícií resp. uplatnenie slovenských podnikov na zahraničných trhoch)? </w:t>
      </w:r>
    </w:p>
    <w:p w14:paraId="1A952982" w14:textId="647E5FE9" w:rsidR="00640AD6" w:rsidRPr="003715EB" w:rsidRDefault="00640AD6" w:rsidP="00640AD6">
      <w:pPr>
        <w:jc w:val="both"/>
        <w:rPr>
          <w:rFonts w:eastAsia="Calibri"/>
          <w:i/>
          <w:sz w:val="24"/>
          <w:szCs w:val="24"/>
        </w:rPr>
      </w:pPr>
      <w:r w:rsidRPr="003715EB">
        <w:rPr>
          <w:rFonts w:eastAsia="Calibri"/>
          <w:i/>
          <w:sz w:val="24"/>
          <w:szCs w:val="24"/>
        </w:rPr>
        <w:t>Ovplyvní dostupnosť základných zdrojov (financie, pracovná sila, suroviny, mechanizmy, energie atď.)?</w:t>
      </w:r>
    </w:p>
    <w:p w14:paraId="6766314C" w14:textId="5B64B491" w:rsidR="00640AD6" w:rsidRPr="003715EB" w:rsidRDefault="00640AD6" w:rsidP="00640AD6">
      <w:pPr>
        <w:jc w:val="both"/>
        <w:rPr>
          <w:rFonts w:eastAsia="Calibri"/>
          <w:i/>
          <w:sz w:val="24"/>
          <w:szCs w:val="24"/>
        </w:rPr>
      </w:pPr>
      <w:r w:rsidRPr="003715EB">
        <w:rPr>
          <w:rFonts w:eastAsia="Calibri"/>
          <w:i/>
          <w:sz w:val="24"/>
          <w:szCs w:val="24"/>
        </w:rPr>
        <w:t>Ovplyvňuje zmena regulácie inovácie, vedu a</w:t>
      </w:r>
      <w:r w:rsidR="00910798">
        <w:rPr>
          <w:rFonts w:eastAsia="Calibri"/>
          <w:i/>
          <w:sz w:val="24"/>
          <w:szCs w:val="24"/>
        </w:rPr>
        <w:t xml:space="preserve"> </w:t>
      </w:r>
      <w:r w:rsidRPr="003715EB">
        <w:rPr>
          <w:rFonts w:eastAsia="Calibri"/>
          <w:i/>
          <w:sz w:val="24"/>
          <w:szCs w:val="24"/>
        </w:rPr>
        <w:t>výskum?</w:t>
      </w:r>
    </w:p>
    <w:p w14:paraId="567E1EFA" w14:textId="65A86A5C" w:rsidR="00640AD6" w:rsidRPr="003715EB" w:rsidRDefault="00640AD6" w:rsidP="00640AD6">
      <w:pPr>
        <w:jc w:val="both"/>
        <w:rPr>
          <w:rFonts w:eastAsia="Calibri"/>
          <w:i/>
          <w:sz w:val="24"/>
          <w:szCs w:val="24"/>
        </w:rPr>
      </w:pPr>
      <w:r w:rsidRPr="003715EB">
        <w:rPr>
          <w:rFonts w:eastAsia="Calibri"/>
          <w:i/>
          <w:iCs/>
          <w:sz w:val="24"/>
          <w:szCs w:val="24"/>
        </w:rPr>
        <w:t>Ako prispieva zmena regulácie k</w:t>
      </w:r>
      <w:r w:rsidR="00910798">
        <w:rPr>
          <w:rFonts w:eastAsia="Calibri"/>
          <w:i/>
          <w:iCs/>
          <w:sz w:val="24"/>
          <w:szCs w:val="24"/>
        </w:rPr>
        <w:t xml:space="preserve"> </w:t>
      </w:r>
      <w:r w:rsidRPr="003715EB">
        <w:rPr>
          <w:rFonts w:eastAsia="Calibri"/>
          <w:i/>
          <w:iCs/>
          <w:sz w:val="24"/>
          <w:szCs w:val="24"/>
        </w:rPr>
        <w:t>cieľu Slovenska mať najlepšie podnikateľské prostredie spomedzi susediacich krajín EÚ?</w:t>
      </w:r>
    </w:p>
    <w:p w14:paraId="3F774C04" w14:textId="77777777" w:rsidR="00640AD6" w:rsidRPr="003715EB" w:rsidRDefault="00640AD6" w:rsidP="00640AD6">
      <w:pPr>
        <w:jc w:val="both"/>
        <w:rPr>
          <w:rFonts w:eastAsia="Calibri"/>
          <w:i/>
          <w:sz w:val="24"/>
          <w:szCs w:val="24"/>
        </w:rPr>
      </w:pPr>
    </w:p>
    <w:p w14:paraId="5EABFE35" w14:textId="77777777" w:rsidR="00640AD6" w:rsidRPr="003715EB" w:rsidRDefault="00640AD6" w:rsidP="00640AD6">
      <w:pPr>
        <w:jc w:val="both"/>
        <w:rPr>
          <w:rFonts w:eastAsia="Calibri"/>
          <w:b/>
          <w:i/>
          <w:sz w:val="24"/>
          <w:szCs w:val="24"/>
        </w:rPr>
      </w:pPr>
      <w:r w:rsidRPr="003715EB">
        <w:rPr>
          <w:rFonts w:eastAsia="Calibri"/>
          <w:b/>
          <w:i/>
          <w:sz w:val="24"/>
          <w:szCs w:val="24"/>
        </w:rPr>
        <w:t>Konkurencieschopnosť:</w:t>
      </w:r>
    </w:p>
    <w:p w14:paraId="07441F68" w14:textId="77777777" w:rsidR="00640AD6" w:rsidRPr="003715EB" w:rsidRDefault="00640AD6" w:rsidP="00640AD6">
      <w:pPr>
        <w:jc w:val="both"/>
        <w:rPr>
          <w:rFonts w:eastAsia="Calibri"/>
          <w:i/>
          <w:sz w:val="24"/>
          <w:szCs w:val="24"/>
        </w:rPr>
      </w:pPr>
      <w:r w:rsidRPr="003715EB">
        <w:rPr>
          <w:rFonts w:eastAsia="Calibri"/>
          <w:i/>
          <w:sz w:val="24"/>
          <w:szCs w:val="24"/>
        </w:rPr>
        <w:t>Na základe uvedených odpovedí zaškrtnite a popíšte, či materiál konkurencieschopnosť:</w:t>
      </w:r>
    </w:p>
    <w:p w14:paraId="5B759EB0" w14:textId="58E85F8F" w:rsidR="00640AD6" w:rsidRPr="003715EB" w:rsidRDefault="00801CC2" w:rsidP="00640AD6">
      <w:pPr>
        <w:jc w:val="both"/>
        <w:rPr>
          <w:rFonts w:eastAsia="Calibri"/>
          <w:i/>
          <w:sz w:val="24"/>
          <w:szCs w:val="24"/>
        </w:rPr>
      </w:pPr>
      <w:sdt>
        <w:sdtPr>
          <w:rPr>
            <w:rFonts w:eastAsia="Calibri"/>
            <w:i/>
            <w:sz w:val="24"/>
            <w:szCs w:val="24"/>
          </w:rPr>
          <w:id w:val="798576880"/>
        </w:sdtPr>
        <w:sdtEndPr/>
        <w:sdtContent>
          <w:sdt>
            <w:sdtPr>
              <w:rPr>
                <w:rFonts w:eastAsia="Calibri"/>
                <w:i/>
                <w:sz w:val="24"/>
                <w:szCs w:val="24"/>
              </w:rPr>
              <w:id w:val="1729873660"/>
            </w:sdtPr>
            <w:sdtEndPr/>
            <w:sdtContent>
              <w:r w:rsidR="00640AD6" w:rsidRPr="003715EB">
                <w:rPr>
                  <w:rFonts w:ascii="Segoe UI Symbol" w:eastAsia="Calibri" w:hAnsi="Segoe UI Symbol" w:cs="Segoe UI Symbol"/>
                  <w:i/>
                  <w:sz w:val="24"/>
                  <w:szCs w:val="24"/>
                </w:rPr>
                <w:t>☐</w:t>
              </w:r>
            </w:sdtContent>
          </w:sdt>
        </w:sdtContent>
      </w:sdt>
      <w:r w:rsidR="00640AD6" w:rsidRPr="003715EB">
        <w:rPr>
          <w:rFonts w:eastAsia="Calibri"/>
          <w:i/>
          <w:sz w:val="24"/>
          <w:szCs w:val="24"/>
        </w:rPr>
        <w:t xml:space="preserve"> zvyšuje</w:t>
      </w:r>
      <w:r w:rsidR="005C4986" w:rsidRPr="003715EB">
        <w:rPr>
          <w:rFonts w:eastAsia="Calibri"/>
          <w:i/>
          <w:sz w:val="24"/>
          <w:szCs w:val="24"/>
        </w:rPr>
        <w:t xml:space="preserve"> </w:t>
      </w:r>
      <w:r w:rsidR="00640AD6" w:rsidRPr="003715EB">
        <w:rPr>
          <w:rFonts w:eastAsia="Calibri"/>
          <w:i/>
          <w:sz w:val="24"/>
          <w:szCs w:val="24"/>
        </w:rPr>
        <w:tab/>
      </w:r>
      <w:sdt>
        <w:sdtPr>
          <w:rPr>
            <w:i/>
            <w:sz w:val="24"/>
            <w:szCs w:val="24"/>
          </w:rPr>
          <w:id w:val="-386717170"/>
          <w14:checkbox>
            <w14:checked w14:val="1"/>
            <w14:checkedState w14:val="2612" w14:font="MS Gothic"/>
            <w14:uncheckedState w14:val="2610" w14:font="MS Gothic"/>
          </w14:checkbox>
        </w:sdtPr>
        <w:sdtEndPr/>
        <w:sdtContent>
          <w:r w:rsidR="00640AD6" w:rsidRPr="003715EB">
            <w:rPr>
              <w:rFonts w:ascii="Segoe UI Symbol" w:eastAsia="MS Gothic" w:hAnsi="Segoe UI Symbol" w:cs="Segoe UI Symbol"/>
              <w:i/>
              <w:sz w:val="24"/>
              <w:szCs w:val="24"/>
            </w:rPr>
            <w:t>☒</w:t>
          </w:r>
        </w:sdtContent>
      </w:sdt>
      <w:r w:rsidR="00640AD6" w:rsidRPr="003715EB" w:rsidDel="004B47F7">
        <w:rPr>
          <w:rFonts w:eastAsia="Calibri"/>
          <w:i/>
          <w:sz w:val="24"/>
          <w:szCs w:val="24"/>
        </w:rPr>
        <w:t xml:space="preserve"> </w:t>
      </w:r>
      <w:r w:rsidR="00640AD6" w:rsidRPr="003715EB">
        <w:rPr>
          <w:rFonts w:eastAsia="Calibri"/>
          <w:i/>
          <w:sz w:val="24"/>
          <w:szCs w:val="24"/>
        </w:rPr>
        <w:t>nemení</w:t>
      </w:r>
      <w:r w:rsidR="00640AD6" w:rsidRPr="003715EB">
        <w:rPr>
          <w:rFonts w:eastAsia="Calibri"/>
          <w:i/>
          <w:sz w:val="24"/>
          <w:szCs w:val="24"/>
        </w:rPr>
        <w:tab/>
      </w:r>
      <w:sdt>
        <w:sdtPr>
          <w:rPr>
            <w:rFonts w:eastAsia="Calibri"/>
            <w:i/>
            <w:sz w:val="24"/>
            <w:szCs w:val="24"/>
          </w:rPr>
          <w:id w:val="-474604883"/>
        </w:sdtPr>
        <w:sdtEndPr/>
        <w:sdtContent>
          <w:sdt>
            <w:sdtPr>
              <w:rPr>
                <w:rFonts w:eastAsia="Calibri"/>
                <w:i/>
                <w:sz w:val="24"/>
                <w:szCs w:val="24"/>
              </w:rPr>
              <w:id w:val="-1706551548"/>
            </w:sdtPr>
            <w:sdtEndPr/>
            <w:sdtContent>
              <w:r w:rsidR="00640AD6" w:rsidRPr="003715EB">
                <w:rPr>
                  <w:rFonts w:ascii="Segoe UI Symbol" w:eastAsia="Calibri" w:hAnsi="Segoe UI Symbol" w:cs="Segoe UI Symbol"/>
                  <w:i/>
                  <w:sz w:val="24"/>
                  <w:szCs w:val="24"/>
                </w:rPr>
                <w:t>☐</w:t>
              </w:r>
            </w:sdtContent>
          </w:sdt>
        </w:sdtContent>
      </w:sdt>
      <w:r w:rsidR="00640AD6" w:rsidRPr="003715EB">
        <w:rPr>
          <w:rFonts w:eastAsia="Calibri"/>
          <w:i/>
          <w:sz w:val="24"/>
          <w:szCs w:val="24"/>
        </w:rPr>
        <w:t xml:space="preserve"> znižuje</w:t>
      </w:r>
    </w:p>
    <w:p w14:paraId="4A55B1D5" w14:textId="77777777" w:rsidR="00640AD6" w:rsidRPr="003715EB" w:rsidRDefault="00640AD6" w:rsidP="00640AD6">
      <w:pPr>
        <w:jc w:val="both"/>
        <w:rPr>
          <w:rFonts w:eastAsia="Calibri"/>
          <w:i/>
          <w:sz w:val="24"/>
          <w:szCs w:val="24"/>
        </w:rPr>
      </w:pPr>
    </w:p>
    <w:p w14:paraId="549427CC" w14:textId="77777777" w:rsidR="00640AD6" w:rsidRPr="003715EB" w:rsidRDefault="00640AD6" w:rsidP="00640AD6">
      <w:pPr>
        <w:jc w:val="both"/>
        <w:rPr>
          <w:rFonts w:eastAsia="Calibri"/>
          <w:b/>
          <w:i/>
          <w:sz w:val="24"/>
          <w:szCs w:val="24"/>
        </w:rPr>
      </w:pPr>
      <w:r w:rsidRPr="003715EB">
        <w:rPr>
          <w:rFonts w:eastAsia="Calibri"/>
          <w:b/>
          <w:i/>
          <w:sz w:val="24"/>
          <w:szCs w:val="24"/>
        </w:rPr>
        <w:t>Produktivita:</w:t>
      </w:r>
    </w:p>
    <w:p w14:paraId="52C79AC5" w14:textId="77777777" w:rsidR="00640AD6" w:rsidRPr="003715EB" w:rsidRDefault="00640AD6" w:rsidP="00640AD6">
      <w:pPr>
        <w:jc w:val="both"/>
        <w:rPr>
          <w:rFonts w:eastAsia="Calibri"/>
          <w:i/>
          <w:sz w:val="24"/>
          <w:szCs w:val="24"/>
        </w:rPr>
      </w:pPr>
      <w:r w:rsidRPr="003715EB">
        <w:rPr>
          <w:rFonts w:eastAsia="Calibri"/>
          <w:i/>
          <w:sz w:val="24"/>
          <w:szCs w:val="24"/>
        </w:rPr>
        <w:t xml:space="preserve">Aký má materiál vplyv na zmenu pomeru medzi produkciou podnikov a ich nákladmi? </w:t>
      </w:r>
    </w:p>
    <w:p w14:paraId="4E89535A" w14:textId="77777777" w:rsidR="00640AD6" w:rsidRPr="003715EB" w:rsidRDefault="00640AD6" w:rsidP="00640AD6">
      <w:pPr>
        <w:jc w:val="both"/>
        <w:rPr>
          <w:rFonts w:eastAsia="Calibri"/>
          <w:i/>
          <w:sz w:val="24"/>
          <w:szCs w:val="24"/>
        </w:rPr>
      </w:pPr>
    </w:p>
    <w:p w14:paraId="054F9118" w14:textId="77777777" w:rsidR="00640AD6" w:rsidRPr="003715EB" w:rsidRDefault="00640AD6" w:rsidP="00640AD6">
      <w:pPr>
        <w:jc w:val="both"/>
        <w:rPr>
          <w:rFonts w:eastAsia="Calibri"/>
          <w:i/>
          <w:sz w:val="24"/>
          <w:szCs w:val="24"/>
        </w:rPr>
      </w:pPr>
      <w:r w:rsidRPr="003715EB">
        <w:rPr>
          <w:rFonts w:eastAsia="Calibri"/>
          <w:i/>
          <w:sz w:val="24"/>
          <w:szCs w:val="24"/>
        </w:rPr>
        <w:t>Na základe uvedenej odpovede zaškrtnite a popíšte, či materiál produktivitu:</w:t>
      </w:r>
    </w:p>
    <w:p w14:paraId="587E00B0" w14:textId="4A8ABB62" w:rsidR="00640AD6" w:rsidRPr="003715EB" w:rsidRDefault="00801CC2" w:rsidP="00640AD6">
      <w:pPr>
        <w:jc w:val="both"/>
        <w:rPr>
          <w:rFonts w:eastAsia="Calibri"/>
          <w:i/>
          <w:sz w:val="24"/>
          <w:szCs w:val="24"/>
        </w:rPr>
      </w:pPr>
      <w:sdt>
        <w:sdtPr>
          <w:rPr>
            <w:rFonts w:eastAsia="Calibri"/>
            <w:i/>
            <w:sz w:val="24"/>
            <w:szCs w:val="24"/>
          </w:rPr>
          <w:id w:val="-1545903528"/>
        </w:sdtPr>
        <w:sdtEndPr/>
        <w:sdtContent>
          <w:sdt>
            <w:sdtPr>
              <w:rPr>
                <w:rFonts w:eastAsia="Calibri"/>
                <w:i/>
                <w:sz w:val="24"/>
                <w:szCs w:val="24"/>
              </w:rPr>
              <w:id w:val="825715010"/>
            </w:sdtPr>
            <w:sdtEndPr/>
            <w:sdtContent>
              <w:r w:rsidR="00640AD6" w:rsidRPr="003715EB">
                <w:rPr>
                  <w:rFonts w:ascii="Segoe UI Symbol" w:eastAsia="Calibri" w:hAnsi="Segoe UI Symbol" w:cs="Segoe UI Symbol"/>
                  <w:i/>
                  <w:sz w:val="24"/>
                  <w:szCs w:val="24"/>
                </w:rPr>
                <w:t>☐</w:t>
              </w:r>
            </w:sdtContent>
          </w:sdt>
        </w:sdtContent>
      </w:sdt>
      <w:r w:rsidR="00640AD6" w:rsidRPr="003715EB">
        <w:rPr>
          <w:rFonts w:eastAsia="Calibri"/>
          <w:i/>
          <w:sz w:val="24"/>
          <w:szCs w:val="24"/>
        </w:rPr>
        <w:t xml:space="preserve"> zvyšuje</w:t>
      </w:r>
      <w:r w:rsidR="005C4986" w:rsidRPr="003715EB">
        <w:rPr>
          <w:rFonts w:eastAsia="Calibri"/>
          <w:i/>
          <w:sz w:val="24"/>
          <w:szCs w:val="24"/>
        </w:rPr>
        <w:t xml:space="preserve"> </w:t>
      </w:r>
      <w:r w:rsidR="00640AD6" w:rsidRPr="003715EB">
        <w:rPr>
          <w:rFonts w:eastAsia="Calibri"/>
          <w:i/>
          <w:sz w:val="24"/>
          <w:szCs w:val="24"/>
        </w:rPr>
        <w:tab/>
      </w:r>
      <w:sdt>
        <w:sdtPr>
          <w:rPr>
            <w:i/>
            <w:sz w:val="24"/>
            <w:szCs w:val="24"/>
          </w:rPr>
          <w:id w:val="-2142414335"/>
          <w14:checkbox>
            <w14:checked w14:val="1"/>
            <w14:checkedState w14:val="2612" w14:font="MS Gothic"/>
            <w14:uncheckedState w14:val="2610" w14:font="MS Gothic"/>
          </w14:checkbox>
        </w:sdtPr>
        <w:sdtEndPr/>
        <w:sdtContent>
          <w:r w:rsidR="00640AD6" w:rsidRPr="003715EB">
            <w:rPr>
              <w:rFonts w:ascii="Segoe UI Symbol" w:eastAsia="MS Gothic" w:hAnsi="Segoe UI Symbol" w:cs="Segoe UI Symbol"/>
              <w:i/>
              <w:sz w:val="24"/>
              <w:szCs w:val="24"/>
            </w:rPr>
            <w:t>☒</w:t>
          </w:r>
        </w:sdtContent>
      </w:sdt>
      <w:r w:rsidR="00640AD6" w:rsidRPr="003715EB" w:rsidDel="004B47F7">
        <w:rPr>
          <w:rFonts w:eastAsia="Calibri"/>
          <w:i/>
          <w:sz w:val="24"/>
          <w:szCs w:val="24"/>
        </w:rPr>
        <w:t xml:space="preserve"> </w:t>
      </w:r>
      <w:r w:rsidR="00640AD6" w:rsidRPr="003715EB">
        <w:rPr>
          <w:rFonts w:eastAsia="Calibri"/>
          <w:i/>
          <w:sz w:val="24"/>
          <w:szCs w:val="24"/>
        </w:rPr>
        <w:t>nemení</w:t>
      </w:r>
      <w:r w:rsidR="00640AD6" w:rsidRPr="003715EB">
        <w:rPr>
          <w:rFonts w:eastAsia="Calibri"/>
          <w:i/>
          <w:sz w:val="24"/>
          <w:szCs w:val="24"/>
        </w:rPr>
        <w:tab/>
      </w:r>
      <w:sdt>
        <w:sdtPr>
          <w:rPr>
            <w:rFonts w:eastAsia="Calibri"/>
            <w:i/>
            <w:sz w:val="24"/>
            <w:szCs w:val="24"/>
          </w:rPr>
          <w:id w:val="-1457723544"/>
        </w:sdtPr>
        <w:sdtEndPr/>
        <w:sdtContent>
          <w:sdt>
            <w:sdtPr>
              <w:rPr>
                <w:rFonts w:eastAsia="Calibri"/>
                <w:i/>
                <w:sz w:val="24"/>
                <w:szCs w:val="24"/>
              </w:rPr>
              <w:id w:val="-623767955"/>
            </w:sdtPr>
            <w:sdtEndPr/>
            <w:sdtContent>
              <w:r w:rsidR="00640AD6" w:rsidRPr="003715EB">
                <w:rPr>
                  <w:rFonts w:ascii="Segoe UI Symbol" w:eastAsia="Calibri" w:hAnsi="Segoe UI Symbol" w:cs="Segoe UI Symbol"/>
                  <w:i/>
                  <w:sz w:val="24"/>
                  <w:szCs w:val="24"/>
                </w:rPr>
                <w:t>☐</w:t>
              </w:r>
            </w:sdtContent>
          </w:sdt>
        </w:sdtContent>
      </w:sdt>
      <w:r w:rsidR="00640AD6" w:rsidRPr="003715EB">
        <w:rPr>
          <w:rFonts w:eastAsia="Calibri"/>
          <w:i/>
          <w:sz w:val="24"/>
          <w:szCs w:val="24"/>
        </w:rPr>
        <w:t xml:space="preserve"> znižuje</w:t>
      </w:r>
    </w:p>
    <w:p w14:paraId="74ED37E7" w14:textId="77777777" w:rsidR="00640AD6" w:rsidRPr="003715EB" w:rsidRDefault="00640AD6" w:rsidP="00640AD6">
      <w:pPr>
        <w:jc w:val="both"/>
        <w:rPr>
          <w:rFonts w:eastAsia="Calibri"/>
          <w:i/>
          <w:sz w:val="24"/>
          <w:szCs w:val="24"/>
        </w:rPr>
      </w:pPr>
    </w:p>
    <w:p w14:paraId="4B867C33" w14:textId="01FD5DE6" w:rsidR="00640AD6" w:rsidRPr="003715EB" w:rsidRDefault="00640AD6" w:rsidP="00640AD6">
      <w:pPr>
        <w:jc w:val="both"/>
        <w:rPr>
          <w:rFonts w:eastAsia="Calibri"/>
          <w:b/>
          <w:sz w:val="24"/>
          <w:szCs w:val="24"/>
        </w:rPr>
      </w:pPr>
      <w:r w:rsidRPr="003715EB">
        <w:rPr>
          <w:rFonts w:eastAsia="Calibri"/>
          <w:b/>
          <w:sz w:val="24"/>
          <w:szCs w:val="24"/>
        </w:rPr>
        <w:t>3.4</w:t>
      </w:r>
      <w:r w:rsidR="005C4986" w:rsidRPr="003715EB">
        <w:rPr>
          <w:rFonts w:eastAsia="Calibri"/>
          <w:b/>
          <w:sz w:val="24"/>
          <w:szCs w:val="24"/>
        </w:rPr>
        <w:t xml:space="preserve"> </w:t>
      </w:r>
      <w:r w:rsidRPr="003715EB">
        <w:rPr>
          <w:rFonts w:eastAsia="Calibri"/>
          <w:b/>
          <w:sz w:val="24"/>
          <w:szCs w:val="24"/>
        </w:rPr>
        <w:t xml:space="preserve">Iné vplyvy na podnikateľské prostredie </w:t>
      </w:r>
    </w:p>
    <w:p w14:paraId="01577DEF" w14:textId="7DCD55B2" w:rsidR="00640AD6" w:rsidRPr="003715EB" w:rsidRDefault="00640AD6" w:rsidP="00640AD6">
      <w:pPr>
        <w:jc w:val="both"/>
        <w:rPr>
          <w:rFonts w:eastAsia="Calibri"/>
          <w:i/>
          <w:sz w:val="24"/>
          <w:szCs w:val="24"/>
        </w:rPr>
      </w:pPr>
      <w:r w:rsidRPr="003715EB">
        <w:rPr>
          <w:rFonts w:eastAsia="Calibri"/>
          <w:i/>
          <w:sz w:val="24"/>
          <w:szCs w:val="24"/>
        </w:rPr>
        <w:t>Ak má materiál vplyvy na PP, ktoré nemožno zaradiť do predchádzajúcich častí, či už pozitívne alebo negatívne, tu ich uveďte.</w:t>
      </w:r>
      <w:r w:rsidR="005C4986" w:rsidRPr="003715EB">
        <w:rPr>
          <w:rFonts w:eastAsia="Calibri"/>
          <w:i/>
          <w:sz w:val="24"/>
          <w:szCs w:val="24"/>
        </w:rPr>
        <w:t xml:space="preserve"> </w:t>
      </w:r>
      <w:r w:rsidRPr="003715EB">
        <w:rPr>
          <w:rFonts w:eastAsia="Calibri"/>
          <w:i/>
          <w:sz w:val="24"/>
          <w:szCs w:val="24"/>
        </w:rPr>
        <w:t xml:space="preserve">Patria sem: </w:t>
      </w:r>
    </w:p>
    <w:p w14:paraId="1486DF4B" w14:textId="77777777" w:rsidR="00640AD6" w:rsidRPr="003715EB" w:rsidRDefault="00640AD6" w:rsidP="00640AD6">
      <w:pPr>
        <w:pStyle w:val="Odsekzoznamu"/>
        <w:numPr>
          <w:ilvl w:val="0"/>
          <w:numId w:val="17"/>
        </w:numPr>
        <w:spacing w:after="0" w:line="254" w:lineRule="auto"/>
        <w:jc w:val="both"/>
        <w:rPr>
          <w:rFonts w:ascii="Times New Roman" w:eastAsia="Calibri" w:hAnsi="Times New Roman" w:cs="Times New Roman"/>
          <w:i/>
          <w:sz w:val="24"/>
          <w:szCs w:val="24"/>
        </w:rPr>
      </w:pPr>
      <w:r w:rsidRPr="003715EB">
        <w:rPr>
          <w:rFonts w:ascii="Times New Roman" w:eastAsia="Calibri" w:hAnsi="Times New Roman" w:cs="Times New Roman"/>
          <w:i/>
          <w:sz w:val="24"/>
          <w:szCs w:val="24"/>
        </w:rPr>
        <w:t>sankcie alebo pokuty, ako dôsledok porušenia právne záväzných ustanovení;</w:t>
      </w:r>
    </w:p>
    <w:p w14:paraId="1530ECD5" w14:textId="77777777" w:rsidR="00640AD6" w:rsidRPr="003715EB" w:rsidRDefault="00640AD6" w:rsidP="00640AD6">
      <w:pPr>
        <w:pStyle w:val="Odsekzoznamu"/>
        <w:numPr>
          <w:ilvl w:val="0"/>
          <w:numId w:val="17"/>
        </w:numPr>
        <w:spacing w:after="0" w:line="254" w:lineRule="auto"/>
        <w:jc w:val="both"/>
        <w:rPr>
          <w:rFonts w:ascii="Times New Roman" w:eastAsia="Calibri" w:hAnsi="Times New Roman" w:cs="Times New Roman"/>
          <w:i/>
          <w:sz w:val="24"/>
          <w:szCs w:val="24"/>
        </w:rPr>
      </w:pPr>
      <w:r w:rsidRPr="003715EB">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10FA6948" w14:textId="77777777" w:rsidR="00640AD6" w:rsidRPr="003715EB" w:rsidRDefault="00640AD6" w:rsidP="00640AD6">
      <w:pPr>
        <w:pStyle w:val="Odsekzoznamu"/>
        <w:numPr>
          <w:ilvl w:val="0"/>
          <w:numId w:val="17"/>
        </w:numPr>
        <w:spacing w:after="0" w:line="254" w:lineRule="auto"/>
        <w:jc w:val="both"/>
        <w:rPr>
          <w:rFonts w:ascii="Times New Roman" w:eastAsia="Calibri" w:hAnsi="Times New Roman" w:cs="Times New Roman"/>
          <w:i/>
          <w:sz w:val="24"/>
          <w:szCs w:val="24"/>
        </w:rPr>
      </w:pPr>
      <w:r w:rsidRPr="003715EB">
        <w:rPr>
          <w:rFonts w:ascii="Times New Roman" w:eastAsia="Calibri" w:hAnsi="Times New Roman" w:cs="Times New Roman"/>
          <w:i/>
          <w:sz w:val="24"/>
          <w:szCs w:val="24"/>
        </w:rPr>
        <w:t>regulované ceny podľa zákona č. 18/1996 Z. z. o cenách;</w:t>
      </w:r>
    </w:p>
    <w:p w14:paraId="71A5AC55" w14:textId="77777777" w:rsidR="00640AD6" w:rsidRPr="003715EB" w:rsidRDefault="00640AD6" w:rsidP="00640AD6">
      <w:pPr>
        <w:pStyle w:val="Odsekzoznamu"/>
        <w:numPr>
          <w:ilvl w:val="0"/>
          <w:numId w:val="17"/>
        </w:numPr>
        <w:spacing w:after="0" w:line="254" w:lineRule="auto"/>
        <w:jc w:val="both"/>
        <w:rPr>
          <w:rFonts w:ascii="Times New Roman" w:eastAsia="Calibri" w:hAnsi="Times New Roman" w:cs="Times New Roman"/>
          <w:i/>
          <w:sz w:val="24"/>
          <w:szCs w:val="24"/>
        </w:rPr>
      </w:pPr>
      <w:r w:rsidRPr="003715EB">
        <w:rPr>
          <w:rFonts w:ascii="Times New Roman" w:eastAsia="Calibri" w:hAnsi="Times New Roman" w:cs="Times New Roman"/>
          <w:i/>
          <w:sz w:val="24"/>
          <w:szCs w:val="24"/>
        </w:rPr>
        <w:t xml:space="preserve">iné vplyvy, ktoré predpokladá materiál, ale nemožno ich zaradiť do častí 3.1 a 3.3. </w:t>
      </w:r>
    </w:p>
    <w:p w14:paraId="7BD131C6" w14:textId="77777777" w:rsidR="00640AD6" w:rsidRPr="003715EB" w:rsidRDefault="00640AD6" w:rsidP="00640AD6">
      <w:pPr>
        <w:jc w:val="both"/>
        <w:rPr>
          <w:rFonts w:eastAsia="Calibri"/>
          <w:i/>
          <w:sz w:val="24"/>
          <w:szCs w:val="24"/>
        </w:rPr>
      </w:pPr>
    </w:p>
    <w:p w14:paraId="3ABDB97E" w14:textId="0E91F72A" w:rsidR="00774261" w:rsidRPr="003715EB" w:rsidRDefault="00640AD6" w:rsidP="00640AD6">
      <w:pPr>
        <w:jc w:val="both"/>
        <w:rPr>
          <w:rFonts w:eastAsia="Calibri"/>
          <w:sz w:val="24"/>
          <w:szCs w:val="24"/>
        </w:rPr>
      </w:pPr>
      <w:r w:rsidRPr="003715EB">
        <w:rPr>
          <w:rFonts w:eastAsia="Calibri"/>
          <w:sz w:val="24"/>
          <w:szCs w:val="24"/>
        </w:rPr>
        <w:t>Návrhom nariadenia vlády</w:t>
      </w:r>
      <w:r w:rsidR="00253350" w:rsidRPr="003715EB">
        <w:rPr>
          <w:rFonts w:eastAsia="Calibri"/>
          <w:sz w:val="24"/>
          <w:szCs w:val="24"/>
        </w:rPr>
        <w:t xml:space="preserve"> sa</w:t>
      </w:r>
      <w:r w:rsidRPr="003715EB">
        <w:rPr>
          <w:rFonts w:eastAsia="Calibri"/>
          <w:sz w:val="24"/>
          <w:szCs w:val="24"/>
        </w:rPr>
        <w:t xml:space="preserve"> </w:t>
      </w:r>
      <w:r w:rsidR="00253350" w:rsidRPr="003715EB">
        <w:rPr>
          <w:rFonts w:eastAsia="Calibri"/>
          <w:sz w:val="24"/>
          <w:szCs w:val="24"/>
        </w:rPr>
        <w:t>mení a dopĺňa nariadenie vlády Slovenskej republiky č.</w:t>
      </w:r>
      <w:r w:rsidR="00D16A2D" w:rsidRPr="003715EB">
        <w:rPr>
          <w:rFonts w:eastAsia="Calibri"/>
          <w:sz w:val="24"/>
          <w:szCs w:val="24"/>
        </w:rPr>
        <w:t xml:space="preserve"> 152/2013 Z. z. o</w:t>
      </w:r>
      <w:r w:rsidR="00604690">
        <w:rPr>
          <w:rFonts w:eastAsia="Calibri"/>
          <w:sz w:val="24"/>
          <w:szCs w:val="24"/>
        </w:rPr>
        <w:t xml:space="preserve"> </w:t>
      </w:r>
      <w:r w:rsidR="00253350" w:rsidRPr="003715EB">
        <w:rPr>
          <w:rFonts w:eastAsia="Calibri"/>
          <w:sz w:val="24"/>
          <w:szCs w:val="24"/>
        </w:rPr>
        <w:t>podmienkach poskytovania podpory v poľnohospodárstve formou prec</w:t>
      </w:r>
      <w:r w:rsidR="001E6DC0" w:rsidRPr="003715EB">
        <w:rPr>
          <w:rFonts w:eastAsia="Calibri"/>
          <w:sz w:val="24"/>
          <w:szCs w:val="24"/>
        </w:rPr>
        <w:t>hodných vnútroštátnych </w:t>
      </w:r>
      <w:r w:rsidR="00253350" w:rsidRPr="003715EB">
        <w:rPr>
          <w:rFonts w:eastAsia="Calibri"/>
          <w:sz w:val="24"/>
          <w:szCs w:val="24"/>
        </w:rPr>
        <w:t xml:space="preserve">platieb. </w:t>
      </w:r>
      <w:r w:rsidR="009F7060" w:rsidRPr="003715EB">
        <w:rPr>
          <w:rFonts w:eastAsia="Calibri"/>
          <w:sz w:val="24"/>
          <w:szCs w:val="24"/>
        </w:rPr>
        <w:t>Návrhom nariadenia vlády sa</w:t>
      </w:r>
      <w:r w:rsidR="00C25C60" w:rsidRPr="003715EB">
        <w:rPr>
          <w:rFonts w:eastAsia="Calibri"/>
          <w:sz w:val="24"/>
          <w:szCs w:val="24"/>
        </w:rPr>
        <w:t xml:space="preserve"> </w:t>
      </w:r>
      <w:r w:rsidR="009F7060" w:rsidRPr="003715EB">
        <w:rPr>
          <w:rFonts w:eastAsia="Calibri"/>
          <w:sz w:val="24"/>
          <w:szCs w:val="24"/>
        </w:rPr>
        <w:t xml:space="preserve">predpokladajú priame </w:t>
      </w:r>
      <w:r w:rsidR="00E06BA7" w:rsidRPr="003715EB">
        <w:rPr>
          <w:rFonts w:eastAsia="Calibri"/>
          <w:sz w:val="24"/>
          <w:szCs w:val="24"/>
        </w:rPr>
        <w:t>pozitívne a</w:t>
      </w:r>
      <w:r w:rsidR="00604690">
        <w:rPr>
          <w:rFonts w:eastAsia="Calibri"/>
          <w:sz w:val="24"/>
          <w:szCs w:val="24"/>
        </w:rPr>
        <w:t> </w:t>
      </w:r>
      <w:r w:rsidR="00A72923" w:rsidRPr="003715EB">
        <w:rPr>
          <w:rFonts w:eastAsia="Calibri"/>
          <w:sz w:val="24"/>
          <w:szCs w:val="24"/>
        </w:rPr>
        <w:t xml:space="preserve">nepriame </w:t>
      </w:r>
      <w:r w:rsidR="00E06BA7" w:rsidRPr="003715EB">
        <w:rPr>
          <w:rFonts w:eastAsia="Calibri"/>
          <w:sz w:val="24"/>
          <w:szCs w:val="24"/>
        </w:rPr>
        <w:t>negatívne vpl</w:t>
      </w:r>
      <w:r w:rsidR="009F7060" w:rsidRPr="003715EB">
        <w:rPr>
          <w:rFonts w:eastAsia="Calibri"/>
          <w:sz w:val="24"/>
          <w:szCs w:val="24"/>
        </w:rPr>
        <w:t>y</w:t>
      </w:r>
      <w:r w:rsidR="00C25C60" w:rsidRPr="003715EB">
        <w:rPr>
          <w:rFonts w:eastAsia="Calibri"/>
          <w:sz w:val="24"/>
          <w:szCs w:val="24"/>
        </w:rPr>
        <w:t>vy na podnikateľské prostredie.</w:t>
      </w:r>
      <w:r w:rsidR="00A72923" w:rsidRPr="003715EB">
        <w:rPr>
          <w:rFonts w:eastAsia="Calibri"/>
          <w:sz w:val="24"/>
          <w:szCs w:val="24"/>
        </w:rPr>
        <w:t xml:space="preserve"> Pozitívne vplyvy</w:t>
      </w:r>
      <w:r w:rsidR="003715EB" w:rsidRPr="003715EB">
        <w:rPr>
          <w:rFonts w:eastAsia="Calibri"/>
          <w:sz w:val="24"/>
          <w:szCs w:val="24"/>
        </w:rPr>
        <w:t xml:space="preserve"> spočívajú v podobe znižovania administratívnej záťaže a </w:t>
      </w:r>
      <w:r w:rsidR="00103707" w:rsidRPr="003715EB">
        <w:rPr>
          <w:rFonts w:eastAsia="Calibri"/>
          <w:sz w:val="24"/>
          <w:szCs w:val="24"/>
        </w:rPr>
        <w:t>v možnosti poskytovať prechodnú vnútroštátnu pomoc za určitých podmienok a obmedzení</w:t>
      </w:r>
      <w:r w:rsidR="00253350" w:rsidRPr="003715EB">
        <w:rPr>
          <w:rFonts w:eastAsia="Calibri"/>
          <w:sz w:val="24"/>
          <w:szCs w:val="24"/>
        </w:rPr>
        <w:t>,</w:t>
      </w:r>
      <w:r w:rsidR="00A72923" w:rsidRPr="003715EB">
        <w:rPr>
          <w:rFonts w:eastAsia="Calibri"/>
          <w:sz w:val="24"/>
          <w:szCs w:val="24"/>
        </w:rPr>
        <w:t xml:space="preserve"> </w:t>
      </w:r>
      <w:r w:rsidR="00253350" w:rsidRPr="003715EB">
        <w:rPr>
          <w:rFonts w:eastAsia="Calibri"/>
          <w:sz w:val="24"/>
          <w:szCs w:val="24"/>
        </w:rPr>
        <w:t>v niektorých sektoroch poľnohospodárstva, ktorým sa udeľovala prechodná vnútroštátna po</w:t>
      </w:r>
      <w:r w:rsidR="00103707" w:rsidRPr="003715EB">
        <w:rPr>
          <w:rFonts w:eastAsia="Calibri"/>
          <w:sz w:val="24"/>
          <w:szCs w:val="24"/>
        </w:rPr>
        <w:t>moc v období rokov 2015 – 2022,</w:t>
      </w:r>
      <w:r w:rsidR="00253350" w:rsidRPr="003715EB">
        <w:rPr>
          <w:rFonts w:eastAsia="Calibri"/>
          <w:sz w:val="24"/>
          <w:szCs w:val="24"/>
        </w:rPr>
        <w:t xml:space="preserve"> aj v období rokov 2023 – 2027. </w:t>
      </w:r>
      <w:r w:rsidR="00A72923" w:rsidRPr="003715EB">
        <w:rPr>
          <w:rFonts w:eastAsia="Calibri"/>
          <w:sz w:val="24"/>
          <w:szCs w:val="24"/>
        </w:rPr>
        <w:t xml:space="preserve">Za týmto účelom sa návrhom nariadenia vlády stanovujú pravidlá vzťahujúce sa na podporu </w:t>
      </w:r>
      <w:r w:rsidR="00253350" w:rsidRPr="003715EB">
        <w:rPr>
          <w:rFonts w:eastAsia="Calibri"/>
          <w:sz w:val="24"/>
          <w:szCs w:val="24"/>
        </w:rPr>
        <w:t xml:space="preserve">financovanú zo zdrojov štátneho rozpočtu </w:t>
      </w:r>
      <w:r w:rsidR="0021544D" w:rsidRPr="003715EB">
        <w:rPr>
          <w:rFonts w:eastAsia="Calibri"/>
          <w:sz w:val="24"/>
          <w:szCs w:val="24"/>
        </w:rPr>
        <w:t xml:space="preserve">formou </w:t>
      </w:r>
      <w:r w:rsidR="00253350" w:rsidRPr="003715EB">
        <w:rPr>
          <w:rFonts w:eastAsia="Calibri"/>
          <w:sz w:val="24"/>
          <w:szCs w:val="24"/>
        </w:rPr>
        <w:t xml:space="preserve">prechodných vnútroštátnych platieb </w:t>
      </w:r>
      <w:r w:rsidR="00A72923" w:rsidRPr="003715EB">
        <w:rPr>
          <w:rFonts w:eastAsia="Calibri"/>
          <w:sz w:val="24"/>
          <w:szCs w:val="24"/>
        </w:rPr>
        <w:t>vym</w:t>
      </w:r>
      <w:r w:rsidR="0021544D" w:rsidRPr="003715EB">
        <w:rPr>
          <w:rFonts w:eastAsia="Calibri"/>
          <w:sz w:val="24"/>
          <w:szCs w:val="24"/>
        </w:rPr>
        <w:t>e</w:t>
      </w:r>
      <w:r w:rsidR="00103707" w:rsidRPr="003715EB">
        <w:rPr>
          <w:rFonts w:eastAsia="Calibri"/>
          <w:sz w:val="24"/>
          <w:szCs w:val="24"/>
        </w:rPr>
        <w:t>dzených v strategickom pláne spoločnej poľnohospodárskej politiky</w:t>
      </w:r>
      <w:r w:rsidR="0021544D" w:rsidRPr="003715EB">
        <w:rPr>
          <w:rFonts w:eastAsia="Calibri"/>
          <w:sz w:val="24"/>
          <w:szCs w:val="24"/>
        </w:rPr>
        <w:t>, ktorý</w:t>
      </w:r>
      <w:r w:rsidR="00253350" w:rsidRPr="003715EB">
        <w:rPr>
          <w:rFonts w:eastAsia="Calibri"/>
          <w:sz w:val="24"/>
          <w:szCs w:val="24"/>
        </w:rPr>
        <w:t xml:space="preserve"> schváli</w:t>
      </w:r>
      <w:r w:rsidR="00103707" w:rsidRPr="003715EB">
        <w:rPr>
          <w:rFonts w:eastAsia="Calibri"/>
          <w:sz w:val="24"/>
          <w:szCs w:val="24"/>
        </w:rPr>
        <w:t xml:space="preserve"> </w:t>
      </w:r>
      <w:r w:rsidR="00103707" w:rsidRPr="003715EB">
        <w:rPr>
          <w:rFonts w:eastAsia="Calibri"/>
          <w:sz w:val="24"/>
          <w:szCs w:val="24"/>
        </w:rPr>
        <w:lastRenderedPageBreak/>
        <w:t>Európska k</w:t>
      </w:r>
      <w:r w:rsidR="00A72923" w:rsidRPr="003715EB">
        <w:rPr>
          <w:rFonts w:eastAsia="Calibri"/>
          <w:sz w:val="24"/>
          <w:szCs w:val="24"/>
        </w:rPr>
        <w:t>omisia.</w:t>
      </w:r>
      <w:r w:rsidR="00253350" w:rsidRPr="003715EB">
        <w:rPr>
          <w:sz w:val="24"/>
          <w:szCs w:val="24"/>
        </w:rPr>
        <w:t xml:space="preserve"> </w:t>
      </w:r>
      <w:r w:rsidR="005C4986" w:rsidRPr="003715EB">
        <w:rPr>
          <w:rFonts w:eastAsia="Calibri"/>
          <w:sz w:val="24"/>
          <w:szCs w:val="24"/>
        </w:rPr>
        <w:t>Nepriamy negatívny vplyv</w:t>
      </w:r>
      <w:r w:rsidR="001801D1" w:rsidRPr="003715EB">
        <w:rPr>
          <w:rFonts w:eastAsia="Calibri"/>
          <w:sz w:val="24"/>
          <w:szCs w:val="24"/>
        </w:rPr>
        <w:t xml:space="preserve"> predstavuj</w:t>
      </w:r>
      <w:r w:rsidR="00001D29">
        <w:rPr>
          <w:rFonts w:eastAsia="Calibri"/>
          <w:sz w:val="24"/>
          <w:szCs w:val="24"/>
        </w:rPr>
        <w:t xml:space="preserve">ú </w:t>
      </w:r>
      <w:r w:rsidR="00001D29" w:rsidRPr="00001D29">
        <w:rPr>
          <w:rFonts w:eastAsia="Calibri"/>
          <w:sz w:val="24"/>
          <w:szCs w:val="24"/>
        </w:rPr>
        <w:t>maximálne limity na dobytčie jednotky v zmysle nariadenia</w:t>
      </w:r>
      <w:r w:rsidR="00001D29">
        <w:rPr>
          <w:rFonts w:eastAsia="Calibri"/>
          <w:sz w:val="24"/>
          <w:szCs w:val="24"/>
        </w:rPr>
        <w:t xml:space="preserve"> (ES) č. 73/2009</w:t>
      </w:r>
      <w:r w:rsidR="00604690">
        <w:rPr>
          <w:rFonts w:eastAsia="Calibri"/>
          <w:sz w:val="24"/>
          <w:szCs w:val="24"/>
        </w:rPr>
        <w:t xml:space="preserve"> v platnom znení</w:t>
      </w:r>
      <w:r w:rsidR="00001D29">
        <w:rPr>
          <w:rFonts w:eastAsia="Calibri"/>
          <w:sz w:val="24"/>
          <w:szCs w:val="24"/>
        </w:rPr>
        <w:t xml:space="preserve">. </w:t>
      </w:r>
      <w:r w:rsidR="00253350" w:rsidRPr="003715EB">
        <w:rPr>
          <w:rFonts w:eastAsia="Calibri"/>
          <w:sz w:val="24"/>
          <w:szCs w:val="24"/>
        </w:rPr>
        <w:t>V</w:t>
      </w:r>
      <w:r w:rsidR="00BF637A" w:rsidRPr="003715EB">
        <w:rPr>
          <w:rFonts w:eastAsia="Calibri"/>
          <w:sz w:val="24"/>
          <w:szCs w:val="24"/>
        </w:rPr>
        <w:t xml:space="preserve"> tejto súvislosti je však nutné konštatovať, že </w:t>
      </w:r>
      <w:r w:rsidR="00253350" w:rsidRPr="003715EB">
        <w:rPr>
          <w:rFonts w:eastAsia="Calibri"/>
          <w:sz w:val="24"/>
          <w:szCs w:val="24"/>
        </w:rPr>
        <w:t>tieto limity sa uplatnia iba v prípadoch vymedzených navrhovanou právnou úpravou.</w:t>
      </w:r>
    </w:p>
    <w:sectPr w:rsidR="00774261" w:rsidRPr="003715E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14C1" w14:textId="77777777" w:rsidR="005324E0" w:rsidRDefault="005324E0" w:rsidP="00867233">
      <w:r>
        <w:separator/>
      </w:r>
    </w:p>
  </w:endnote>
  <w:endnote w:type="continuationSeparator" w:id="0">
    <w:p w14:paraId="664F5B8F" w14:textId="77777777" w:rsidR="005324E0" w:rsidRDefault="005324E0" w:rsidP="008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569638813"/>
      <w:docPartObj>
        <w:docPartGallery w:val="Page Numbers (Bottom of Page)"/>
        <w:docPartUnique/>
      </w:docPartObj>
    </w:sdtPr>
    <w:sdtEndPr/>
    <w:sdtContent>
      <w:p w14:paraId="71ACAA20" w14:textId="210EE31C" w:rsidR="00640AD6" w:rsidRPr="000D47DF" w:rsidRDefault="00640AD6" w:rsidP="000D47DF">
        <w:pPr>
          <w:pStyle w:val="Pta"/>
          <w:jc w:val="center"/>
          <w:rPr>
            <w:sz w:val="24"/>
          </w:rPr>
        </w:pPr>
        <w:r w:rsidRPr="000D47DF">
          <w:rPr>
            <w:sz w:val="24"/>
          </w:rPr>
          <w:fldChar w:fldCharType="begin"/>
        </w:r>
        <w:r w:rsidRPr="000D47DF">
          <w:rPr>
            <w:sz w:val="24"/>
          </w:rPr>
          <w:instrText>PAGE   \* MERGEFORMAT</w:instrText>
        </w:r>
        <w:r w:rsidRPr="000D47DF">
          <w:rPr>
            <w:sz w:val="24"/>
          </w:rPr>
          <w:fldChar w:fldCharType="separate"/>
        </w:r>
        <w:r w:rsidR="00801CC2">
          <w:rPr>
            <w:noProof/>
            <w:sz w:val="24"/>
          </w:rPr>
          <w:t>14</w:t>
        </w:r>
        <w:r w:rsidRPr="000D47DF">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18418"/>
      <w:docPartObj>
        <w:docPartGallery w:val="Page Numbers (Bottom of Page)"/>
        <w:docPartUnique/>
      </w:docPartObj>
    </w:sdtPr>
    <w:sdtEndPr/>
    <w:sdtContent>
      <w:p w14:paraId="57B19DFF" w14:textId="4025DDC6" w:rsidR="00160E29" w:rsidRDefault="00160E29">
        <w:pPr>
          <w:pStyle w:val="Pta"/>
          <w:jc w:val="center"/>
        </w:pPr>
        <w:r>
          <w:fldChar w:fldCharType="begin"/>
        </w:r>
        <w:r>
          <w:instrText>PAGE   \* MERGEFORMAT</w:instrText>
        </w:r>
        <w:r>
          <w:fldChar w:fldCharType="separate"/>
        </w:r>
        <w:r w:rsidR="00801CC2">
          <w:rPr>
            <w:noProof/>
          </w:rPr>
          <w:t>16</w:t>
        </w:r>
        <w:r>
          <w:fldChar w:fldCharType="end"/>
        </w:r>
      </w:p>
    </w:sdtContent>
  </w:sdt>
  <w:p w14:paraId="2648053C" w14:textId="77777777" w:rsidR="00374EDB" w:rsidRDefault="00801C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3DDFD" w14:textId="77777777" w:rsidR="005324E0" w:rsidRDefault="005324E0" w:rsidP="00867233">
      <w:r>
        <w:separator/>
      </w:r>
    </w:p>
  </w:footnote>
  <w:footnote w:type="continuationSeparator" w:id="0">
    <w:p w14:paraId="2AF50D58" w14:textId="77777777" w:rsidR="005324E0" w:rsidRDefault="005324E0" w:rsidP="0086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F11C" w14:textId="39BEBEB0" w:rsidR="00673DCE" w:rsidRPr="00673DCE" w:rsidRDefault="00673DCE" w:rsidP="00673DCE">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E2"/>
    <w:multiLevelType w:val="hybridMultilevel"/>
    <w:tmpl w:val="AD4858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6F0C57"/>
    <w:multiLevelType w:val="hybridMultilevel"/>
    <w:tmpl w:val="3F5E763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6958F5"/>
    <w:multiLevelType w:val="hybridMultilevel"/>
    <w:tmpl w:val="972CE18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704FA7"/>
    <w:multiLevelType w:val="hybridMultilevel"/>
    <w:tmpl w:val="EF064060"/>
    <w:lvl w:ilvl="0" w:tplc="59CC647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A9138D"/>
    <w:multiLevelType w:val="hybridMultilevel"/>
    <w:tmpl w:val="C054E1C6"/>
    <w:lvl w:ilvl="0" w:tplc="041B000F">
      <w:start w:val="1"/>
      <w:numFmt w:val="decimal"/>
      <w:lvlText w:val="%1."/>
      <w:lvlJc w:val="left"/>
      <w:pPr>
        <w:ind w:left="720" w:hanging="360"/>
      </w:pPr>
    </w:lvl>
    <w:lvl w:ilvl="1" w:tplc="233ADA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E485B"/>
    <w:multiLevelType w:val="hybridMultilevel"/>
    <w:tmpl w:val="FBEC2DE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E7706"/>
    <w:multiLevelType w:val="hybridMultilevel"/>
    <w:tmpl w:val="D6A877FE"/>
    <w:lvl w:ilvl="0" w:tplc="041B0017">
      <w:start w:val="1"/>
      <w:numFmt w:val="lowerLetter"/>
      <w:lvlText w:val="%1)"/>
      <w:lvlJc w:val="left"/>
      <w:pPr>
        <w:ind w:left="1068" w:hanging="360"/>
      </w:pPr>
    </w:lvl>
    <w:lvl w:ilvl="1" w:tplc="B4E89DE2">
      <w:start w:val="8"/>
      <w:numFmt w:val="bullet"/>
      <w:lvlText w:val="-"/>
      <w:lvlJc w:val="left"/>
      <w:pPr>
        <w:ind w:left="1788" w:hanging="360"/>
      </w:pPr>
      <w:rPr>
        <w:rFonts w:ascii="Times New Roman" w:eastAsiaTheme="minorHAnsi" w:hAnsi="Times New Roman" w:cs="Times New Roman" w:hint="default"/>
      </w:r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98839A6"/>
    <w:multiLevelType w:val="hybridMultilevel"/>
    <w:tmpl w:val="8708B5F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DC4ADA"/>
    <w:multiLevelType w:val="hybridMultilevel"/>
    <w:tmpl w:val="97204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F01D64"/>
    <w:multiLevelType w:val="hybridMultilevel"/>
    <w:tmpl w:val="C3FAD070"/>
    <w:lvl w:ilvl="0" w:tplc="041B0017">
      <w:start w:val="9"/>
      <w:numFmt w:val="lowerLetter"/>
      <w:lvlText w:val="%1)"/>
      <w:lvlJc w:val="left"/>
      <w:pPr>
        <w:ind w:left="720" w:hanging="360"/>
      </w:pPr>
      <w:rPr>
        <w:rFonts w:hint="default"/>
      </w:rPr>
    </w:lvl>
    <w:lvl w:ilvl="1" w:tplc="191EEEA8">
      <w:start w:val="1"/>
      <w:numFmt w:val="decimal"/>
      <w:lvlText w:val="(%2)"/>
      <w:lvlJc w:val="left"/>
      <w:pPr>
        <w:ind w:left="653" w:hanging="3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616EA8"/>
    <w:multiLevelType w:val="hybridMultilevel"/>
    <w:tmpl w:val="8FEAA158"/>
    <w:lvl w:ilvl="0" w:tplc="F6920A08">
      <w:start w:val="1"/>
      <w:numFmt w:val="decimal"/>
      <w:lvlText w:val="(%1)"/>
      <w:lvlJc w:val="left"/>
      <w:pPr>
        <w:ind w:left="720" w:hanging="360"/>
      </w:pPr>
      <w:rPr>
        <w:rFonts w:hint="default"/>
      </w:rPr>
    </w:lvl>
    <w:lvl w:ilvl="1" w:tplc="F8BCD8F8">
      <w:start w:val="1"/>
      <w:numFmt w:val="lowerLetter"/>
      <w:lvlText w:val="%2)"/>
      <w:lvlJc w:val="left"/>
      <w:pPr>
        <w:ind w:left="1069" w:hanging="360"/>
      </w:pPr>
      <w:rPr>
        <w:rFonts w:hint="default"/>
      </w:rPr>
    </w:lvl>
    <w:lvl w:ilvl="2" w:tplc="55A2963A">
      <w:start w:val="1"/>
      <w:numFmt w:val="decimal"/>
      <w:lvlText w:val="%3."/>
      <w:lvlJc w:val="left"/>
      <w:pPr>
        <w:ind w:left="1069"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2877AA"/>
    <w:multiLevelType w:val="hybridMultilevel"/>
    <w:tmpl w:val="EF58B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181BAF"/>
    <w:multiLevelType w:val="hybridMultilevel"/>
    <w:tmpl w:val="7B980894"/>
    <w:lvl w:ilvl="0" w:tplc="59CC6478">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318C03F2"/>
    <w:multiLevelType w:val="hybridMultilevel"/>
    <w:tmpl w:val="F04426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8D3EC3"/>
    <w:multiLevelType w:val="hybridMultilevel"/>
    <w:tmpl w:val="1BA27BF2"/>
    <w:lvl w:ilvl="0" w:tplc="59CC647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65751B"/>
    <w:multiLevelType w:val="hybridMultilevel"/>
    <w:tmpl w:val="A8C65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776AA0"/>
    <w:multiLevelType w:val="hybridMultilevel"/>
    <w:tmpl w:val="E7ECE084"/>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F6E7E69"/>
    <w:multiLevelType w:val="hybridMultilevel"/>
    <w:tmpl w:val="208CEC90"/>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EF302C"/>
    <w:multiLevelType w:val="hybridMultilevel"/>
    <w:tmpl w:val="7C6A89EC"/>
    <w:lvl w:ilvl="0" w:tplc="EF36A1C6">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89C6C10"/>
    <w:multiLevelType w:val="hybridMultilevel"/>
    <w:tmpl w:val="D07CCBE2"/>
    <w:lvl w:ilvl="0" w:tplc="EF36A1C6">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1535624"/>
    <w:multiLevelType w:val="hybridMultilevel"/>
    <w:tmpl w:val="E500C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E47BE8"/>
    <w:multiLevelType w:val="hybridMultilevel"/>
    <w:tmpl w:val="673614C2"/>
    <w:lvl w:ilvl="0" w:tplc="8B06DE22">
      <w:start w:val="1"/>
      <w:numFmt w:val="decimal"/>
      <w:lvlText w:val="(%1)"/>
      <w:lvlJc w:val="left"/>
      <w:pPr>
        <w:ind w:left="720" w:hanging="360"/>
      </w:pPr>
      <w:rPr>
        <w:rFonts w:hint="default"/>
      </w:rPr>
    </w:lvl>
    <w:lvl w:ilvl="1" w:tplc="041B0017">
      <w:start w:val="1"/>
      <w:numFmt w:val="lowerLetter"/>
      <w:lvlText w:val="%2)"/>
      <w:lvlJc w:val="left"/>
      <w:pPr>
        <w:ind w:left="1068" w:hanging="360"/>
      </w:pPr>
      <w:rPr>
        <w:rFonts w:hint="default"/>
      </w:rPr>
    </w:lvl>
    <w:lvl w:ilvl="2" w:tplc="EB940C9A">
      <w:start w:val="1"/>
      <w:numFmt w:val="decimal"/>
      <w:lvlText w:val="%3."/>
      <w:lvlJc w:val="left"/>
      <w:pPr>
        <w:ind w:left="1494" w:hanging="360"/>
      </w:pPr>
      <w:rPr>
        <w:rFonts w:hint="default"/>
      </w:rPr>
    </w:lvl>
    <w:lvl w:ilvl="3" w:tplc="86C6D234">
      <w:start w:val="1"/>
      <w:numFmt w:val="lowerRoman"/>
      <w:lvlText w:val="%4."/>
      <w:lvlJc w:val="left"/>
      <w:pPr>
        <w:ind w:left="2279" w:hanging="720"/>
      </w:pPr>
      <w:rPr>
        <w:rFonts w:hint="default"/>
      </w:rPr>
    </w:lvl>
    <w:lvl w:ilvl="4" w:tplc="B4E89DE2">
      <w:start w:val="8"/>
      <w:numFmt w:val="bullet"/>
      <w:lvlText w:val="-"/>
      <w:lvlJc w:val="left"/>
      <w:pPr>
        <w:ind w:left="1635" w:hanging="360"/>
      </w:pPr>
      <w:rPr>
        <w:rFonts w:ascii="Times New Roman" w:eastAsiaTheme="minorHAnsi" w:hAnsi="Times New Roman" w:cs="Times New Roman" w:hint="default"/>
      </w:rPr>
    </w:lvl>
    <w:lvl w:ilvl="5" w:tplc="80DAA938">
      <w:start w:val="1"/>
      <w:numFmt w:val="lowerRoman"/>
      <w:lvlText w:val="%6."/>
      <w:lvlJc w:val="left"/>
      <w:pPr>
        <w:ind w:left="2421" w:hanging="720"/>
      </w:pPr>
      <w:rPr>
        <w:rFonts w:ascii="Times New Roman" w:eastAsiaTheme="minorHAnsi" w:hAnsi="Times New Roman" w:cs="Times New Roman"/>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22"/>
  </w:num>
  <w:num w:numId="5">
    <w:abstractNumId w:val="9"/>
  </w:num>
  <w:num w:numId="6">
    <w:abstractNumId w:val="7"/>
  </w:num>
  <w:num w:numId="7">
    <w:abstractNumId w:val="15"/>
  </w:num>
  <w:num w:numId="8">
    <w:abstractNumId w:val="17"/>
  </w:num>
  <w:num w:numId="9">
    <w:abstractNumId w:val="5"/>
  </w:num>
  <w:num w:numId="10">
    <w:abstractNumId w:val="10"/>
  </w:num>
  <w:num w:numId="11">
    <w:abstractNumId w:val="8"/>
  </w:num>
  <w:num w:numId="12">
    <w:abstractNumId w:val="16"/>
  </w:num>
  <w:num w:numId="13">
    <w:abstractNumId w:val="21"/>
  </w:num>
  <w:num w:numId="14">
    <w:abstractNumId w:val="2"/>
  </w:num>
  <w:num w:numId="15">
    <w:abstractNumId w:val="1"/>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0"/>
  </w:num>
  <w:num w:numId="21">
    <w:abstractNumId w:val="14"/>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D"/>
    <w:rsid w:val="00001D29"/>
    <w:rsid w:val="000074DF"/>
    <w:rsid w:val="00015785"/>
    <w:rsid w:val="00020418"/>
    <w:rsid w:val="00032E84"/>
    <w:rsid w:val="000356C2"/>
    <w:rsid w:val="000612D5"/>
    <w:rsid w:val="00074FB8"/>
    <w:rsid w:val="00083CDA"/>
    <w:rsid w:val="000A46DA"/>
    <w:rsid w:val="000B2CBD"/>
    <w:rsid w:val="000C6C56"/>
    <w:rsid w:val="000D7813"/>
    <w:rsid w:val="000E4151"/>
    <w:rsid w:val="00100E8F"/>
    <w:rsid w:val="00103707"/>
    <w:rsid w:val="00104054"/>
    <w:rsid w:val="00106198"/>
    <w:rsid w:val="00111EF4"/>
    <w:rsid w:val="00131776"/>
    <w:rsid w:val="00160E29"/>
    <w:rsid w:val="001801D1"/>
    <w:rsid w:val="0018067F"/>
    <w:rsid w:val="00191EBA"/>
    <w:rsid w:val="00193C03"/>
    <w:rsid w:val="001A0BC7"/>
    <w:rsid w:val="001A3A9A"/>
    <w:rsid w:val="001A4516"/>
    <w:rsid w:val="001A7E23"/>
    <w:rsid w:val="001B3755"/>
    <w:rsid w:val="001C2FFF"/>
    <w:rsid w:val="001C3DA6"/>
    <w:rsid w:val="001E6DC0"/>
    <w:rsid w:val="00201AF4"/>
    <w:rsid w:val="00211C10"/>
    <w:rsid w:val="0021544D"/>
    <w:rsid w:val="00222BF3"/>
    <w:rsid w:val="00253350"/>
    <w:rsid w:val="00255CBF"/>
    <w:rsid w:val="00255F5F"/>
    <w:rsid w:val="00264770"/>
    <w:rsid w:val="00266700"/>
    <w:rsid w:val="002766B9"/>
    <w:rsid w:val="00287F01"/>
    <w:rsid w:val="002B0886"/>
    <w:rsid w:val="002B2EEB"/>
    <w:rsid w:val="002C4CAC"/>
    <w:rsid w:val="002C6E1F"/>
    <w:rsid w:val="0031069F"/>
    <w:rsid w:val="00313BAF"/>
    <w:rsid w:val="00314F94"/>
    <w:rsid w:val="00320CBC"/>
    <w:rsid w:val="00323596"/>
    <w:rsid w:val="0032522D"/>
    <w:rsid w:val="003629E5"/>
    <w:rsid w:val="003715EB"/>
    <w:rsid w:val="00383AE2"/>
    <w:rsid w:val="00384893"/>
    <w:rsid w:val="00391D48"/>
    <w:rsid w:val="003A30C9"/>
    <w:rsid w:val="003B208D"/>
    <w:rsid w:val="003C5AE5"/>
    <w:rsid w:val="003C6F91"/>
    <w:rsid w:val="003D1CBA"/>
    <w:rsid w:val="003D2750"/>
    <w:rsid w:val="003E04B8"/>
    <w:rsid w:val="003F04A5"/>
    <w:rsid w:val="003F128E"/>
    <w:rsid w:val="00401A76"/>
    <w:rsid w:val="00402830"/>
    <w:rsid w:val="00405C64"/>
    <w:rsid w:val="00411FC6"/>
    <w:rsid w:val="00416304"/>
    <w:rsid w:val="004257C5"/>
    <w:rsid w:val="0043385C"/>
    <w:rsid w:val="00442E87"/>
    <w:rsid w:val="00455C9D"/>
    <w:rsid w:val="00456AF9"/>
    <w:rsid w:val="00456C50"/>
    <w:rsid w:val="00483D45"/>
    <w:rsid w:val="00497F15"/>
    <w:rsid w:val="004B5CA2"/>
    <w:rsid w:val="004C1AAE"/>
    <w:rsid w:val="004E7D44"/>
    <w:rsid w:val="004F734E"/>
    <w:rsid w:val="005153BF"/>
    <w:rsid w:val="00516442"/>
    <w:rsid w:val="0052097D"/>
    <w:rsid w:val="005324E0"/>
    <w:rsid w:val="00546705"/>
    <w:rsid w:val="00547C76"/>
    <w:rsid w:val="00552B3D"/>
    <w:rsid w:val="005742F0"/>
    <w:rsid w:val="005913F9"/>
    <w:rsid w:val="005B1779"/>
    <w:rsid w:val="005B2CA6"/>
    <w:rsid w:val="005B33C9"/>
    <w:rsid w:val="005C4986"/>
    <w:rsid w:val="005D7F4F"/>
    <w:rsid w:val="005F1730"/>
    <w:rsid w:val="005F4B25"/>
    <w:rsid w:val="005F6F06"/>
    <w:rsid w:val="00602113"/>
    <w:rsid w:val="006028D7"/>
    <w:rsid w:val="00604690"/>
    <w:rsid w:val="00611CB0"/>
    <w:rsid w:val="0061685D"/>
    <w:rsid w:val="00622F6F"/>
    <w:rsid w:val="006250CA"/>
    <w:rsid w:val="00634C2C"/>
    <w:rsid w:val="00640AD6"/>
    <w:rsid w:val="00641EDA"/>
    <w:rsid w:val="00646499"/>
    <w:rsid w:val="0066314C"/>
    <w:rsid w:val="006721C3"/>
    <w:rsid w:val="00673DCE"/>
    <w:rsid w:val="006954A0"/>
    <w:rsid w:val="00695E63"/>
    <w:rsid w:val="006A22E9"/>
    <w:rsid w:val="006A3B1E"/>
    <w:rsid w:val="006B591E"/>
    <w:rsid w:val="006B754F"/>
    <w:rsid w:val="006C1673"/>
    <w:rsid w:val="006C64F7"/>
    <w:rsid w:val="006E3B96"/>
    <w:rsid w:val="006F31E5"/>
    <w:rsid w:val="006F6DC3"/>
    <w:rsid w:val="006F71D3"/>
    <w:rsid w:val="00704B4F"/>
    <w:rsid w:val="007223A8"/>
    <w:rsid w:val="00723A56"/>
    <w:rsid w:val="00723D8F"/>
    <w:rsid w:val="007254DC"/>
    <w:rsid w:val="00771FC6"/>
    <w:rsid w:val="00773312"/>
    <w:rsid w:val="007738C4"/>
    <w:rsid w:val="00774261"/>
    <w:rsid w:val="0078144B"/>
    <w:rsid w:val="00783137"/>
    <w:rsid w:val="00784102"/>
    <w:rsid w:val="007B1832"/>
    <w:rsid w:val="007B78B8"/>
    <w:rsid w:val="007E76E8"/>
    <w:rsid w:val="008012D3"/>
    <w:rsid w:val="00801CC2"/>
    <w:rsid w:val="00822EC4"/>
    <w:rsid w:val="008339B9"/>
    <w:rsid w:val="00836BEB"/>
    <w:rsid w:val="00843006"/>
    <w:rsid w:val="00845B8C"/>
    <w:rsid w:val="00850EF5"/>
    <w:rsid w:val="00852ED9"/>
    <w:rsid w:val="00853312"/>
    <w:rsid w:val="00857844"/>
    <w:rsid w:val="008616EA"/>
    <w:rsid w:val="00867233"/>
    <w:rsid w:val="00870C74"/>
    <w:rsid w:val="00877D40"/>
    <w:rsid w:val="00883AC2"/>
    <w:rsid w:val="00891017"/>
    <w:rsid w:val="008A18E3"/>
    <w:rsid w:val="008A30A0"/>
    <w:rsid w:val="008A4770"/>
    <w:rsid w:val="008B3957"/>
    <w:rsid w:val="008B4FD2"/>
    <w:rsid w:val="008B6480"/>
    <w:rsid w:val="008D6A1D"/>
    <w:rsid w:val="008E14F9"/>
    <w:rsid w:val="008F5373"/>
    <w:rsid w:val="0090436B"/>
    <w:rsid w:val="00910366"/>
    <w:rsid w:val="00910798"/>
    <w:rsid w:val="00923C0D"/>
    <w:rsid w:val="00925C35"/>
    <w:rsid w:val="00942104"/>
    <w:rsid w:val="009450B3"/>
    <w:rsid w:val="00950913"/>
    <w:rsid w:val="0095779F"/>
    <w:rsid w:val="00964904"/>
    <w:rsid w:val="00974DB0"/>
    <w:rsid w:val="00984748"/>
    <w:rsid w:val="00994265"/>
    <w:rsid w:val="00995B74"/>
    <w:rsid w:val="009A0160"/>
    <w:rsid w:val="009A39BC"/>
    <w:rsid w:val="009B24F1"/>
    <w:rsid w:val="009B468B"/>
    <w:rsid w:val="009C7BDA"/>
    <w:rsid w:val="009D071A"/>
    <w:rsid w:val="009D3E6D"/>
    <w:rsid w:val="009D48AD"/>
    <w:rsid w:val="009F7060"/>
    <w:rsid w:val="00A03B4B"/>
    <w:rsid w:val="00A03F3E"/>
    <w:rsid w:val="00A1015C"/>
    <w:rsid w:val="00A31B02"/>
    <w:rsid w:val="00A342E2"/>
    <w:rsid w:val="00A44421"/>
    <w:rsid w:val="00A444DB"/>
    <w:rsid w:val="00A559B5"/>
    <w:rsid w:val="00A72923"/>
    <w:rsid w:val="00AA2BB1"/>
    <w:rsid w:val="00AA6B2C"/>
    <w:rsid w:val="00AC6125"/>
    <w:rsid w:val="00AD1532"/>
    <w:rsid w:val="00AD2D51"/>
    <w:rsid w:val="00AE73D8"/>
    <w:rsid w:val="00AF14D2"/>
    <w:rsid w:val="00AF3AA5"/>
    <w:rsid w:val="00B00026"/>
    <w:rsid w:val="00B2053F"/>
    <w:rsid w:val="00B33DBC"/>
    <w:rsid w:val="00B431E2"/>
    <w:rsid w:val="00B43FB8"/>
    <w:rsid w:val="00B570E6"/>
    <w:rsid w:val="00B7655D"/>
    <w:rsid w:val="00B86DD0"/>
    <w:rsid w:val="00B879C2"/>
    <w:rsid w:val="00BA19BC"/>
    <w:rsid w:val="00BA3107"/>
    <w:rsid w:val="00BA3C57"/>
    <w:rsid w:val="00BB6AAF"/>
    <w:rsid w:val="00BD1AD1"/>
    <w:rsid w:val="00BD7F8E"/>
    <w:rsid w:val="00BE670A"/>
    <w:rsid w:val="00BF637A"/>
    <w:rsid w:val="00C007E0"/>
    <w:rsid w:val="00C007E3"/>
    <w:rsid w:val="00C14B48"/>
    <w:rsid w:val="00C25C60"/>
    <w:rsid w:val="00C27A4D"/>
    <w:rsid w:val="00C30603"/>
    <w:rsid w:val="00C313AA"/>
    <w:rsid w:val="00C52BEC"/>
    <w:rsid w:val="00C5584C"/>
    <w:rsid w:val="00C56DEF"/>
    <w:rsid w:val="00C62970"/>
    <w:rsid w:val="00C62C26"/>
    <w:rsid w:val="00C7354A"/>
    <w:rsid w:val="00C8544E"/>
    <w:rsid w:val="00C91B41"/>
    <w:rsid w:val="00C9603C"/>
    <w:rsid w:val="00C962F8"/>
    <w:rsid w:val="00CB4660"/>
    <w:rsid w:val="00CF3142"/>
    <w:rsid w:val="00D038A0"/>
    <w:rsid w:val="00D0503D"/>
    <w:rsid w:val="00D05532"/>
    <w:rsid w:val="00D05952"/>
    <w:rsid w:val="00D07214"/>
    <w:rsid w:val="00D1172A"/>
    <w:rsid w:val="00D16A2D"/>
    <w:rsid w:val="00D32325"/>
    <w:rsid w:val="00D45D3A"/>
    <w:rsid w:val="00D50BAA"/>
    <w:rsid w:val="00D54E49"/>
    <w:rsid w:val="00D63B3F"/>
    <w:rsid w:val="00D67FD4"/>
    <w:rsid w:val="00DA1DC6"/>
    <w:rsid w:val="00DC4ADF"/>
    <w:rsid w:val="00DE3EC4"/>
    <w:rsid w:val="00DE410B"/>
    <w:rsid w:val="00DE7C07"/>
    <w:rsid w:val="00E00F74"/>
    <w:rsid w:val="00E06BA7"/>
    <w:rsid w:val="00E101D6"/>
    <w:rsid w:val="00E135E3"/>
    <w:rsid w:val="00E304E4"/>
    <w:rsid w:val="00E3450B"/>
    <w:rsid w:val="00E5175C"/>
    <w:rsid w:val="00E6393A"/>
    <w:rsid w:val="00E65100"/>
    <w:rsid w:val="00E72DF2"/>
    <w:rsid w:val="00E837FF"/>
    <w:rsid w:val="00EA0700"/>
    <w:rsid w:val="00EA105D"/>
    <w:rsid w:val="00EB140E"/>
    <w:rsid w:val="00EB2006"/>
    <w:rsid w:val="00EF270E"/>
    <w:rsid w:val="00F1748B"/>
    <w:rsid w:val="00F220F1"/>
    <w:rsid w:val="00F25000"/>
    <w:rsid w:val="00F31E01"/>
    <w:rsid w:val="00F63492"/>
    <w:rsid w:val="00F70F0B"/>
    <w:rsid w:val="00FA1C4E"/>
    <w:rsid w:val="00FB48BB"/>
    <w:rsid w:val="00FB793B"/>
    <w:rsid w:val="00FC3B49"/>
    <w:rsid w:val="00FC6465"/>
    <w:rsid w:val="00FD2FC5"/>
    <w:rsid w:val="00FF5D3E"/>
    <w:rsid w:val="00FF6B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27C"/>
  <w15:docId w15:val="{CEF7A1D5-7B35-46EF-947B-8B5681D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A30C9"/>
    <w:pPr>
      <w:keepNext/>
      <w:keepLines/>
      <w:spacing w:before="240" w:line="259" w:lineRule="auto"/>
      <w:outlineLvl w:val="0"/>
    </w:pPr>
    <w:rPr>
      <w:rFonts w:eastAsiaTheme="majorEastAsia" w:cstheme="majorBidi"/>
      <w:b/>
      <w:sz w:val="2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067F"/>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867233"/>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867233"/>
    <w:rPr>
      <w:sz w:val="20"/>
      <w:szCs w:val="20"/>
    </w:rPr>
  </w:style>
  <w:style w:type="character" w:styleId="Odkaznapoznmkupodiarou">
    <w:name w:val="footnote reference"/>
    <w:basedOn w:val="Predvolenpsmoodseku"/>
    <w:uiPriority w:val="99"/>
    <w:semiHidden/>
    <w:unhideWhenUsed/>
    <w:rsid w:val="00867233"/>
    <w:rPr>
      <w:vertAlign w:val="superscript"/>
    </w:rPr>
  </w:style>
  <w:style w:type="character" w:customStyle="1" w:styleId="Nadpis1Char">
    <w:name w:val="Nadpis 1 Char"/>
    <w:basedOn w:val="Predvolenpsmoodseku"/>
    <w:link w:val="Nadpis1"/>
    <w:uiPriority w:val="9"/>
    <w:rsid w:val="003A30C9"/>
    <w:rPr>
      <w:rFonts w:ascii="Times New Roman" w:eastAsiaTheme="majorEastAsia" w:hAnsi="Times New Roman" w:cstheme="majorBidi"/>
      <w:b/>
      <w:szCs w:val="32"/>
    </w:rPr>
  </w:style>
  <w:style w:type="character" w:styleId="Odkaznakomentr">
    <w:name w:val="annotation reference"/>
    <w:basedOn w:val="Predvolenpsmoodseku"/>
    <w:uiPriority w:val="99"/>
    <w:semiHidden/>
    <w:unhideWhenUsed/>
    <w:rsid w:val="00F220F1"/>
    <w:rPr>
      <w:sz w:val="16"/>
      <w:szCs w:val="16"/>
    </w:rPr>
  </w:style>
  <w:style w:type="paragraph" w:styleId="Textkomentra">
    <w:name w:val="annotation text"/>
    <w:basedOn w:val="Normlny"/>
    <w:link w:val="TextkomentraChar"/>
    <w:uiPriority w:val="99"/>
    <w:semiHidden/>
    <w:unhideWhenUsed/>
    <w:rsid w:val="00F220F1"/>
    <w:pPr>
      <w:spacing w:after="16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F220F1"/>
    <w:rPr>
      <w:sz w:val="20"/>
      <w:szCs w:val="20"/>
    </w:rPr>
  </w:style>
  <w:style w:type="paragraph" w:styleId="Predmetkomentra">
    <w:name w:val="annotation subject"/>
    <w:basedOn w:val="Textkomentra"/>
    <w:next w:val="Textkomentra"/>
    <w:link w:val="PredmetkomentraChar"/>
    <w:uiPriority w:val="99"/>
    <w:semiHidden/>
    <w:unhideWhenUsed/>
    <w:rsid w:val="00F220F1"/>
    <w:rPr>
      <w:b/>
      <w:bCs/>
    </w:rPr>
  </w:style>
  <w:style w:type="character" w:customStyle="1" w:styleId="PredmetkomentraChar">
    <w:name w:val="Predmet komentára Char"/>
    <w:basedOn w:val="TextkomentraChar"/>
    <w:link w:val="Predmetkomentra"/>
    <w:uiPriority w:val="99"/>
    <w:semiHidden/>
    <w:rsid w:val="00F220F1"/>
    <w:rPr>
      <w:b/>
      <w:bCs/>
      <w:sz w:val="20"/>
      <w:szCs w:val="20"/>
    </w:rPr>
  </w:style>
  <w:style w:type="paragraph" w:styleId="Textbubliny">
    <w:name w:val="Balloon Text"/>
    <w:basedOn w:val="Normlny"/>
    <w:link w:val="TextbublinyChar"/>
    <w:uiPriority w:val="99"/>
    <w:semiHidden/>
    <w:unhideWhenUsed/>
    <w:rsid w:val="00F220F1"/>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F220F1"/>
    <w:rPr>
      <w:rFonts w:ascii="Segoe UI" w:hAnsi="Segoe UI" w:cs="Segoe UI"/>
      <w:sz w:val="18"/>
      <w:szCs w:val="18"/>
    </w:rPr>
  </w:style>
  <w:style w:type="paragraph" w:styleId="Hlavika">
    <w:name w:val="header"/>
    <w:basedOn w:val="Normlny"/>
    <w:link w:val="HlavikaChar"/>
    <w:uiPriority w:val="99"/>
    <w:unhideWhenUsed/>
    <w:rsid w:val="008F5373"/>
    <w:pPr>
      <w:tabs>
        <w:tab w:val="center" w:pos="4536"/>
        <w:tab w:val="right" w:pos="9072"/>
      </w:tabs>
    </w:pPr>
  </w:style>
  <w:style w:type="character" w:customStyle="1" w:styleId="HlavikaChar">
    <w:name w:val="Hlavička Char"/>
    <w:basedOn w:val="Predvolenpsmoodseku"/>
    <w:link w:val="Hlavika"/>
    <w:uiPriority w:val="99"/>
    <w:rsid w:val="008F537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5373"/>
    <w:pPr>
      <w:tabs>
        <w:tab w:val="center" w:pos="4536"/>
        <w:tab w:val="right" w:pos="9072"/>
      </w:tabs>
    </w:pPr>
  </w:style>
  <w:style w:type="character" w:customStyle="1" w:styleId="PtaChar">
    <w:name w:val="Päta Char"/>
    <w:basedOn w:val="Predvolenpsmoodseku"/>
    <w:link w:val="Pta"/>
    <w:uiPriority w:val="99"/>
    <w:rsid w:val="008F5373"/>
    <w:rPr>
      <w:rFonts w:ascii="Times New Roman" w:eastAsia="Times New Roman" w:hAnsi="Times New Roman" w:cs="Times New Roman"/>
      <w:sz w:val="20"/>
      <w:szCs w:val="20"/>
      <w:lang w:eastAsia="sk-SK"/>
    </w:rPr>
  </w:style>
  <w:style w:type="paragraph" w:customStyle="1" w:styleId="ql-align-justify">
    <w:name w:val="ql-align-justify"/>
    <w:basedOn w:val="Normlny"/>
    <w:rsid w:val="008F5373"/>
    <w:rPr>
      <w:sz w:val="24"/>
      <w:szCs w:val="24"/>
      <w:lang w:val="en-US" w:eastAsia="en-US"/>
    </w:rPr>
  </w:style>
  <w:style w:type="paragraph" w:styleId="Bezriadkovania">
    <w:name w:val="No Spacing"/>
    <w:uiPriority w:val="1"/>
    <w:qFormat/>
    <w:rsid w:val="008F5373"/>
    <w:pPr>
      <w:spacing w:after="0" w:line="240" w:lineRule="auto"/>
    </w:pPr>
    <w:rPr>
      <w:rFonts w:ascii="Times New Roman" w:eastAsia="Times New Roman" w:hAnsi="Times New Roman" w:cs="Times New Roman"/>
      <w:sz w:val="20"/>
      <w:szCs w:val="20"/>
      <w:lang w:eastAsia="sk-SK"/>
    </w:rPr>
  </w:style>
  <w:style w:type="table" w:customStyle="1" w:styleId="Mriekatabuky2">
    <w:name w:val="Mriežka tabuľky2"/>
    <w:basedOn w:val="Normlnatabuka"/>
    <w:next w:val="Mriekatabuky"/>
    <w:uiPriority w:val="5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33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44248">
      <w:bodyDiv w:val="1"/>
      <w:marLeft w:val="0"/>
      <w:marRight w:val="0"/>
      <w:marTop w:val="0"/>
      <w:marBottom w:val="0"/>
      <w:divBdr>
        <w:top w:val="none" w:sz="0" w:space="0" w:color="auto"/>
        <w:left w:val="none" w:sz="0" w:space="0" w:color="auto"/>
        <w:bottom w:val="none" w:sz="0" w:space="0" w:color="auto"/>
        <w:right w:val="none" w:sz="0" w:space="0" w:color="auto"/>
      </w:divBdr>
    </w:div>
    <w:div w:id="15128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cube.statistic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sk/vyrocne-spravy-p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60CF-AA8C-4D0E-8F60-B46E65DC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7248</Characters>
  <Application>Microsoft Office Word</Application>
  <DocSecurity>4</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Pidanič Michal</cp:lastModifiedBy>
  <cp:revision>2</cp:revision>
  <cp:lastPrinted>2022-06-23T09:15:00Z</cp:lastPrinted>
  <dcterms:created xsi:type="dcterms:W3CDTF">2022-11-04T09:59:00Z</dcterms:created>
  <dcterms:modified xsi:type="dcterms:W3CDTF">2022-11-04T09:59:00Z</dcterms:modified>
</cp:coreProperties>
</file>