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8C4C" w14:textId="52541C18" w:rsidR="00640AD6" w:rsidRPr="00986FEA" w:rsidRDefault="00640AD6" w:rsidP="00640AD6">
      <w:pPr>
        <w:jc w:val="center"/>
        <w:rPr>
          <w:rFonts w:eastAsia="Calibri"/>
          <w:b/>
          <w:sz w:val="24"/>
        </w:rPr>
      </w:pPr>
      <w:r w:rsidRPr="00986FEA">
        <w:rPr>
          <w:rFonts w:eastAsia="Calibri"/>
          <w:b/>
          <w:sz w:val="24"/>
        </w:rPr>
        <w:t>Analýza vpl</w:t>
      </w:r>
      <w:r w:rsidR="00EF270E">
        <w:rPr>
          <w:rFonts w:eastAsia="Calibri"/>
          <w:b/>
          <w:sz w:val="24"/>
        </w:rPr>
        <w:t>yvov na podnikateľské prostredi</w:t>
      </w:r>
      <w:r w:rsidR="00A03F3E">
        <w:rPr>
          <w:rFonts w:eastAsia="Calibri"/>
          <w:b/>
          <w:sz w:val="24"/>
        </w:rPr>
        <w:t>e</w:t>
      </w:r>
    </w:p>
    <w:p w14:paraId="4D261AB9" w14:textId="2888083A" w:rsidR="00640AD6" w:rsidRPr="00986FEA" w:rsidRDefault="00640AD6" w:rsidP="00640AD6">
      <w:pPr>
        <w:jc w:val="both"/>
        <w:rPr>
          <w:rFonts w:eastAsia="Calibri"/>
          <w:b/>
        </w:rPr>
      </w:pPr>
      <w:r w:rsidRPr="00986FEA">
        <w:rPr>
          <w:rFonts w:eastAsia="Calibri"/>
          <w:b/>
        </w:rPr>
        <w:t xml:space="preserve">Názov materiálu: </w:t>
      </w:r>
      <w:r w:rsidRPr="00986FEA">
        <w:rPr>
          <w:rFonts w:eastAsia="Calibri"/>
        </w:rPr>
        <w:t>Nariadenie vlády Slovenskej republiky</w:t>
      </w:r>
      <w:r w:rsidR="00BD1AD1">
        <w:rPr>
          <w:rFonts w:eastAsia="Calibri"/>
        </w:rPr>
        <w:t xml:space="preserve">, ktorým </w:t>
      </w:r>
      <w:r w:rsidR="00BD1AD1" w:rsidRPr="00BD1AD1">
        <w:rPr>
          <w:rFonts w:eastAsia="Calibri"/>
        </w:rPr>
        <w:t>sa ustanovujú pravidlá poskytovania podpory v poľnohospodárstve na základe intervencií vo forme priamych platieb</w:t>
      </w:r>
    </w:p>
    <w:p w14:paraId="49DC0040" w14:textId="77777777" w:rsidR="00640AD6" w:rsidRPr="00986FEA" w:rsidRDefault="00640AD6" w:rsidP="00640AD6">
      <w:pPr>
        <w:jc w:val="both"/>
        <w:rPr>
          <w:rFonts w:eastAsia="Calibri"/>
          <w:b/>
        </w:rPr>
      </w:pPr>
      <w:r w:rsidRPr="00986FEA">
        <w:rPr>
          <w:rFonts w:eastAsia="Calibri"/>
          <w:b/>
        </w:rPr>
        <w:t xml:space="preserve">Predkladateľ: </w:t>
      </w:r>
      <w:r w:rsidRPr="00986FEA">
        <w:rPr>
          <w:rFonts w:eastAsia="Calibri"/>
        </w:rPr>
        <w:t>Ministerstvo pôdohospodárstva a rozvoja vidieka Slovenskej republiky</w:t>
      </w:r>
    </w:p>
    <w:p w14:paraId="18027750" w14:textId="77777777" w:rsidR="00640AD6" w:rsidRPr="00986FEA" w:rsidRDefault="00640AD6" w:rsidP="00640AD6">
      <w:pPr>
        <w:jc w:val="both"/>
        <w:rPr>
          <w:rFonts w:eastAsia="Calibri"/>
          <w:b/>
        </w:rPr>
      </w:pPr>
      <w:r w:rsidRPr="00986FEA">
        <w:rPr>
          <w:rFonts w:eastAsia="Calibri"/>
          <w:b/>
        </w:rPr>
        <w:t>3.1 Náklady regulácie</w:t>
      </w:r>
    </w:p>
    <w:p w14:paraId="31A7E64B" w14:textId="77777777" w:rsidR="00640AD6" w:rsidRPr="00986FEA" w:rsidRDefault="00640AD6" w:rsidP="00640AD6">
      <w:pPr>
        <w:tabs>
          <w:tab w:val="left" w:pos="8025"/>
        </w:tabs>
        <w:rPr>
          <w:rFonts w:eastAsia="Calibri"/>
          <w:bCs/>
          <w:i/>
          <w:iCs/>
        </w:rPr>
      </w:pPr>
      <w:r w:rsidRPr="00986FEA">
        <w:rPr>
          <w:rFonts w:eastAsia="Calibri"/>
          <w:b/>
          <w:i/>
          <w:iCs/>
        </w:rPr>
        <w:t xml:space="preserve">3.1.1 Súhrnná tabuľka nákladov regulácie </w:t>
      </w:r>
      <w:r w:rsidRPr="00986FEA">
        <w:rPr>
          <w:rFonts w:eastAsia="Calibri"/>
          <w:b/>
          <w:i/>
          <w:iCs/>
        </w:rPr>
        <w:tab/>
      </w:r>
    </w:p>
    <w:p w14:paraId="113AA7DC" w14:textId="77777777" w:rsidR="00640AD6" w:rsidRPr="00986FEA" w:rsidRDefault="00640AD6" w:rsidP="00640AD6">
      <w:pPr>
        <w:jc w:val="both"/>
        <w:rPr>
          <w:rFonts w:eastAsia="Calibri"/>
          <w:i/>
        </w:rPr>
      </w:pPr>
      <w:r w:rsidRPr="00986FEA">
        <w:rPr>
          <w:rFonts w:eastAsia="Calibri"/>
          <w:i/>
        </w:rPr>
        <w:t xml:space="preserve">Tabuľka č. 1: Zmeny nákladov (ročne) v prepočte na podnikateľské prostredie (PP), vyhodnotenie mechanizmu znižovania byrokracie a nákladov. </w:t>
      </w:r>
    </w:p>
    <w:p w14:paraId="124669E2" w14:textId="77777777" w:rsidR="00640AD6" w:rsidRPr="00986FEA" w:rsidRDefault="00640AD6" w:rsidP="00640AD6">
      <w:pPr>
        <w:jc w:val="both"/>
        <w:rPr>
          <w:rFonts w:eastAsia="Calibri"/>
          <w:i/>
        </w:rPr>
      </w:pPr>
      <w:r w:rsidRPr="00986FEA">
        <w:rPr>
          <w:rFonts w:eastAsia="Calibri"/>
          <w:i/>
        </w:rPr>
        <w:t xml:space="preserve">Nahraďte rovnakou tabuľkou po vyplnení Kalkulačky nákladov podnikateľského prostredia, ktorá je povinnou prílohou tejto analýzy a nájdete ju na </w:t>
      </w:r>
      <w:hyperlink r:id="rId9" w:history="1">
        <w:r w:rsidRPr="00986FEA">
          <w:rPr>
            <w:rFonts w:eastAsia="Calibri"/>
            <w:i/>
            <w:color w:val="0563C1"/>
            <w:u w:val="single"/>
          </w:rPr>
          <w:t>webovom sídle MH SR</w:t>
        </w:r>
      </w:hyperlink>
      <w:r w:rsidRPr="00986FEA">
        <w:rPr>
          <w:rFonts w:eastAsia="Calibri"/>
          <w:i/>
        </w:rPr>
        <w:t>, (ďalej len „Kalkulačka nákladov“):</w:t>
      </w:r>
    </w:p>
    <w:tbl>
      <w:tblPr>
        <w:tblStyle w:val="Mriekatabuky2"/>
        <w:tblW w:w="9067" w:type="dxa"/>
        <w:tblLook w:val="04A0" w:firstRow="1" w:lastRow="0" w:firstColumn="1" w:lastColumn="0" w:noHBand="0" w:noVBand="1"/>
      </w:tblPr>
      <w:tblGrid>
        <w:gridCol w:w="3681"/>
        <w:gridCol w:w="2693"/>
        <w:gridCol w:w="2693"/>
      </w:tblGrid>
      <w:tr w:rsidR="00640AD6" w:rsidRPr="00986FEA" w14:paraId="239E9DEA" w14:textId="77777777" w:rsidTr="00ED1A67">
        <w:tc>
          <w:tcPr>
            <w:tcW w:w="3681" w:type="dxa"/>
          </w:tcPr>
          <w:p w14:paraId="3258B71A" w14:textId="77777777" w:rsidR="00640AD6" w:rsidRPr="00986FEA" w:rsidRDefault="00640AD6" w:rsidP="00ED1A67">
            <w:pPr>
              <w:rPr>
                <w:rFonts w:eastAsia="Calibri"/>
                <w:b/>
                <w:bCs/>
                <w:i/>
              </w:rPr>
            </w:pPr>
            <w:r w:rsidRPr="00986FEA">
              <w:rPr>
                <w:rFonts w:eastAsia="Calibri"/>
                <w:b/>
                <w:bCs/>
                <w:i/>
              </w:rPr>
              <w:t>TYP NÁKLADOV</w:t>
            </w:r>
          </w:p>
        </w:tc>
        <w:tc>
          <w:tcPr>
            <w:tcW w:w="2693" w:type="dxa"/>
            <w:shd w:val="clear" w:color="auto" w:fill="FFC000"/>
          </w:tcPr>
          <w:p w14:paraId="10753C89" w14:textId="77777777" w:rsidR="00640AD6" w:rsidRPr="00986FEA" w:rsidRDefault="00640AD6" w:rsidP="00ED1A67">
            <w:pPr>
              <w:jc w:val="center"/>
              <w:rPr>
                <w:rFonts w:eastAsia="Calibri"/>
                <w:i/>
              </w:rPr>
            </w:pPr>
            <w:r w:rsidRPr="00986FEA">
              <w:rPr>
                <w:rFonts w:eastAsia="Calibri"/>
                <w:b/>
                <w:bCs/>
                <w:color w:val="000000"/>
              </w:rPr>
              <w:t>Zvýšenie nákladov v € na PP</w:t>
            </w:r>
          </w:p>
        </w:tc>
        <w:tc>
          <w:tcPr>
            <w:tcW w:w="2693" w:type="dxa"/>
            <w:shd w:val="clear" w:color="auto" w:fill="92D050"/>
          </w:tcPr>
          <w:p w14:paraId="7CA0104F" w14:textId="77777777" w:rsidR="00640AD6" w:rsidRPr="00986FEA" w:rsidRDefault="00640AD6" w:rsidP="00ED1A67">
            <w:pPr>
              <w:jc w:val="center"/>
              <w:rPr>
                <w:rFonts w:eastAsia="Calibri"/>
                <w:b/>
                <w:bCs/>
                <w:color w:val="000000"/>
              </w:rPr>
            </w:pPr>
            <w:r w:rsidRPr="00986FEA">
              <w:rPr>
                <w:rFonts w:eastAsia="Calibri"/>
                <w:b/>
                <w:bCs/>
                <w:color w:val="000000"/>
              </w:rPr>
              <w:t>Zníženie nákladov v € na PP</w:t>
            </w:r>
          </w:p>
        </w:tc>
      </w:tr>
      <w:tr w:rsidR="00640AD6" w:rsidRPr="00986FEA" w14:paraId="6A48DE35" w14:textId="77777777" w:rsidTr="00ED1A67">
        <w:trPr>
          <w:trHeight w:val="227"/>
        </w:trPr>
        <w:tc>
          <w:tcPr>
            <w:tcW w:w="3681" w:type="dxa"/>
          </w:tcPr>
          <w:p w14:paraId="171CCD30" w14:textId="77777777" w:rsidR="00640AD6" w:rsidRPr="00986FEA" w:rsidRDefault="00640AD6" w:rsidP="00ED1A67">
            <w:pPr>
              <w:rPr>
                <w:rFonts w:eastAsia="Calibri"/>
                <w:i/>
                <w:iCs/>
              </w:rPr>
            </w:pPr>
            <w:r w:rsidRPr="00986FEA">
              <w:rPr>
                <w:rFonts w:eastAsia="Calibri"/>
                <w:i/>
                <w:iCs/>
                <w:color w:val="000000"/>
              </w:rPr>
              <w:t>A. Dane, odvody, clá a poplatky</w:t>
            </w:r>
            <w:r w:rsidRPr="00986FEA">
              <w:t>,</w:t>
            </w:r>
            <w:r w:rsidRPr="00986FEA">
              <w:rPr>
                <w:b/>
                <w:bCs/>
              </w:rPr>
              <w:t xml:space="preserve"> </w:t>
            </w:r>
            <w:r w:rsidRPr="00986FEA">
              <w:rPr>
                <w:rFonts w:eastAsia="Calibri"/>
                <w:i/>
                <w:iCs/>
                <w:color w:val="000000"/>
              </w:rPr>
              <w:t xml:space="preserve">ktorých cieľom je znižovať negatívne </w:t>
            </w:r>
            <w:proofErr w:type="spellStart"/>
            <w:r w:rsidRPr="00986FEA">
              <w:rPr>
                <w:rFonts w:eastAsia="Calibri"/>
                <w:i/>
                <w:iCs/>
                <w:color w:val="000000"/>
              </w:rPr>
              <w:t>externality</w:t>
            </w:r>
            <w:proofErr w:type="spellEnd"/>
          </w:p>
        </w:tc>
        <w:tc>
          <w:tcPr>
            <w:tcW w:w="2693" w:type="dxa"/>
            <w:shd w:val="clear" w:color="auto" w:fill="FFC000"/>
          </w:tcPr>
          <w:p w14:paraId="46F8603C"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4190C7AC" w14:textId="77777777" w:rsidR="00640AD6" w:rsidRPr="00986FEA" w:rsidRDefault="00640AD6" w:rsidP="00ED1A67">
            <w:pPr>
              <w:jc w:val="center"/>
              <w:rPr>
                <w:rFonts w:eastAsia="Calibri"/>
                <w:i/>
              </w:rPr>
            </w:pPr>
            <w:r w:rsidRPr="00986FEA">
              <w:rPr>
                <w:rFonts w:eastAsia="Calibri"/>
                <w:i/>
              </w:rPr>
              <w:t>0</w:t>
            </w:r>
          </w:p>
        </w:tc>
      </w:tr>
      <w:tr w:rsidR="00640AD6" w:rsidRPr="00986FEA" w14:paraId="107798F7" w14:textId="77777777" w:rsidTr="00ED1A67">
        <w:tc>
          <w:tcPr>
            <w:tcW w:w="3681" w:type="dxa"/>
          </w:tcPr>
          <w:p w14:paraId="08819776" w14:textId="77777777" w:rsidR="00640AD6" w:rsidRPr="00986FEA" w:rsidRDefault="00640AD6" w:rsidP="00ED1A67">
            <w:pPr>
              <w:rPr>
                <w:rFonts w:eastAsia="Calibri"/>
                <w:i/>
              </w:rPr>
            </w:pPr>
            <w:r w:rsidRPr="00986FEA">
              <w:rPr>
                <w:rFonts w:eastAsia="Calibri"/>
                <w:i/>
              </w:rPr>
              <w:t>B. Iné poplatky</w:t>
            </w:r>
          </w:p>
        </w:tc>
        <w:tc>
          <w:tcPr>
            <w:tcW w:w="2693" w:type="dxa"/>
            <w:shd w:val="clear" w:color="auto" w:fill="FFC000"/>
          </w:tcPr>
          <w:p w14:paraId="6E9C352C"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79B0D8BC" w14:textId="77777777" w:rsidR="00640AD6" w:rsidRPr="00986FEA" w:rsidRDefault="00640AD6" w:rsidP="00ED1A67">
            <w:pPr>
              <w:jc w:val="center"/>
              <w:rPr>
                <w:rFonts w:eastAsia="Calibri"/>
                <w:i/>
              </w:rPr>
            </w:pPr>
            <w:r w:rsidRPr="00986FEA">
              <w:rPr>
                <w:rFonts w:eastAsia="Calibri"/>
                <w:i/>
              </w:rPr>
              <w:t>0</w:t>
            </w:r>
          </w:p>
        </w:tc>
      </w:tr>
      <w:tr w:rsidR="00640AD6" w:rsidRPr="00986FEA" w14:paraId="0BBBDCA7" w14:textId="77777777" w:rsidTr="00ED1A67">
        <w:tc>
          <w:tcPr>
            <w:tcW w:w="3681" w:type="dxa"/>
          </w:tcPr>
          <w:p w14:paraId="5733E829" w14:textId="77777777" w:rsidR="00640AD6" w:rsidRPr="00986FEA" w:rsidRDefault="00640AD6" w:rsidP="00ED1A67">
            <w:pPr>
              <w:rPr>
                <w:rFonts w:eastAsia="Calibri"/>
                <w:i/>
              </w:rPr>
            </w:pPr>
            <w:r w:rsidRPr="00986FEA">
              <w:rPr>
                <w:rFonts w:eastAsia="Calibri"/>
                <w:i/>
              </w:rPr>
              <w:t>C. Nepriame finančné náklady</w:t>
            </w:r>
          </w:p>
        </w:tc>
        <w:tc>
          <w:tcPr>
            <w:tcW w:w="2693" w:type="dxa"/>
            <w:shd w:val="clear" w:color="auto" w:fill="FFC000"/>
          </w:tcPr>
          <w:p w14:paraId="7D5E6214"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28E59CC4" w14:textId="77777777" w:rsidR="00640AD6" w:rsidRPr="00986FEA" w:rsidRDefault="00640AD6" w:rsidP="00ED1A67">
            <w:pPr>
              <w:jc w:val="center"/>
              <w:rPr>
                <w:rFonts w:eastAsia="Calibri"/>
                <w:i/>
              </w:rPr>
            </w:pPr>
            <w:r w:rsidRPr="00986FEA">
              <w:rPr>
                <w:rFonts w:eastAsia="Calibri"/>
                <w:i/>
              </w:rPr>
              <w:t>0</w:t>
            </w:r>
          </w:p>
        </w:tc>
      </w:tr>
      <w:tr w:rsidR="00640AD6" w:rsidRPr="00986FEA" w14:paraId="1663805B" w14:textId="77777777" w:rsidTr="00ED1A67">
        <w:tc>
          <w:tcPr>
            <w:tcW w:w="3681" w:type="dxa"/>
          </w:tcPr>
          <w:p w14:paraId="410CB727" w14:textId="77777777" w:rsidR="00640AD6" w:rsidRPr="00986FEA" w:rsidRDefault="00640AD6" w:rsidP="00ED1A67">
            <w:pPr>
              <w:rPr>
                <w:rFonts w:eastAsia="Calibri"/>
                <w:i/>
              </w:rPr>
            </w:pPr>
            <w:r w:rsidRPr="00986FEA">
              <w:rPr>
                <w:rFonts w:eastAsia="Calibri"/>
                <w:i/>
              </w:rPr>
              <w:t>D. Administratívne náklady</w:t>
            </w:r>
          </w:p>
        </w:tc>
        <w:tc>
          <w:tcPr>
            <w:tcW w:w="2693" w:type="dxa"/>
            <w:shd w:val="clear" w:color="auto" w:fill="FFC000"/>
          </w:tcPr>
          <w:p w14:paraId="1FDB2DC2"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3677361B" w14:textId="77777777" w:rsidR="00640AD6" w:rsidRPr="00986FEA" w:rsidRDefault="00640AD6" w:rsidP="00ED1A67">
            <w:pPr>
              <w:jc w:val="center"/>
              <w:rPr>
                <w:rFonts w:eastAsia="Calibri"/>
                <w:i/>
              </w:rPr>
            </w:pPr>
            <w:r w:rsidRPr="00986FEA">
              <w:rPr>
                <w:rFonts w:eastAsia="Calibri"/>
                <w:i/>
              </w:rPr>
              <w:t>0</w:t>
            </w:r>
          </w:p>
        </w:tc>
      </w:tr>
      <w:tr w:rsidR="00640AD6" w:rsidRPr="00986FEA" w14:paraId="25A5A5FE" w14:textId="77777777" w:rsidTr="00ED1A67">
        <w:tc>
          <w:tcPr>
            <w:tcW w:w="3681" w:type="dxa"/>
          </w:tcPr>
          <w:p w14:paraId="023FCEAC" w14:textId="77777777" w:rsidR="00640AD6" w:rsidRPr="00986FEA" w:rsidRDefault="00640AD6" w:rsidP="00ED1A67">
            <w:pPr>
              <w:rPr>
                <w:rFonts w:eastAsia="Calibri"/>
                <w:b/>
                <w:i/>
              </w:rPr>
            </w:pPr>
            <w:r w:rsidRPr="00986FEA">
              <w:rPr>
                <w:rFonts w:eastAsia="Calibri"/>
                <w:b/>
                <w:i/>
              </w:rPr>
              <w:t>Spolu = A+B+C+D</w:t>
            </w:r>
          </w:p>
        </w:tc>
        <w:tc>
          <w:tcPr>
            <w:tcW w:w="2693" w:type="dxa"/>
            <w:shd w:val="clear" w:color="auto" w:fill="FFC000"/>
          </w:tcPr>
          <w:p w14:paraId="64E84505" w14:textId="77777777" w:rsidR="00640AD6" w:rsidRPr="00986FEA" w:rsidRDefault="00640AD6" w:rsidP="00ED1A67">
            <w:pPr>
              <w:jc w:val="center"/>
              <w:rPr>
                <w:rFonts w:eastAsia="Calibri"/>
                <w:b/>
                <w:i/>
              </w:rPr>
            </w:pPr>
            <w:r w:rsidRPr="00986FEA">
              <w:rPr>
                <w:rFonts w:eastAsia="Calibri"/>
                <w:b/>
                <w:i/>
              </w:rPr>
              <w:t>0</w:t>
            </w:r>
          </w:p>
        </w:tc>
        <w:tc>
          <w:tcPr>
            <w:tcW w:w="2693" w:type="dxa"/>
            <w:shd w:val="clear" w:color="auto" w:fill="92D050"/>
          </w:tcPr>
          <w:p w14:paraId="3DACB4EC" w14:textId="77777777" w:rsidR="00640AD6" w:rsidRPr="00986FEA" w:rsidRDefault="00640AD6" w:rsidP="00ED1A67">
            <w:pPr>
              <w:jc w:val="center"/>
              <w:rPr>
                <w:rFonts w:eastAsia="Calibri"/>
                <w:b/>
                <w:i/>
              </w:rPr>
            </w:pPr>
            <w:r w:rsidRPr="00986FEA">
              <w:rPr>
                <w:rFonts w:eastAsia="Calibri"/>
                <w:b/>
                <w:i/>
              </w:rPr>
              <w:t>0</w:t>
            </w:r>
          </w:p>
        </w:tc>
      </w:tr>
      <w:tr w:rsidR="00640AD6" w:rsidRPr="00986FEA" w14:paraId="1B556714" w14:textId="77777777" w:rsidTr="00ED1A67">
        <w:tc>
          <w:tcPr>
            <w:tcW w:w="3681" w:type="dxa"/>
          </w:tcPr>
          <w:p w14:paraId="5EDDB619" w14:textId="77777777" w:rsidR="00640AD6" w:rsidRPr="00986FEA" w:rsidRDefault="00640AD6" w:rsidP="00ED1A67">
            <w:pPr>
              <w:rPr>
                <w:rFonts w:eastAsia="Calibri"/>
                <w:b/>
                <w:i/>
              </w:rPr>
            </w:pPr>
            <w:r w:rsidRPr="00986FEA">
              <w:rPr>
                <w:rFonts w:eastAsia="Calibri"/>
                <w:b/>
                <w:i/>
              </w:rPr>
              <w:t xml:space="preserve"> z toho</w:t>
            </w:r>
          </w:p>
        </w:tc>
        <w:tc>
          <w:tcPr>
            <w:tcW w:w="2693" w:type="dxa"/>
            <w:shd w:val="clear" w:color="auto" w:fill="FFC000"/>
          </w:tcPr>
          <w:p w14:paraId="7A9FB917" w14:textId="77777777" w:rsidR="00640AD6" w:rsidRPr="00986FEA" w:rsidRDefault="00640AD6" w:rsidP="00ED1A67">
            <w:pPr>
              <w:jc w:val="center"/>
              <w:rPr>
                <w:rFonts w:eastAsia="Calibri"/>
                <w:b/>
                <w:i/>
              </w:rPr>
            </w:pPr>
          </w:p>
        </w:tc>
        <w:tc>
          <w:tcPr>
            <w:tcW w:w="2693" w:type="dxa"/>
            <w:shd w:val="clear" w:color="auto" w:fill="92D050"/>
          </w:tcPr>
          <w:p w14:paraId="5C8CA9A8" w14:textId="77777777" w:rsidR="00640AD6" w:rsidRPr="00986FEA" w:rsidRDefault="00640AD6" w:rsidP="00ED1A67">
            <w:pPr>
              <w:jc w:val="center"/>
              <w:rPr>
                <w:rFonts w:eastAsia="Calibri"/>
                <w:b/>
                <w:i/>
              </w:rPr>
            </w:pPr>
          </w:p>
        </w:tc>
      </w:tr>
      <w:tr w:rsidR="00640AD6" w:rsidRPr="00986FEA" w14:paraId="7AA24123" w14:textId="77777777" w:rsidTr="00ED1A67">
        <w:tc>
          <w:tcPr>
            <w:tcW w:w="3681" w:type="dxa"/>
          </w:tcPr>
          <w:p w14:paraId="366023F6" w14:textId="77777777" w:rsidR="00640AD6" w:rsidRPr="00986FEA" w:rsidRDefault="00640AD6" w:rsidP="00ED1A67">
            <w:pPr>
              <w:rPr>
                <w:rFonts w:eastAsia="Calibri"/>
                <w:i/>
              </w:rPr>
            </w:pPr>
            <w:r w:rsidRPr="00986FEA">
              <w:rPr>
                <w:rFonts w:eastAsia="Calibri"/>
                <w:i/>
              </w:rPr>
              <w:t xml:space="preserve">E. Vplyv na </w:t>
            </w:r>
            <w:proofErr w:type="spellStart"/>
            <w:r w:rsidRPr="00986FEA">
              <w:rPr>
                <w:rFonts w:eastAsia="Calibri"/>
                <w:i/>
              </w:rPr>
              <w:t>mikro</w:t>
            </w:r>
            <w:proofErr w:type="spellEnd"/>
            <w:r w:rsidRPr="00986FEA">
              <w:rPr>
                <w:rFonts w:eastAsia="Calibri"/>
                <w:i/>
              </w:rPr>
              <w:t>, malé a stredné podniky</w:t>
            </w:r>
          </w:p>
        </w:tc>
        <w:tc>
          <w:tcPr>
            <w:tcW w:w="2693" w:type="dxa"/>
            <w:shd w:val="clear" w:color="auto" w:fill="FFC000"/>
          </w:tcPr>
          <w:p w14:paraId="215068F7" w14:textId="77777777" w:rsidR="00640AD6" w:rsidRPr="00986FEA" w:rsidRDefault="00640AD6" w:rsidP="00ED1A67">
            <w:pPr>
              <w:jc w:val="center"/>
              <w:rPr>
                <w:rFonts w:eastAsia="Calibri"/>
                <w:b/>
                <w:i/>
              </w:rPr>
            </w:pPr>
            <w:r w:rsidRPr="00986FEA">
              <w:rPr>
                <w:rFonts w:eastAsia="Calibri"/>
                <w:i/>
              </w:rPr>
              <w:t>0</w:t>
            </w:r>
          </w:p>
        </w:tc>
        <w:tc>
          <w:tcPr>
            <w:tcW w:w="2693" w:type="dxa"/>
            <w:shd w:val="clear" w:color="auto" w:fill="92D050"/>
          </w:tcPr>
          <w:p w14:paraId="24D781FB" w14:textId="77777777" w:rsidR="00640AD6" w:rsidRPr="00986FEA" w:rsidRDefault="00640AD6" w:rsidP="00ED1A67">
            <w:pPr>
              <w:jc w:val="center"/>
              <w:rPr>
                <w:rFonts w:eastAsia="Calibri"/>
                <w:b/>
                <w:i/>
              </w:rPr>
            </w:pPr>
            <w:r w:rsidRPr="00986FEA">
              <w:rPr>
                <w:rFonts w:eastAsia="Calibri"/>
                <w:i/>
              </w:rPr>
              <w:t>0</w:t>
            </w:r>
          </w:p>
        </w:tc>
      </w:tr>
      <w:tr w:rsidR="00640AD6" w:rsidRPr="00986FEA" w14:paraId="78A22463" w14:textId="77777777" w:rsidTr="00ED1A67">
        <w:tc>
          <w:tcPr>
            <w:tcW w:w="3681" w:type="dxa"/>
          </w:tcPr>
          <w:p w14:paraId="3DA9DC71" w14:textId="77777777" w:rsidR="00640AD6" w:rsidRPr="00986FEA" w:rsidRDefault="00640AD6" w:rsidP="00ED1A67">
            <w:pPr>
              <w:rPr>
                <w:rFonts w:eastAsia="Calibri"/>
                <w:i/>
              </w:rPr>
            </w:pPr>
            <w:r w:rsidRPr="00986FEA">
              <w:rPr>
                <w:rFonts w:eastAsia="Calibri"/>
                <w:i/>
              </w:rPr>
              <w:t>F. Úplná harmonizácia práva EÚ</w:t>
            </w:r>
          </w:p>
        </w:tc>
        <w:tc>
          <w:tcPr>
            <w:tcW w:w="2693" w:type="dxa"/>
            <w:shd w:val="clear" w:color="auto" w:fill="FFC000"/>
          </w:tcPr>
          <w:p w14:paraId="387AB74A" w14:textId="77777777" w:rsidR="00640AD6" w:rsidRPr="00986FEA" w:rsidRDefault="00640AD6" w:rsidP="00ED1A67">
            <w:pPr>
              <w:jc w:val="center"/>
              <w:rPr>
                <w:rFonts w:eastAsia="Calibri"/>
                <w:b/>
                <w:i/>
              </w:rPr>
            </w:pPr>
            <w:r w:rsidRPr="00986FEA">
              <w:rPr>
                <w:rFonts w:eastAsia="Calibri"/>
                <w:i/>
              </w:rPr>
              <w:t>0</w:t>
            </w:r>
          </w:p>
        </w:tc>
        <w:tc>
          <w:tcPr>
            <w:tcW w:w="2693" w:type="dxa"/>
            <w:shd w:val="clear" w:color="auto" w:fill="92D050"/>
          </w:tcPr>
          <w:p w14:paraId="56D65C5C" w14:textId="77777777" w:rsidR="00640AD6" w:rsidRPr="00986FEA" w:rsidRDefault="00640AD6" w:rsidP="00ED1A67">
            <w:pPr>
              <w:jc w:val="center"/>
              <w:rPr>
                <w:rFonts w:eastAsia="Calibri"/>
                <w:b/>
                <w:i/>
              </w:rPr>
            </w:pPr>
            <w:r w:rsidRPr="00986FEA">
              <w:rPr>
                <w:rFonts w:eastAsia="Calibri"/>
                <w:i/>
              </w:rPr>
              <w:t>0</w:t>
            </w:r>
          </w:p>
        </w:tc>
      </w:tr>
      <w:tr w:rsidR="00640AD6" w:rsidRPr="00986FEA" w14:paraId="5DE4A4A5" w14:textId="77777777" w:rsidTr="00ED1A67">
        <w:tc>
          <w:tcPr>
            <w:tcW w:w="9067" w:type="dxa"/>
            <w:gridSpan w:val="3"/>
            <w:shd w:val="clear" w:color="auto" w:fill="auto"/>
          </w:tcPr>
          <w:p w14:paraId="7F5AEA8A" w14:textId="77777777" w:rsidR="00640AD6" w:rsidRPr="00986FEA" w:rsidRDefault="00640AD6" w:rsidP="00ED1A67">
            <w:pPr>
              <w:jc w:val="center"/>
              <w:rPr>
                <w:rFonts w:eastAsia="Calibri"/>
                <w:b/>
                <w:bCs/>
                <w:i/>
              </w:rPr>
            </w:pPr>
          </w:p>
        </w:tc>
      </w:tr>
      <w:tr w:rsidR="00640AD6" w:rsidRPr="00986FEA" w14:paraId="0A03F1A0" w14:textId="77777777" w:rsidTr="00ED1A67">
        <w:tc>
          <w:tcPr>
            <w:tcW w:w="3681" w:type="dxa"/>
          </w:tcPr>
          <w:p w14:paraId="278D392A" w14:textId="77777777" w:rsidR="00640AD6" w:rsidRPr="00986FEA" w:rsidRDefault="00640AD6" w:rsidP="00ED1A67">
            <w:pPr>
              <w:rPr>
                <w:rFonts w:eastAsia="Calibri"/>
                <w:b/>
                <w:i/>
              </w:rPr>
            </w:pPr>
            <w:r w:rsidRPr="00986FEA">
              <w:rPr>
                <w:rFonts w:eastAsia="Calibri"/>
                <w:b/>
                <w:bCs/>
                <w:i/>
              </w:rPr>
              <w:t>VÝPOČET mechanizmu znižovania byrokracie a nákladov</w:t>
            </w:r>
          </w:p>
        </w:tc>
        <w:tc>
          <w:tcPr>
            <w:tcW w:w="2693" w:type="dxa"/>
            <w:shd w:val="clear" w:color="auto" w:fill="FFC000"/>
          </w:tcPr>
          <w:p w14:paraId="6FD6D752" w14:textId="77777777" w:rsidR="00640AD6" w:rsidRPr="00986FEA" w:rsidRDefault="00640AD6" w:rsidP="00ED1A67">
            <w:pPr>
              <w:jc w:val="center"/>
              <w:rPr>
                <w:rFonts w:eastAsia="Calibri"/>
                <w:b/>
                <w:bCs/>
                <w:i/>
              </w:rPr>
            </w:pPr>
            <w:r w:rsidRPr="00986FEA">
              <w:rPr>
                <w:rFonts w:eastAsia="Calibri"/>
                <w:b/>
                <w:bCs/>
                <w:i/>
              </w:rPr>
              <w:t>IN</w:t>
            </w:r>
          </w:p>
        </w:tc>
        <w:tc>
          <w:tcPr>
            <w:tcW w:w="2693" w:type="dxa"/>
            <w:shd w:val="clear" w:color="auto" w:fill="92D050"/>
          </w:tcPr>
          <w:p w14:paraId="200F678B" w14:textId="77777777" w:rsidR="00640AD6" w:rsidRPr="00986FEA" w:rsidRDefault="00640AD6" w:rsidP="00ED1A67">
            <w:pPr>
              <w:jc w:val="center"/>
              <w:rPr>
                <w:rFonts w:eastAsia="Calibri"/>
                <w:b/>
                <w:bCs/>
                <w:i/>
              </w:rPr>
            </w:pPr>
            <w:r w:rsidRPr="00986FEA">
              <w:rPr>
                <w:rFonts w:eastAsia="Calibri"/>
                <w:b/>
                <w:bCs/>
                <w:i/>
              </w:rPr>
              <w:t>OUT</w:t>
            </w:r>
          </w:p>
        </w:tc>
      </w:tr>
      <w:tr w:rsidR="00640AD6" w:rsidRPr="00986FEA" w14:paraId="20A0B658" w14:textId="77777777" w:rsidTr="00ED1A67">
        <w:tc>
          <w:tcPr>
            <w:tcW w:w="3681" w:type="dxa"/>
          </w:tcPr>
          <w:p w14:paraId="54594E75" w14:textId="77777777" w:rsidR="00640AD6" w:rsidRPr="00986FEA" w:rsidRDefault="00640AD6" w:rsidP="00ED1A67">
            <w:pPr>
              <w:rPr>
                <w:rFonts w:eastAsia="Calibri"/>
                <w:b/>
                <w:i/>
              </w:rPr>
            </w:pPr>
            <w:r w:rsidRPr="00986FEA">
              <w:rPr>
                <w:rFonts w:eastAsia="Calibri"/>
                <w:b/>
                <w:i/>
              </w:rPr>
              <w:t>G. Náklady okrem výnimiek = B+C+D-F</w:t>
            </w:r>
          </w:p>
        </w:tc>
        <w:tc>
          <w:tcPr>
            <w:tcW w:w="2693" w:type="dxa"/>
            <w:shd w:val="clear" w:color="auto" w:fill="FFC000"/>
          </w:tcPr>
          <w:p w14:paraId="0123B55A" w14:textId="77777777" w:rsidR="00640AD6" w:rsidRPr="00986FEA" w:rsidRDefault="00640AD6" w:rsidP="00ED1A67">
            <w:pPr>
              <w:jc w:val="center"/>
              <w:rPr>
                <w:rFonts w:eastAsia="Calibri"/>
                <w:b/>
                <w:bCs/>
                <w:i/>
              </w:rPr>
            </w:pPr>
            <w:r w:rsidRPr="00986FEA">
              <w:rPr>
                <w:rFonts w:eastAsia="Calibri"/>
                <w:b/>
                <w:bCs/>
                <w:i/>
              </w:rPr>
              <w:t>0</w:t>
            </w:r>
          </w:p>
        </w:tc>
        <w:tc>
          <w:tcPr>
            <w:tcW w:w="2693" w:type="dxa"/>
            <w:shd w:val="clear" w:color="auto" w:fill="92D050"/>
          </w:tcPr>
          <w:p w14:paraId="51F0DED0" w14:textId="77777777" w:rsidR="00640AD6" w:rsidRPr="00986FEA" w:rsidRDefault="00640AD6" w:rsidP="00ED1A67">
            <w:pPr>
              <w:jc w:val="center"/>
              <w:rPr>
                <w:rFonts w:eastAsia="Calibri"/>
                <w:b/>
                <w:bCs/>
                <w:i/>
              </w:rPr>
            </w:pPr>
            <w:r w:rsidRPr="00986FEA">
              <w:rPr>
                <w:rFonts w:eastAsia="Calibri"/>
                <w:b/>
                <w:bCs/>
                <w:i/>
              </w:rPr>
              <w:t>0</w:t>
            </w:r>
          </w:p>
        </w:tc>
      </w:tr>
    </w:tbl>
    <w:p w14:paraId="508018AC" w14:textId="77777777" w:rsidR="00640AD6" w:rsidRPr="00986FEA" w:rsidRDefault="00640AD6" w:rsidP="00640AD6">
      <w:pPr>
        <w:rPr>
          <w:rFonts w:eastAsia="Calibri"/>
          <w:i/>
        </w:rPr>
      </w:pPr>
    </w:p>
    <w:p w14:paraId="5D3F5BFE" w14:textId="77777777" w:rsidR="00640AD6" w:rsidRPr="00986FEA" w:rsidRDefault="00640AD6" w:rsidP="00640AD6">
      <w:pPr>
        <w:rPr>
          <w:rFonts w:eastAsia="Calibri"/>
          <w:b/>
        </w:rPr>
      </w:pPr>
    </w:p>
    <w:p w14:paraId="62B9137C" w14:textId="77777777" w:rsidR="00640AD6" w:rsidRPr="00986FEA" w:rsidRDefault="00640AD6" w:rsidP="00640AD6">
      <w:pPr>
        <w:rPr>
          <w:rFonts w:eastAsia="Calibri"/>
          <w:b/>
        </w:rPr>
        <w:sectPr w:rsidR="00640AD6" w:rsidRPr="00986FEA" w:rsidSect="00FF3525">
          <w:footerReference w:type="default" r:id="rId10"/>
          <w:pgSz w:w="11906" w:h="16838"/>
          <w:pgMar w:top="993" w:right="1417" w:bottom="1417" w:left="1417" w:header="708" w:footer="708" w:gutter="0"/>
          <w:pgNumType w:start="15"/>
          <w:cols w:space="708"/>
          <w:docGrid w:linePitch="360"/>
        </w:sectPr>
      </w:pPr>
    </w:p>
    <w:p w14:paraId="712D71AE" w14:textId="77777777" w:rsidR="00640AD6" w:rsidRPr="00986FEA" w:rsidRDefault="00640AD6" w:rsidP="00640AD6">
      <w:pPr>
        <w:rPr>
          <w:rFonts w:eastAsia="Calibri"/>
          <w:b/>
          <w:i/>
          <w:iCs/>
        </w:rPr>
      </w:pPr>
      <w:r w:rsidRPr="00986FEA">
        <w:rPr>
          <w:rFonts w:eastAsia="Calibri"/>
          <w:b/>
          <w:i/>
          <w:iCs/>
        </w:rPr>
        <w:lastRenderedPageBreak/>
        <w:t>3.1.2 Výpočty vplyvov jednotlivých regulácií na zmeny v nákladoch podnikateľov</w:t>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p>
    <w:p w14:paraId="776F2727" w14:textId="77777777" w:rsidR="00640AD6" w:rsidRPr="00986FEA" w:rsidRDefault="00640AD6" w:rsidP="00640AD6">
      <w:pPr>
        <w:jc w:val="both"/>
        <w:rPr>
          <w:rFonts w:eastAsia="Calibri"/>
          <w:i/>
        </w:rPr>
      </w:pPr>
      <w:r w:rsidRPr="00986FEA">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2690"/>
        <w:gridCol w:w="1677"/>
        <w:gridCol w:w="1129"/>
        <w:gridCol w:w="1246"/>
        <w:gridCol w:w="934"/>
        <w:gridCol w:w="1677"/>
        <w:gridCol w:w="974"/>
        <w:gridCol w:w="974"/>
        <w:gridCol w:w="982"/>
        <w:gridCol w:w="992"/>
        <w:gridCol w:w="1107"/>
      </w:tblGrid>
      <w:tr w:rsidR="00640AD6" w:rsidRPr="00986FEA" w14:paraId="0D90AA0F" w14:textId="77777777" w:rsidTr="00ED1A67">
        <w:trPr>
          <w:trHeight w:val="1885"/>
        </w:trPr>
        <w:tc>
          <w:tcPr>
            <w:tcW w:w="479" w:type="dxa"/>
            <w:shd w:val="clear" w:color="auto" w:fill="BFBFBF"/>
            <w:vAlign w:val="center"/>
          </w:tcPr>
          <w:p w14:paraId="7E3E089D" w14:textId="77777777" w:rsidR="00640AD6" w:rsidRPr="00986FEA" w:rsidRDefault="00640AD6" w:rsidP="00ED1A67">
            <w:pPr>
              <w:jc w:val="center"/>
              <w:rPr>
                <w:b/>
                <w:bCs/>
                <w:color w:val="000000"/>
              </w:rPr>
            </w:pPr>
            <w:proofErr w:type="spellStart"/>
            <w:r w:rsidRPr="00986FEA">
              <w:rPr>
                <w:b/>
                <w:bCs/>
                <w:color w:val="000000"/>
              </w:rPr>
              <w:t>P.č</w:t>
            </w:r>
            <w:proofErr w:type="spellEnd"/>
            <w:r w:rsidRPr="00986FEA">
              <w:rPr>
                <w:b/>
                <w:bCs/>
                <w:color w:val="000000"/>
              </w:rPr>
              <w:t>.</w:t>
            </w:r>
          </w:p>
        </w:tc>
        <w:tc>
          <w:tcPr>
            <w:tcW w:w="2690" w:type="dxa"/>
            <w:shd w:val="clear" w:color="auto" w:fill="BFBFBF"/>
            <w:vAlign w:val="center"/>
            <w:hideMark/>
          </w:tcPr>
          <w:p w14:paraId="2CDD5C35" w14:textId="77777777" w:rsidR="00640AD6" w:rsidRPr="00986FEA" w:rsidRDefault="00640AD6" w:rsidP="00ED1A67">
            <w:pPr>
              <w:jc w:val="center"/>
              <w:rPr>
                <w:b/>
                <w:bCs/>
                <w:color w:val="000000"/>
              </w:rPr>
            </w:pPr>
            <w:r w:rsidRPr="00986FEA">
              <w:rPr>
                <w:b/>
                <w:bCs/>
                <w:color w:val="000000"/>
              </w:rPr>
              <w:t>Zrozumiteľný a stručný opis regulácie vyjadrujúci dôvod zvýšenia/zníženia nákladov na PP</w:t>
            </w:r>
          </w:p>
        </w:tc>
        <w:tc>
          <w:tcPr>
            <w:tcW w:w="1677" w:type="dxa"/>
            <w:shd w:val="clear" w:color="auto" w:fill="BFBFBF"/>
          </w:tcPr>
          <w:p w14:paraId="432729C1" w14:textId="77777777" w:rsidR="00640AD6" w:rsidRPr="00986FEA" w:rsidRDefault="00640AD6" w:rsidP="00ED1A67">
            <w:pPr>
              <w:jc w:val="center"/>
              <w:rPr>
                <w:b/>
                <w:bCs/>
                <w:color w:val="000000"/>
              </w:rPr>
            </w:pPr>
          </w:p>
          <w:p w14:paraId="5079BC69" w14:textId="77777777" w:rsidR="00640AD6" w:rsidRPr="00986FEA" w:rsidRDefault="00640AD6" w:rsidP="00ED1A67">
            <w:pPr>
              <w:jc w:val="center"/>
              <w:rPr>
                <w:b/>
                <w:bCs/>
                <w:color w:val="000000"/>
              </w:rPr>
            </w:pPr>
            <w:r w:rsidRPr="00986FEA">
              <w:rPr>
                <w:b/>
                <w:bCs/>
                <w:color w:val="000000"/>
              </w:rPr>
              <w:t>Číslo normy</w:t>
            </w:r>
          </w:p>
          <w:p w14:paraId="693DE62D" w14:textId="77777777" w:rsidR="00640AD6" w:rsidRPr="00986FEA" w:rsidRDefault="00640AD6" w:rsidP="00ED1A67">
            <w:pPr>
              <w:jc w:val="center"/>
              <w:rPr>
                <w:bCs/>
                <w:color w:val="000000"/>
              </w:rPr>
            </w:pPr>
            <w:r w:rsidRPr="00986FEA">
              <w:rPr>
                <w:bCs/>
                <w:color w:val="000000"/>
              </w:rPr>
              <w:t>(zákona, vyhlášky a pod.)</w:t>
            </w:r>
          </w:p>
        </w:tc>
        <w:tc>
          <w:tcPr>
            <w:tcW w:w="1129" w:type="dxa"/>
            <w:shd w:val="clear" w:color="auto" w:fill="BFBFBF"/>
            <w:vAlign w:val="center"/>
            <w:hideMark/>
          </w:tcPr>
          <w:p w14:paraId="06B44AFB" w14:textId="77777777" w:rsidR="00640AD6" w:rsidRPr="00986FEA" w:rsidRDefault="00640AD6" w:rsidP="00ED1A67">
            <w:pPr>
              <w:jc w:val="center"/>
              <w:rPr>
                <w:b/>
                <w:bCs/>
                <w:color w:val="000000"/>
              </w:rPr>
            </w:pPr>
            <w:r w:rsidRPr="00986FEA">
              <w:rPr>
                <w:b/>
                <w:bCs/>
                <w:color w:val="000000"/>
              </w:rPr>
              <w:t xml:space="preserve">Lokalizácia </w:t>
            </w:r>
            <w:r w:rsidRPr="00986FEA">
              <w:rPr>
                <w:bCs/>
                <w:color w:val="000000"/>
              </w:rPr>
              <w:t>(§, ods.)</w:t>
            </w:r>
          </w:p>
        </w:tc>
        <w:tc>
          <w:tcPr>
            <w:tcW w:w="1246" w:type="dxa"/>
            <w:shd w:val="clear" w:color="auto" w:fill="BFBFBF"/>
            <w:vAlign w:val="center"/>
          </w:tcPr>
          <w:p w14:paraId="4DAD319C" w14:textId="77777777" w:rsidR="00640AD6" w:rsidRPr="00986FEA" w:rsidRDefault="00640AD6" w:rsidP="00ED1A67">
            <w:pPr>
              <w:jc w:val="center"/>
              <w:rPr>
                <w:b/>
                <w:bCs/>
                <w:color w:val="000000"/>
              </w:rPr>
            </w:pPr>
            <w:r w:rsidRPr="00986FEA">
              <w:rPr>
                <w:b/>
                <w:bCs/>
                <w:color w:val="000000"/>
              </w:rPr>
              <w:t>Pôvod regulácie:</w:t>
            </w:r>
          </w:p>
          <w:p w14:paraId="085510E1" w14:textId="77777777" w:rsidR="00640AD6" w:rsidRPr="00986FEA" w:rsidRDefault="00640AD6" w:rsidP="00ED1A67">
            <w:pPr>
              <w:jc w:val="center"/>
              <w:rPr>
                <w:color w:val="000000"/>
              </w:rPr>
            </w:pPr>
            <w:r w:rsidRPr="00986FEA">
              <w:rPr>
                <w:color w:val="000000"/>
              </w:rPr>
              <w:t xml:space="preserve">SK/EÚ úplná </w:t>
            </w:r>
            <w:proofErr w:type="spellStart"/>
            <w:r w:rsidRPr="00986FEA">
              <w:rPr>
                <w:color w:val="000000"/>
              </w:rPr>
              <w:t>harm</w:t>
            </w:r>
            <w:proofErr w:type="spellEnd"/>
            <w:r w:rsidRPr="00986FEA">
              <w:rPr>
                <w:color w:val="000000"/>
              </w:rPr>
              <w:t xml:space="preserve">./EÚ </w:t>
            </w:r>
            <w:proofErr w:type="spellStart"/>
            <w:r w:rsidRPr="00986FEA">
              <w:rPr>
                <w:color w:val="000000"/>
              </w:rPr>
              <w:t>harm</w:t>
            </w:r>
            <w:proofErr w:type="spellEnd"/>
            <w:r w:rsidRPr="00986FEA">
              <w:rPr>
                <w:color w:val="000000"/>
              </w:rPr>
              <w:t>. s možnosťou voľby</w:t>
            </w:r>
          </w:p>
        </w:tc>
        <w:tc>
          <w:tcPr>
            <w:tcW w:w="934" w:type="dxa"/>
            <w:shd w:val="clear" w:color="auto" w:fill="BFBFBF"/>
            <w:vAlign w:val="center"/>
            <w:hideMark/>
          </w:tcPr>
          <w:p w14:paraId="42754E19" w14:textId="77777777" w:rsidR="00640AD6" w:rsidRPr="00986FEA" w:rsidRDefault="00640AD6" w:rsidP="00ED1A67">
            <w:pPr>
              <w:jc w:val="center"/>
              <w:rPr>
                <w:b/>
                <w:bCs/>
                <w:color w:val="000000"/>
              </w:rPr>
            </w:pPr>
            <w:r w:rsidRPr="00986FEA">
              <w:rPr>
                <w:b/>
                <w:bCs/>
                <w:color w:val="000000"/>
              </w:rPr>
              <w:t>Účinnosť</w:t>
            </w:r>
          </w:p>
          <w:p w14:paraId="2941DE10" w14:textId="77777777" w:rsidR="00640AD6" w:rsidRPr="00986FEA" w:rsidRDefault="00640AD6" w:rsidP="00ED1A67">
            <w:pPr>
              <w:jc w:val="center"/>
              <w:rPr>
                <w:b/>
                <w:bCs/>
                <w:color w:val="000000"/>
              </w:rPr>
            </w:pPr>
            <w:r w:rsidRPr="00986FEA">
              <w:rPr>
                <w:b/>
                <w:bCs/>
                <w:color w:val="000000"/>
              </w:rPr>
              <w:t>regulácie</w:t>
            </w:r>
          </w:p>
          <w:p w14:paraId="5EF0E281" w14:textId="77777777" w:rsidR="00640AD6" w:rsidRPr="00986FEA" w:rsidRDefault="00640AD6" w:rsidP="00ED1A67">
            <w:pPr>
              <w:jc w:val="center"/>
              <w:rPr>
                <w:bCs/>
                <w:color w:val="000000"/>
              </w:rPr>
            </w:pPr>
          </w:p>
        </w:tc>
        <w:tc>
          <w:tcPr>
            <w:tcW w:w="1677" w:type="dxa"/>
            <w:shd w:val="clear" w:color="auto" w:fill="BFBFBF"/>
            <w:vAlign w:val="center"/>
          </w:tcPr>
          <w:p w14:paraId="5A2E4EC5" w14:textId="77777777" w:rsidR="00640AD6" w:rsidRPr="00986FEA" w:rsidRDefault="00640AD6" w:rsidP="00ED1A67">
            <w:pPr>
              <w:jc w:val="center"/>
              <w:rPr>
                <w:b/>
                <w:bCs/>
                <w:color w:val="000000"/>
              </w:rPr>
            </w:pPr>
            <w:r w:rsidRPr="00986FEA">
              <w:rPr>
                <w:b/>
                <w:bCs/>
                <w:color w:val="000000"/>
              </w:rPr>
              <w:t xml:space="preserve">Kategória </w:t>
            </w:r>
            <w:proofErr w:type="spellStart"/>
            <w:r w:rsidRPr="00986FEA">
              <w:rPr>
                <w:b/>
                <w:bCs/>
                <w:color w:val="000000"/>
              </w:rPr>
              <w:t>dotk</w:t>
            </w:r>
            <w:proofErr w:type="spellEnd"/>
            <w:r w:rsidRPr="00986FEA">
              <w:rPr>
                <w:b/>
                <w:bCs/>
                <w:color w:val="000000"/>
              </w:rPr>
              <w:t>. subjektov</w:t>
            </w:r>
          </w:p>
        </w:tc>
        <w:tc>
          <w:tcPr>
            <w:tcW w:w="974" w:type="dxa"/>
            <w:shd w:val="clear" w:color="auto" w:fill="BFBFBF"/>
            <w:vAlign w:val="center"/>
          </w:tcPr>
          <w:p w14:paraId="3D90C896" w14:textId="77777777" w:rsidR="00640AD6" w:rsidRPr="00986FEA" w:rsidRDefault="00640AD6" w:rsidP="00ED1A67">
            <w:pPr>
              <w:jc w:val="center"/>
              <w:rPr>
                <w:b/>
                <w:bCs/>
                <w:color w:val="000000"/>
              </w:rPr>
            </w:pPr>
            <w:r w:rsidRPr="00986FEA">
              <w:rPr>
                <w:b/>
                <w:bCs/>
                <w:color w:val="000000"/>
              </w:rPr>
              <w:t>Počet  subjektov v </w:t>
            </w:r>
            <w:proofErr w:type="spellStart"/>
            <w:r w:rsidRPr="00986FEA">
              <w:rPr>
                <w:b/>
                <w:bCs/>
                <w:color w:val="000000"/>
              </w:rPr>
              <w:t>dotk</w:t>
            </w:r>
            <w:proofErr w:type="spellEnd"/>
            <w:r w:rsidRPr="00986FEA">
              <w:rPr>
                <w:b/>
                <w:bCs/>
                <w:color w:val="000000"/>
              </w:rPr>
              <w:t xml:space="preserve">. kategórii </w:t>
            </w:r>
          </w:p>
        </w:tc>
        <w:tc>
          <w:tcPr>
            <w:tcW w:w="974" w:type="dxa"/>
            <w:shd w:val="clear" w:color="auto" w:fill="BFBFBF"/>
            <w:vAlign w:val="center"/>
            <w:hideMark/>
          </w:tcPr>
          <w:p w14:paraId="766C0758" w14:textId="77777777" w:rsidR="00640AD6" w:rsidRPr="00986FEA" w:rsidRDefault="00640AD6" w:rsidP="00ED1A67">
            <w:pPr>
              <w:jc w:val="center"/>
              <w:rPr>
                <w:b/>
                <w:bCs/>
                <w:color w:val="000000"/>
              </w:rPr>
            </w:pPr>
            <w:r w:rsidRPr="00986FEA">
              <w:rPr>
                <w:b/>
                <w:bCs/>
                <w:color w:val="000000"/>
              </w:rPr>
              <w:t>Počet subjektov MSP v </w:t>
            </w:r>
            <w:proofErr w:type="spellStart"/>
            <w:r w:rsidRPr="00986FEA">
              <w:rPr>
                <w:b/>
                <w:bCs/>
                <w:color w:val="000000"/>
              </w:rPr>
              <w:t>dotk</w:t>
            </w:r>
            <w:proofErr w:type="spellEnd"/>
            <w:r w:rsidRPr="00986FEA">
              <w:rPr>
                <w:b/>
                <w:bCs/>
                <w:color w:val="000000"/>
              </w:rPr>
              <w:t xml:space="preserve">. kategórii </w:t>
            </w:r>
          </w:p>
        </w:tc>
        <w:tc>
          <w:tcPr>
            <w:tcW w:w="982" w:type="dxa"/>
            <w:shd w:val="clear" w:color="auto" w:fill="BFBFBF"/>
            <w:vAlign w:val="center"/>
            <w:hideMark/>
          </w:tcPr>
          <w:p w14:paraId="2962A78B" w14:textId="77777777" w:rsidR="00640AD6" w:rsidRPr="00986FEA" w:rsidRDefault="00640AD6" w:rsidP="00ED1A67">
            <w:pPr>
              <w:jc w:val="center"/>
              <w:rPr>
                <w:b/>
                <w:bCs/>
                <w:color w:val="000000"/>
              </w:rPr>
            </w:pPr>
            <w:r w:rsidRPr="00986FEA">
              <w:rPr>
                <w:b/>
                <w:bCs/>
                <w:color w:val="000000"/>
              </w:rPr>
              <w:t>Vplyv na 1 podnik. v €</w:t>
            </w:r>
          </w:p>
        </w:tc>
        <w:tc>
          <w:tcPr>
            <w:tcW w:w="992" w:type="dxa"/>
            <w:shd w:val="clear" w:color="auto" w:fill="BFBFBF"/>
            <w:vAlign w:val="center"/>
            <w:hideMark/>
          </w:tcPr>
          <w:p w14:paraId="48C23A9D" w14:textId="77777777" w:rsidR="00640AD6" w:rsidRPr="00986FEA" w:rsidRDefault="00640AD6" w:rsidP="00ED1A67">
            <w:pPr>
              <w:jc w:val="center"/>
              <w:rPr>
                <w:b/>
                <w:bCs/>
                <w:color w:val="000000"/>
              </w:rPr>
            </w:pPr>
            <w:r w:rsidRPr="00986FEA">
              <w:rPr>
                <w:b/>
                <w:bCs/>
                <w:color w:val="000000"/>
              </w:rPr>
              <w:t xml:space="preserve">Vplyv na kategóriu </w:t>
            </w:r>
            <w:proofErr w:type="spellStart"/>
            <w:r w:rsidRPr="00986FEA">
              <w:rPr>
                <w:b/>
                <w:bCs/>
                <w:color w:val="000000"/>
              </w:rPr>
              <w:t>dotk</w:t>
            </w:r>
            <w:proofErr w:type="spellEnd"/>
            <w:r w:rsidRPr="00986FEA">
              <w:rPr>
                <w:b/>
                <w:bCs/>
                <w:color w:val="000000"/>
              </w:rPr>
              <w:t>. subjektov v €</w:t>
            </w:r>
          </w:p>
        </w:tc>
        <w:tc>
          <w:tcPr>
            <w:tcW w:w="1107" w:type="dxa"/>
            <w:shd w:val="clear" w:color="auto" w:fill="BFBFBF"/>
            <w:vAlign w:val="center"/>
          </w:tcPr>
          <w:p w14:paraId="5E4F7EF0" w14:textId="77777777" w:rsidR="00640AD6" w:rsidRPr="00986FEA" w:rsidRDefault="00640AD6" w:rsidP="00ED1A67">
            <w:pPr>
              <w:jc w:val="center"/>
              <w:rPr>
                <w:b/>
                <w:bCs/>
                <w:color w:val="000000"/>
              </w:rPr>
            </w:pPr>
            <w:r w:rsidRPr="00986FEA">
              <w:rPr>
                <w:b/>
                <w:bCs/>
                <w:color w:val="000000"/>
              </w:rPr>
              <w:t>Druh vplyvu</w:t>
            </w:r>
          </w:p>
          <w:p w14:paraId="2AC5983A" w14:textId="77777777" w:rsidR="00640AD6" w:rsidRPr="00986FEA" w:rsidRDefault="00640AD6" w:rsidP="00ED1A67">
            <w:pPr>
              <w:jc w:val="center"/>
              <w:rPr>
                <w:bCs/>
                <w:color w:val="000000"/>
              </w:rPr>
            </w:pPr>
            <w:r w:rsidRPr="00986FEA">
              <w:rPr>
                <w:bCs/>
                <w:color w:val="000000"/>
              </w:rPr>
              <w:t xml:space="preserve">In (zvyšuje náklady) / </w:t>
            </w:r>
          </w:p>
          <w:p w14:paraId="796DB724" w14:textId="77777777" w:rsidR="00640AD6" w:rsidRPr="00986FEA" w:rsidRDefault="00640AD6" w:rsidP="00ED1A67">
            <w:pPr>
              <w:jc w:val="center"/>
              <w:rPr>
                <w:b/>
                <w:bCs/>
                <w:color w:val="000000"/>
              </w:rPr>
            </w:pPr>
            <w:proofErr w:type="spellStart"/>
            <w:r w:rsidRPr="00986FEA">
              <w:rPr>
                <w:bCs/>
                <w:color w:val="000000"/>
              </w:rPr>
              <w:t>Out</w:t>
            </w:r>
            <w:proofErr w:type="spellEnd"/>
            <w:r w:rsidRPr="00986FEA">
              <w:rPr>
                <w:bCs/>
                <w:color w:val="000000"/>
              </w:rPr>
              <w:t xml:space="preserve"> (znižuje náklady</w:t>
            </w:r>
            <w:r w:rsidRPr="00986FEA">
              <w:rPr>
                <w:b/>
                <w:bCs/>
                <w:color w:val="000000"/>
              </w:rPr>
              <w:t>)</w:t>
            </w:r>
          </w:p>
          <w:p w14:paraId="0117EAA0" w14:textId="77777777" w:rsidR="00640AD6" w:rsidRPr="00986FEA" w:rsidRDefault="00640AD6" w:rsidP="00ED1A67">
            <w:pPr>
              <w:jc w:val="center"/>
              <w:rPr>
                <w:b/>
                <w:bCs/>
                <w:color w:val="000000"/>
              </w:rPr>
            </w:pPr>
          </w:p>
        </w:tc>
      </w:tr>
      <w:tr w:rsidR="00640AD6" w:rsidRPr="00986FEA" w14:paraId="771D675D" w14:textId="77777777" w:rsidTr="00ED1A67">
        <w:trPr>
          <w:trHeight w:val="612"/>
        </w:trPr>
        <w:tc>
          <w:tcPr>
            <w:tcW w:w="479" w:type="dxa"/>
            <w:vAlign w:val="center"/>
          </w:tcPr>
          <w:p w14:paraId="01D8C231" w14:textId="77777777" w:rsidR="00640AD6" w:rsidRPr="00986FEA" w:rsidRDefault="00640AD6" w:rsidP="00ED1A67"/>
        </w:tc>
        <w:tc>
          <w:tcPr>
            <w:tcW w:w="2690" w:type="dxa"/>
            <w:shd w:val="clear" w:color="auto" w:fill="auto"/>
            <w:vAlign w:val="center"/>
          </w:tcPr>
          <w:p w14:paraId="739E8E61" w14:textId="77777777" w:rsidR="00640AD6" w:rsidRPr="00986FEA" w:rsidRDefault="00640AD6" w:rsidP="00ED1A67"/>
          <w:p w14:paraId="24C906C2" w14:textId="77777777" w:rsidR="00640AD6" w:rsidRPr="00986FEA" w:rsidRDefault="00640AD6" w:rsidP="00ED1A67"/>
        </w:tc>
        <w:tc>
          <w:tcPr>
            <w:tcW w:w="1677" w:type="dxa"/>
          </w:tcPr>
          <w:p w14:paraId="4F14F573" w14:textId="77777777" w:rsidR="00640AD6" w:rsidRPr="00986FEA" w:rsidRDefault="00640AD6" w:rsidP="00ED1A67"/>
        </w:tc>
        <w:tc>
          <w:tcPr>
            <w:tcW w:w="1129" w:type="dxa"/>
            <w:shd w:val="clear" w:color="auto" w:fill="auto"/>
            <w:vAlign w:val="center"/>
          </w:tcPr>
          <w:p w14:paraId="721926B9" w14:textId="77777777" w:rsidR="00640AD6" w:rsidRPr="00986FEA" w:rsidRDefault="00640AD6" w:rsidP="00ED1A67"/>
        </w:tc>
        <w:tc>
          <w:tcPr>
            <w:tcW w:w="1246" w:type="dxa"/>
            <w:vAlign w:val="center"/>
          </w:tcPr>
          <w:p w14:paraId="49EF8144" w14:textId="77777777" w:rsidR="00640AD6" w:rsidRPr="00986FEA" w:rsidRDefault="00640AD6" w:rsidP="00ED1A67">
            <w:pPr>
              <w:rPr>
                <w:color w:val="000000"/>
              </w:rPr>
            </w:pPr>
          </w:p>
        </w:tc>
        <w:tc>
          <w:tcPr>
            <w:tcW w:w="934" w:type="dxa"/>
            <w:shd w:val="clear" w:color="auto" w:fill="auto"/>
            <w:noWrap/>
            <w:vAlign w:val="center"/>
          </w:tcPr>
          <w:p w14:paraId="043EE380" w14:textId="77777777" w:rsidR="00640AD6" w:rsidRPr="00986FEA" w:rsidRDefault="00640AD6" w:rsidP="00ED1A67">
            <w:pPr>
              <w:rPr>
                <w:color w:val="000000"/>
              </w:rPr>
            </w:pPr>
          </w:p>
        </w:tc>
        <w:tc>
          <w:tcPr>
            <w:tcW w:w="1677" w:type="dxa"/>
            <w:vAlign w:val="center"/>
          </w:tcPr>
          <w:p w14:paraId="7BAA5826" w14:textId="77777777" w:rsidR="00640AD6" w:rsidRPr="00986FEA" w:rsidRDefault="00640AD6" w:rsidP="00ED1A67"/>
          <w:p w14:paraId="5104A1EA" w14:textId="77777777" w:rsidR="00640AD6" w:rsidRPr="00986FEA" w:rsidRDefault="00640AD6" w:rsidP="00ED1A67"/>
          <w:p w14:paraId="39C46E71" w14:textId="77777777" w:rsidR="00640AD6" w:rsidRPr="00986FEA" w:rsidRDefault="00640AD6" w:rsidP="00ED1A67"/>
          <w:p w14:paraId="3FCDB620" w14:textId="77777777" w:rsidR="00640AD6" w:rsidRPr="00986FEA" w:rsidRDefault="00640AD6" w:rsidP="00ED1A67"/>
          <w:p w14:paraId="51D0B1A1" w14:textId="77777777" w:rsidR="00640AD6" w:rsidRPr="00986FEA" w:rsidRDefault="00640AD6" w:rsidP="00ED1A67"/>
          <w:p w14:paraId="4E3B5CAE" w14:textId="77777777" w:rsidR="00640AD6" w:rsidRPr="00986FEA" w:rsidRDefault="00640AD6" w:rsidP="00ED1A67"/>
          <w:p w14:paraId="565F6E54" w14:textId="77777777" w:rsidR="00640AD6" w:rsidRPr="00986FEA" w:rsidRDefault="00640AD6" w:rsidP="00ED1A67"/>
          <w:p w14:paraId="261874AB" w14:textId="77777777" w:rsidR="00640AD6" w:rsidRPr="00986FEA" w:rsidRDefault="00640AD6" w:rsidP="00ED1A67"/>
          <w:p w14:paraId="13408A08" w14:textId="77777777" w:rsidR="00640AD6" w:rsidRPr="00986FEA" w:rsidRDefault="00640AD6" w:rsidP="00ED1A67"/>
          <w:p w14:paraId="2DFC1A71" w14:textId="77777777" w:rsidR="00640AD6" w:rsidRPr="00986FEA" w:rsidRDefault="00640AD6" w:rsidP="00ED1A67"/>
          <w:p w14:paraId="3B8F2A1B" w14:textId="77777777" w:rsidR="00640AD6" w:rsidRPr="00986FEA" w:rsidRDefault="00640AD6" w:rsidP="00ED1A67"/>
          <w:p w14:paraId="7E4F2B77" w14:textId="77777777" w:rsidR="00640AD6" w:rsidRPr="00986FEA" w:rsidRDefault="00640AD6" w:rsidP="00ED1A67"/>
          <w:p w14:paraId="3E437662" w14:textId="77777777" w:rsidR="00640AD6" w:rsidRPr="00986FEA" w:rsidRDefault="00640AD6" w:rsidP="00ED1A67"/>
          <w:p w14:paraId="3D2154B6" w14:textId="77777777" w:rsidR="00640AD6" w:rsidRPr="00986FEA" w:rsidRDefault="00640AD6" w:rsidP="00ED1A67"/>
          <w:p w14:paraId="42BB8C0E" w14:textId="77777777" w:rsidR="00640AD6" w:rsidRPr="00986FEA" w:rsidRDefault="00640AD6" w:rsidP="00ED1A67"/>
          <w:p w14:paraId="2FF8C8EF" w14:textId="77777777" w:rsidR="00640AD6" w:rsidRPr="00986FEA" w:rsidRDefault="00640AD6" w:rsidP="00ED1A67"/>
          <w:p w14:paraId="7641361D" w14:textId="77777777" w:rsidR="00640AD6" w:rsidRPr="00986FEA" w:rsidRDefault="00640AD6" w:rsidP="00ED1A67"/>
          <w:p w14:paraId="3EC5E6B4" w14:textId="77777777" w:rsidR="00640AD6" w:rsidRPr="00986FEA" w:rsidRDefault="00640AD6" w:rsidP="00ED1A67"/>
          <w:p w14:paraId="49305E15" w14:textId="77777777" w:rsidR="00640AD6" w:rsidRPr="00986FEA" w:rsidRDefault="00640AD6" w:rsidP="00ED1A67"/>
          <w:p w14:paraId="5F962B89" w14:textId="77777777" w:rsidR="00640AD6" w:rsidRPr="00986FEA" w:rsidRDefault="00640AD6" w:rsidP="00ED1A67"/>
        </w:tc>
        <w:tc>
          <w:tcPr>
            <w:tcW w:w="974" w:type="dxa"/>
            <w:shd w:val="clear" w:color="auto" w:fill="auto"/>
            <w:noWrap/>
            <w:vAlign w:val="center"/>
          </w:tcPr>
          <w:p w14:paraId="1F1113CB" w14:textId="77777777" w:rsidR="00640AD6" w:rsidRPr="00986FEA" w:rsidRDefault="00640AD6" w:rsidP="00ED1A67"/>
        </w:tc>
        <w:tc>
          <w:tcPr>
            <w:tcW w:w="974" w:type="dxa"/>
            <w:shd w:val="clear" w:color="auto" w:fill="auto"/>
            <w:noWrap/>
            <w:vAlign w:val="center"/>
          </w:tcPr>
          <w:p w14:paraId="6D31113C" w14:textId="77777777" w:rsidR="00640AD6" w:rsidRPr="00986FEA" w:rsidRDefault="00640AD6" w:rsidP="00ED1A67">
            <w:pPr>
              <w:rPr>
                <w:color w:val="000000"/>
              </w:rPr>
            </w:pPr>
          </w:p>
        </w:tc>
        <w:tc>
          <w:tcPr>
            <w:tcW w:w="982" w:type="dxa"/>
            <w:shd w:val="clear" w:color="auto" w:fill="auto"/>
            <w:noWrap/>
            <w:vAlign w:val="center"/>
          </w:tcPr>
          <w:p w14:paraId="0E6F175F" w14:textId="77777777" w:rsidR="00640AD6" w:rsidRPr="00986FEA" w:rsidRDefault="00640AD6" w:rsidP="00ED1A67"/>
        </w:tc>
        <w:tc>
          <w:tcPr>
            <w:tcW w:w="992" w:type="dxa"/>
            <w:shd w:val="clear" w:color="auto" w:fill="auto"/>
            <w:noWrap/>
            <w:vAlign w:val="center"/>
          </w:tcPr>
          <w:p w14:paraId="56E052A1" w14:textId="77777777" w:rsidR="00640AD6" w:rsidRPr="00986FEA" w:rsidRDefault="00640AD6" w:rsidP="00ED1A67">
            <w:pPr>
              <w:rPr>
                <w:color w:val="000000"/>
              </w:rPr>
            </w:pPr>
          </w:p>
        </w:tc>
        <w:tc>
          <w:tcPr>
            <w:tcW w:w="1107" w:type="dxa"/>
            <w:vAlign w:val="center"/>
          </w:tcPr>
          <w:p w14:paraId="76CED063" w14:textId="77777777" w:rsidR="00640AD6" w:rsidRPr="00986FEA" w:rsidRDefault="00640AD6" w:rsidP="00ED1A67"/>
        </w:tc>
      </w:tr>
    </w:tbl>
    <w:p w14:paraId="3E134F4D" w14:textId="77777777" w:rsidR="00640AD6" w:rsidRPr="00986FEA" w:rsidRDefault="00640AD6" w:rsidP="00640AD6">
      <w:pPr>
        <w:jc w:val="both"/>
        <w:rPr>
          <w:rFonts w:eastAsia="Calibri"/>
          <w:i/>
        </w:rPr>
      </w:pPr>
    </w:p>
    <w:p w14:paraId="05D601D6" w14:textId="77777777" w:rsidR="00640AD6" w:rsidRPr="00986FEA" w:rsidRDefault="00640AD6" w:rsidP="00640AD6">
      <w:pPr>
        <w:jc w:val="both"/>
        <w:rPr>
          <w:rFonts w:eastAsia="Calibri"/>
          <w:b/>
          <w:bCs/>
          <w:i/>
        </w:rPr>
        <w:sectPr w:rsidR="00640AD6" w:rsidRPr="00986FEA" w:rsidSect="00142154">
          <w:pgSz w:w="16838" w:h="11906" w:orient="landscape"/>
          <w:pgMar w:top="1417" w:right="1417" w:bottom="1417" w:left="1417" w:header="708" w:footer="708" w:gutter="0"/>
          <w:cols w:space="708"/>
          <w:docGrid w:linePitch="360"/>
        </w:sectPr>
      </w:pPr>
    </w:p>
    <w:p w14:paraId="7E111F71" w14:textId="77777777" w:rsidR="00640AD6" w:rsidRPr="00986FEA" w:rsidRDefault="00640AD6" w:rsidP="00640AD6">
      <w:pPr>
        <w:jc w:val="both"/>
        <w:rPr>
          <w:rFonts w:eastAsia="Calibri"/>
          <w:b/>
          <w:bCs/>
          <w:i/>
          <w:u w:val="single"/>
        </w:rPr>
      </w:pPr>
      <w:r w:rsidRPr="00986FEA">
        <w:rPr>
          <w:rFonts w:eastAsia="Calibri"/>
          <w:b/>
          <w:bCs/>
          <w:i/>
          <w:u w:val="single"/>
        </w:rPr>
        <w:t xml:space="preserve">Doplňujúce informácie k spôsobu výpočtu vplyvov jednotlivých regulácií na zmenu nákladov </w:t>
      </w:r>
    </w:p>
    <w:p w14:paraId="71F034CC" w14:textId="77777777" w:rsidR="00640AD6" w:rsidRPr="00986FEA" w:rsidRDefault="00640AD6" w:rsidP="00640AD6">
      <w:pPr>
        <w:jc w:val="both"/>
        <w:rPr>
          <w:rFonts w:eastAsia="Calibri"/>
          <w:bCs/>
          <w:i/>
          <w:iCs/>
          <w:color w:val="000000"/>
        </w:rPr>
      </w:pPr>
      <w:r w:rsidRPr="00986FEA">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986FEA">
        <w:rPr>
          <w:rFonts w:eastAsia="Calibri"/>
          <w:bCs/>
          <w:i/>
          <w:iCs/>
          <w:color w:val="000000"/>
        </w:rPr>
        <w:t>link</w:t>
      </w:r>
      <w:proofErr w:type="spellEnd"/>
      <w:r w:rsidRPr="00986FEA">
        <w:rPr>
          <w:rFonts w:eastAsia="Calibri"/>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986FEA">
        <w:rPr>
          <w:rFonts w:eastAsia="Calibri"/>
          <w:bCs/>
          <w:i/>
          <w:iCs/>
          <w:color w:val="000000"/>
        </w:rPr>
        <w:t>externality</w:t>
      </w:r>
      <w:proofErr w:type="spellEnd"/>
      <w:r w:rsidRPr="00986FEA">
        <w:rPr>
          <w:rFonts w:eastAsia="Calibri"/>
          <w:bCs/>
          <w:i/>
          <w:iCs/>
          <w:color w:val="000000"/>
        </w:rPr>
        <w:t xml:space="preserve">, B. Iné poplatky, C. Nepriame finančné náklady, D. Administratívne náklady). Rozčleňte ich a vypočítajte v súlade s metodickým postupom. </w:t>
      </w:r>
    </w:p>
    <w:p w14:paraId="272674F7" w14:textId="77777777" w:rsidR="00640AD6" w:rsidRPr="00986FEA" w:rsidRDefault="00640AD6" w:rsidP="00640AD6">
      <w:pPr>
        <w:jc w:val="both"/>
        <w:rPr>
          <w:rFonts w:eastAsia="Calibri"/>
          <w:b/>
        </w:rPr>
      </w:pPr>
      <w:r w:rsidRPr="00986FEA">
        <w:rPr>
          <w:rFonts w:eastAsia="Calibri"/>
          <w:b/>
        </w:rPr>
        <w:t>3.2 Vyhodnotenie konzultácií s podnikateľskými subjektmi pred predbežným pripomienkovým konaním</w:t>
      </w:r>
    </w:p>
    <w:p w14:paraId="0961EF24" w14:textId="4A2D921E" w:rsidR="00640AD6" w:rsidRPr="00986FEA" w:rsidRDefault="00640AD6" w:rsidP="00640AD6">
      <w:pPr>
        <w:jc w:val="both"/>
        <w:rPr>
          <w:rFonts w:eastAsia="Calibri"/>
        </w:rPr>
      </w:pPr>
      <w:r w:rsidRPr="00986FEA">
        <w:rPr>
          <w:rFonts w:eastAsia="Calibri"/>
        </w:rPr>
        <w:t>Predbežná informácia bola uverejnená</w:t>
      </w:r>
      <w:r w:rsidR="00C25C60">
        <w:rPr>
          <w:rFonts w:eastAsia="Calibri"/>
        </w:rPr>
        <w:t xml:space="preserve"> na portáli Slov-lex pod číslom </w:t>
      </w:r>
      <w:r w:rsidR="002766B9" w:rsidRPr="002766B9">
        <w:rPr>
          <w:rFonts w:eastAsia="Calibri"/>
        </w:rPr>
        <w:t>PI/202</w:t>
      </w:r>
      <w:r w:rsidR="00C25C60">
        <w:rPr>
          <w:rFonts w:eastAsia="Calibri"/>
        </w:rPr>
        <w:t>2/70</w:t>
      </w:r>
      <w:r w:rsidR="002766B9">
        <w:rPr>
          <w:rFonts w:eastAsia="Calibri"/>
        </w:rPr>
        <w:t xml:space="preserve">. </w:t>
      </w:r>
      <w:r w:rsidRPr="00986FEA">
        <w:rPr>
          <w:rFonts w:eastAsia="Calibri"/>
        </w:rPr>
        <w:t>Podklad na konzultá</w:t>
      </w:r>
      <w:r w:rsidR="002766B9">
        <w:rPr>
          <w:rFonts w:eastAsia="Calibri"/>
        </w:rPr>
        <w:t>cie bol zároveň uverejnený dňa 7.4.2022</w:t>
      </w:r>
      <w:r w:rsidRPr="00986FEA">
        <w:rPr>
          <w:rFonts w:eastAsia="Calibri"/>
        </w:rPr>
        <w:t xml:space="preserve"> na webovom sídle predkladateľa </w:t>
      </w:r>
      <w:r w:rsidR="002766B9">
        <w:rPr>
          <w:rFonts w:eastAsia="Calibri"/>
        </w:rPr>
        <w:t>s dobou trvania konzultácií od 7.4.2022 do 7.5.2022</w:t>
      </w:r>
      <w:r w:rsidRPr="00986FEA">
        <w:rPr>
          <w:rFonts w:eastAsia="Calibri"/>
        </w:rPr>
        <w:t>. O konzultáciu nepožiadali žiadne subjekty.</w:t>
      </w:r>
    </w:p>
    <w:p w14:paraId="0D1FEF87" w14:textId="77777777" w:rsidR="00640AD6" w:rsidRPr="00986FEA" w:rsidRDefault="00640AD6" w:rsidP="00640AD6">
      <w:pPr>
        <w:jc w:val="both"/>
        <w:rPr>
          <w:rFonts w:eastAsia="Calibri"/>
          <w:i/>
        </w:rPr>
      </w:pPr>
    </w:p>
    <w:p w14:paraId="1D34D168" w14:textId="77777777" w:rsidR="00640AD6" w:rsidRPr="00986FEA" w:rsidRDefault="00640AD6" w:rsidP="00640AD6">
      <w:pPr>
        <w:jc w:val="both"/>
        <w:rPr>
          <w:rFonts w:eastAsia="Calibri"/>
          <w:b/>
        </w:rPr>
      </w:pPr>
      <w:bookmarkStart w:id="0" w:name="_Hlk47698091"/>
      <w:r w:rsidRPr="00986FEA">
        <w:rPr>
          <w:rFonts w:eastAsia="Calibri"/>
          <w:b/>
        </w:rPr>
        <w:t>3.3 Vplyvy na konkurencieschopnosť a produktivitu</w:t>
      </w:r>
    </w:p>
    <w:bookmarkEnd w:id="0"/>
    <w:p w14:paraId="0E524193" w14:textId="77777777" w:rsidR="00640AD6" w:rsidRPr="00986FEA" w:rsidRDefault="00640AD6" w:rsidP="00640AD6">
      <w:pPr>
        <w:jc w:val="both"/>
        <w:rPr>
          <w:rFonts w:eastAsia="Calibri"/>
          <w:i/>
        </w:rPr>
      </w:pPr>
      <w:r w:rsidRPr="00986FEA">
        <w:rPr>
          <w:rFonts w:eastAsia="Calibri"/>
          <w:i/>
        </w:rPr>
        <w:t xml:space="preserve">Dochádza k vytvoreniu resp. k zmene bariér na trhu? </w:t>
      </w:r>
    </w:p>
    <w:p w14:paraId="04AA6020" w14:textId="77777777" w:rsidR="00640AD6" w:rsidRPr="00986FEA" w:rsidRDefault="00640AD6" w:rsidP="00640AD6">
      <w:pPr>
        <w:jc w:val="both"/>
        <w:rPr>
          <w:rFonts w:eastAsia="Calibri"/>
          <w:i/>
        </w:rPr>
      </w:pPr>
      <w:r w:rsidRPr="00986FEA">
        <w:rPr>
          <w:rFonts w:eastAsia="Calibri"/>
          <w:i/>
        </w:rPr>
        <w:t xml:space="preserve">Bude sa s niektorými podnikmi alebo produktmi zaobchádzať v porovnateľnej situácii rôzne (napr. špeciálne režimy pre </w:t>
      </w:r>
      <w:proofErr w:type="spellStart"/>
      <w:r w:rsidRPr="00986FEA">
        <w:rPr>
          <w:rFonts w:eastAsia="Calibri"/>
          <w:i/>
        </w:rPr>
        <w:t>mikro</w:t>
      </w:r>
      <w:proofErr w:type="spellEnd"/>
      <w:r w:rsidRPr="00986FEA">
        <w:rPr>
          <w:rFonts w:eastAsia="Calibri"/>
          <w:i/>
        </w:rPr>
        <w:t xml:space="preserve">, malé a stredné podniky tzv. MSP)? </w:t>
      </w:r>
    </w:p>
    <w:p w14:paraId="17365630" w14:textId="77777777" w:rsidR="00640AD6" w:rsidRPr="00986FEA" w:rsidRDefault="00640AD6" w:rsidP="00640AD6">
      <w:pPr>
        <w:jc w:val="both"/>
        <w:rPr>
          <w:rFonts w:eastAsia="Calibri"/>
          <w:i/>
        </w:rPr>
      </w:pPr>
      <w:r w:rsidRPr="00986FEA">
        <w:rPr>
          <w:rFonts w:eastAsia="Calibri"/>
          <w:i/>
        </w:rPr>
        <w:t xml:space="preserve">Ovplyvňuje zmena regulácie cezhraničné investície (príliv/odliv zahraničných investícií resp. uplatnenie slovenských podnikov na zahraničných trhoch)? </w:t>
      </w:r>
    </w:p>
    <w:p w14:paraId="1A952982" w14:textId="77777777" w:rsidR="00640AD6" w:rsidRPr="00986FEA" w:rsidRDefault="00640AD6" w:rsidP="00640AD6">
      <w:pPr>
        <w:jc w:val="both"/>
        <w:rPr>
          <w:rFonts w:eastAsia="Calibri"/>
          <w:i/>
        </w:rPr>
      </w:pPr>
      <w:r w:rsidRPr="00986FEA">
        <w:rPr>
          <w:rFonts w:eastAsia="Calibri"/>
          <w:i/>
        </w:rPr>
        <w:t xml:space="preserve">Ovplyvní dostupnosť základných zdrojov (financie, pracovná sila, suroviny, mechanizmy, energie atď.)? </w:t>
      </w:r>
    </w:p>
    <w:p w14:paraId="6766314C" w14:textId="77777777" w:rsidR="00640AD6" w:rsidRPr="00986FEA" w:rsidRDefault="00640AD6" w:rsidP="00640AD6">
      <w:pPr>
        <w:jc w:val="both"/>
        <w:rPr>
          <w:rFonts w:eastAsia="Calibri"/>
          <w:i/>
        </w:rPr>
      </w:pPr>
      <w:r w:rsidRPr="00986FEA">
        <w:rPr>
          <w:rFonts w:eastAsia="Calibri"/>
          <w:i/>
        </w:rPr>
        <w:t>Ovplyvňuje zmena regulácie inovácie, vedu a výskum?</w:t>
      </w:r>
    </w:p>
    <w:p w14:paraId="567E1EFA" w14:textId="77777777" w:rsidR="00640AD6" w:rsidRPr="00986FEA" w:rsidRDefault="00640AD6" w:rsidP="00640AD6">
      <w:pPr>
        <w:jc w:val="both"/>
        <w:rPr>
          <w:rFonts w:eastAsia="Calibri"/>
          <w:i/>
        </w:rPr>
      </w:pPr>
      <w:r w:rsidRPr="00986FEA">
        <w:rPr>
          <w:rFonts w:eastAsia="Calibri"/>
          <w:i/>
          <w:iCs/>
        </w:rPr>
        <w:t>Ako prispieva zmena regulácie k cieľu Slovenska mať najlepšie podnikateľské prostredie spomedzi susediacich krajín EÚ?</w:t>
      </w:r>
    </w:p>
    <w:p w14:paraId="3F774C04" w14:textId="77777777" w:rsidR="00640AD6" w:rsidRPr="00986FEA" w:rsidRDefault="00640AD6" w:rsidP="00640AD6">
      <w:pPr>
        <w:jc w:val="both"/>
        <w:rPr>
          <w:rFonts w:eastAsia="Calibri"/>
          <w:i/>
        </w:rPr>
      </w:pPr>
    </w:p>
    <w:p w14:paraId="5EABFE35" w14:textId="77777777" w:rsidR="00640AD6" w:rsidRPr="00986FEA" w:rsidRDefault="00640AD6" w:rsidP="00640AD6">
      <w:pPr>
        <w:jc w:val="both"/>
        <w:rPr>
          <w:rFonts w:eastAsia="Calibri"/>
          <w:b/>
          <w:i/>
        </w:rPr>
      </w:pPr>
      <w:r w:rsidRPr="00986FEA">
        <w:rPr>
          <w:rFonts w:eastAsia="Calibri"/>
          <w:b/>
          <w:i/>
        </w:rPr>
        <w:t>Konkurencieschopnosť:</w:t>
      </w:r>
    </w:p>
    <w:p w14:paraId="07441F68" w14:textId="77777777" w:rsidR="00640AD6" w:rsidRPr="00986FEA" w:rsidRDefault="00640AD6" w:rsidP="00640AD6">
      <w:pPr>
        <w:jc w:val="both"/>
        <w:rPr>
          <w:rFonts w:eastAsia="Calibri"/>
          <w:i/>
        </w:rPr>
      </w:pPr>
      <w:r w:rsidRPr="00986FEA">
        <w:rPr>
          <w:rFonts w:eastAsia="Calibri"/>
          <w:i/>
        </w:rPr>
        <w:t>Na základe uvedených odpovedí zaškrtnite a popíšte, či materiál konkurencieschopnosť:</w:t>
      </w:r>
    </w:p>
    <w:p w14:paraId="5B759EB0" w14:textId="77777777" w:rsidR="00640AD6" w:rsidRPr="00986FEA" w:rsidRDefault="00FF3525" w:rsidP="00640AD6">
      <w:pPr>
        <w:jc w:val="both"/>
        <w:rPr>
          <w:rFonts w:eastAsia="Calibri"/>
          <w:i/>
        </w:rPr>
      </w:pPr>
      <w:sdt>
        <w:sdtPr>
          <w:rPr>
            <w:rFonts w:eastAsia="Calibri"/>
            <w:i/>
          </w:rPr>
          <w:id w:val="798576880"/>
        </w:sdtPr>
        <w:sdtEndPr/>
        <w:sdtContent>
          <w:sdt>
            <w:sdtPr>
              <w:rPr>
                <w:rFonts w:eastAsia="Calibri"/>
                <w:i/>
              </w:rPr>
              <w:id w:val="1729873660"/>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zvyšuje  </w:t>
      </w:r>
      <w:r w:rsidR="00640AD6" w:rsidRPr="00986FEA">
        <w:rPr>
          <w:rFonts w:eastAsia="Calibri"/>
          <w:i/>
        </w:rPr>
        <w:tab/>
      </w:r>
      <w:sdt>
        <w:sdtPr>
          <w:rPr>
            <w:i/>
          </w:rPr>
          <w:id w:val="-386717170"/>
          <w14:checkbox>
            <w14:checked w14:val="1"/>
            <w14:checkedState w14:val="2612" w14:font="MS Gothic"/>
            <w14:uncheckedState w14:val="2610" w14:font="MS Gothic"/>
          </w14:checkbox>
        </w:sdtPr>
        <w:sdtEndPr/>
        <w:sdtContent>
          <w:r w:rsidR="00640AD6" w:rsidRPr="00986FEA">
            <w:rPr>
              <w:rFonts w:ascii="MS Gothic" w:eastAsia="MS Gothic" w:hAnsi="MS Gothic"/>
              <w:i/>
            </w:rPr>
            <w:t>☒</w:t>
          </w:r>
        </w:sdtContent>
      </w:sdt>
      <w:r w:rsidR="00640AD6" w:rsidRPr="00986FEA" w:rsidDel="004B47F7">
        <w:rPr>
          <w:rFonts w:eastAsia="Calibri"/>
          <w:i/>
        </w:rPr>
        <w:t xml:space="preserve"> </w:t>
      </w:r>
      <w:r w:rsidR="00640AD6" w:rsidRPr="00986FEA">
        <w:rPr>
          <w:rFonts w:eastAsia="Calibri"/>
          <w:i/>
        </w:rPr>
        <w:t>nemení</w:t>
      </w:r>
      <w:r w:rsidR="00640AD6" w:rsidRPr="00986FEA">
        <w:rPr>
          <w:rFonts w:eastAsia="Calibri"/>
          <w:i/>
        </w:rPr>
        <w:tab/>
      </w:r>
      <w:sdt>
        <w:sdtPr>
          <w:rPr>
            <w:rFonts w:eastAsia="Calibri"/>
            <w:i/>
          </w:rPr>
          <w:id w:val="-474604883"/>
        </w:sdtPr>
        <w:sdtEndPr/>
        <w:sdtContent>
          <w:sdt>
            <w:sdtPr>
              <w:rPr>
                <w:rFonts w:eastAsia="Calibri"/>
                <w:i/>
              </w:rPr>
              <w:id w:val="-1706551548"/>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znižuje</w:t>
      </w:r>
    </w:p>
    <w:p w14:paraId="4A55B1D5" w14:textId="77777777" w:rsidR="00640AD6" w:rsidRPr="00986FEA" w:rsidRDefault="00640AD6" w:rsidP="00640AD6">
      <w:pPr>
        <w:jc w:val="both"/>
        <w:rPr>
          <w:rFonts w:eastAsia="Calibri"/>
          <w:i/>
        </w:rPr>
      </w:pPr>
    </w:p>
    <w:p w14:paraId="549427CC" w14:textId="77777777" w:rsidR="00640AD6" w:rsidRPr="00986FEA" w:rsidRDefault="00640AD6" w:rsidP="00640AD6">
      <w:pPr>
        <w:jc w:val="both"/>
        <w:rPr>
          <w:rFonts w:eastAsia="Calibri"/>
          <w:b/>
          <w:i/>
        </w:rPr>
      </w:pPr>
      <w:r w:rsidRPr="00986FEA">
        <w:rPr>
          <w:rFonts w:eastAsia="Calibri"/>
          <w:b/>
          <w:i/>
        </w:rPr>
        <w:t>Produktivita:</w:t>
      </w:r>
    </w:p>
    <w:p w14:paraId="52C79AC5" w14:textId="77777777" w:rsidR="00640AD6" w:rsidRPr="00986FEA" w:rsidRDefault="00640AD6" w:rsidP="00640AD6">
      <w:pPr>
        <w:jc w:val="both"/>
        <w:rPr>
          <w:rFonts w:eastAsia="Calibri"/>
          <w:i/>
        </w:rPr>
      </w:pPr>
      <w:r w:rsidRPr="00986FEA">
        <w:rPr>
          <w:rFonts w:eastAsia="Calibri"/>
          <w:i/>
        </w:rPr>
        <w:t xml:space="preserve">Aký má materiál vplyv na zmenu pomeru medzi produkciou podnikov a ich nákladmi? </w:t>
      </w:r>
    </w:p>
    <w:p w14:paraId="4E89535A" w14:textId="77777777" w:rsidR="00640AD6" w:rsidRPr="00986FEA" w:rsidRDefault="00640AD6" w:rsidP="00640AD6">
      <w:pPr>
        <w:jc w:val="both"/>
        <w:rPr>
          <w:rFonts w:eastAsia="Calibri"/>
          <w:i/>
        </w:rPr>
      </w:pPr>
    </w:p>
    <w:p w14:paraId="054F9118" w14:textId="77777777" w:rsidR="00640AD6" w:rsidRPr="00986FEA" w:rsidRDefault="00640AD6" w:rsidP="00640AD6">
      <w:pPr>
        <w:jc w:val="both"/>
        <w:rPr>
          <w:rFonts w:eastAsia="Calibri"/>
          <w:i/>
        </w:rPr>
      </w:pPr>
      <w:r w:rsidRPr="00986FEA">
        <w:rPr>
          <w:rFonts w:eastAsia="Calibri"/>
          <w:i/>
        </w:rPr>
        <w:t>Na základe uvedenej odpovede zaškrtnite a popíšte, či materiál produktivitu:</w:t>
      </w:r>
    </w:p>
    <w:p w14:paraId="587E00B0" w14:textId="77777777" w:rsidR="00640AD6" w:rsidRPr="00986FEA" w:rsidRDefault="00FF3525" w:rsidP="00640AD6">
      <w:pPr>
        <w:jc w:val="both"/>
        <w:rPr>
          <w:rFonts w:eastAsia="Calibri"/>
          <w:i/>
        </w:rPr>
      </w:pPr>
      <w:sdt>
        <w:sdtPr>
          <w:rPr>
            <w:rFonts w:eastAsia="Calibri"/>
            <w:i/>
          </w:rPr>
          <w:id w:val="-1545903528"/>
        </w:sdtPr>
        <w:sdtEndPr/>
        <w:sdtContent>
          <w:sdt>
            <w:sdtPr>
              <w:rPr>
                <w:rFonts w:eastAsia="Calibri"/>
                <w:i/>
              </w:rPr>
              <w:id w:val="825715010"/>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zvyšuje  </w:t>
      </w:r>
      <w:r w:rsidR="00640AD6" w:rsidRPr="00986FEA">
        <w:rPr>
          <w:rFonts w:eastAsia="Calibri"/>
          <w:i/>
        </w:rPr>
        <w:tab/>
      </w:r>
      <w:sdt>
        <w:sdtPr>
          <w:rPr>
            <w:i/>
          </w:rPr>
          <w:id w:val="-2142414335"/>
          <w14:checkbox>
            <w14:checked w14:val="1"/>
            <w14:checkedState w14:val="2612" w14:font="MS Gothic"/>
            <w14:uncheckedState w14:val="2610" w14:font="MS Gothic"/>
          </w14:checkbox>
        </w:sdtPr>
        <w:sdtEndPr/>
        <w:sdtContent>
          <w:r w:rsidR="00640AD6" w:rsidRPr="00986FEA">
            <w:rPr>
              <w:rFonts w:ascii="MS Gothic" w:eastAsia="MS Gothic" w:hAnsi="MS Gothic"/>
              <w:i/>
            </w:rPr>
            <w:t>☒</w:t>
          </w:r>
        </w:sdtContent>
      </w:sdt>
      <w:r w:rsidR="00640AD6" w:rsidRPr="00986FEA" w:rsidDel="004B47F7">
        <w:rPr>
          <w:rFonts w:eastAsia="Calibri"/>
          <w:i/>
        </w:rPr>
        <w:t xml:space="preserve"> </w:t>
      </w:r>
      <w:r w:rsidR="00640AD6" w:rsidRPr="00986FEA">
        <w:rPr>
          <w:rFonts w:eastAsia="Calibri"/>
          <w:i/>
        </w:rPr>
        <w:t>nemení</w:t>
      </w:r>
      <w:r w:rsidR="00640AD6" w:rsidRPr="00986FEA">
        <w:rPr>
          <w:rFonts w:eastAsia="Calibri"/>
          <w:i/>
        </w:rPr>
        <w:tab/>
      </w:r>
      <w:sdt>
        <w:sdtPr>
          <w:rPr>
            <w:rFonts w:eastAsia="Calibri"/>
            <w:i/>
          </w:rPr>
          <w:id w:val="-1457723544"/>
        </w:sdtPr>
        <w:sdtEndPr/>
        <w:sdtContent>
          <w:sdt>
            <w:sdtPr>
              <w:rPr>
                <w:rFonts w:eastAsia="Calibri"/>
                <w:i/>
              </w:rPr>
              <w:id w:val="-623767955"/>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znižuje</w:t>
      </w:r>
    </w:p>
    <w:p w14:paraId="74ED37E7" w14:textId="77777777" w:rsidR="00640AD6" w:rsidRPr="00986FEA" w:rsidRDefault="00640AD6" w:rsidP="00640AD6">
      <w:pPr>
        <w:jc w:val="both"/>
        <w:rPr>
          <w:rFonts w:eastAsia="Calibri"/>
          <w:i/>
        </w:rPr>
      </w:pPr>
    </w:p>
    <w:p w14:paraId="4B867C33" w14:textId="77777777" w:rsidR="00640AD6" w:rsidRPr="00986FEA" w:rsidRDefault="00640AD6" w:rsidP="00640AD6">
      <w:pPr>
        <w:jc w:val="both"/>
        <w:rPr>
          <w:rFonts w:eastAsia="Calibri"/>
          <w:b/>
        </w:rPr>
      </w:pPr>
      <w:r w:rsidRPr="00986FEA">
        <w:rPr>
          <w:rFonts w:eastAsia="Calibri"/>
          <w:b/>
        </w:rPr>
        <w:t xml:space="preserve">3.4  Iné vplyvy na podnikateľské prostredie </w:t>
      </w:r>
    </w:p>
    <w:p w14:paraId="01577DEF" w14:textId="77777777" w:rsidR="00640AD6" w:rsidRPr="00986FEA" w:rsidRDefault="00640AD6" w:rsidP="00640AD6">
      <w:pPr>
        <w:jc w:val="both"/>
        <w:rPr>
          <w:rFonts w:eastAsia="Calibri"/>
          <w:i/>
        </w:rPr>
      </w:pPr>
      <w:r w:rsidRPr="00986FEA">
        <w:rPr>
          <w:rFonts w:eastAsia="Calibri"/>
          <w:i/>
        </w:rPr>
        <w:t xml:space="preserve">Ak má materiál vplyvy na PP, ktoré nemožno zaradiť do predchádzajúcich častí, či už pozitívne alebo negatívne, tu ich uveďte.  Patria sem: </w:t>
      </w:r>
    </w:p>
    <w:p w14:paraId="1486DF4B" w14:textId="77777777" w:rsidR="00640AD6" w:rsidRPr="00986FEA"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sankcie alebo pokuty, ako dôsledok porušenia právne záväzných ustanovení;</w:t>
      </w:r>
    </w:p>
    <w:p w14:paraId="1530ECD5" w14:textId="77777777" w:rsidR="00640AD6" w:rsidRPr="00986FEA"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10FA6948" w14:textId="77777777" w:rsidR="00640AD6" w:rsidRPr="00986FEA"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regulované ceny podľa zákona č. 18/1996 Z. z. o cenách;</w:t>
      </w:r>
    </w:p>
    <w:p w14:paraId="71A5AC55" w14:textId="77777777" w:rsidR="00640AD6" w:rsidRPr="00986FEA"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iné vplyvy, ktoré predpokladá materiál, ale nemožno ich zaradiť do častí 3.1 a 3.3. </w:t>
      </w:r>
    </w:p>
    <w:p w14:paraId="7BD131C6" w14:textId="77777777" w:rsidR="00640AD6" w:rsidRPr="00986FEA" w:rsidRDefault="00640AD6" w:rsidP="00640AD6">
      <w:pPr>
        <w:jc w:val="both"/>
        <w:rPr>
          <w:rFonts w:eastAsia="Calibri"/>
          <w:i/>
          <w:color w:val="0070C0"/>
        </w:rPr>
      </w:pPr>
    </w:p>
    <w:p w14:paraId="3ABDB97E" w14:textId="72A73A41" w:rsidR="00774261" w:rsidRDefault="00640AD6" w:rsidP="00640AD6">
      <w:pPr>
        <w:jc w:val="both"/>
        <w:rPr>
          <w:rFonts w:eastAsia="Calibri"/>
        </w:rPr>
      </w:pPr>
      <w:r w:rsidRPr="00986FEA">
        <w:rPr>
          <w:rFonts w:eastAsia="Calibri"/>
        </w:rPr>
        <w:t xml:space="preserve">Návrhom nariadenia vlády </w:t>
      </w:r>
      <w:r w:rsidR="006C1673" w:rsidRPr="006C1673">
        <w:rPr>
          <w:rFonts w:eastAsia="Calibri"/>
        </w:rPr>
        <w:t xml:space="preserve">sa ustanovujú </w:t>
      </w:r>
      <w:r w:rsidR="00C25C60" w:rsidRPr="00C25C60">
        <w:rPr>
          <w:rFonts w:eastAsia="Calibri"/>
        </w:rPr>
        <w:t>pravidlá poskytovania podpory v poľnohospodárstve na základe intervencií vo forme priamych platieb</w:t>
      </w:r>
      <w:r w:rsidR="00C25C60">
        <w:rPr>
          <w:rFonts w:eastAsia="Calibri"/>
        </w:rPr>
        <w:t xml:space="preserve">. </w:t>
      </w:r>
      <w:r w:rsidR="009F7060" w:rsidRPr="009F7060">
        <w:rPr>
          <w:rFonts w:eastAsia="Calibri"/>
        </w:rPr>
        <w:t>Návrhom nariadenia vlády sa</w:t>
      </w:r>
      <w:r w:rsidR="00C25C60">
        <w:rPr>
          <w:rFonts w:eastAsia="Calibri"/>
        </w:rPr>
        <w:t xml:space="preserve"> </w:t>
      </w:r>
      <w:r w:rsidR="009F7060">
        <w:rPr>
          <w:rFonts w:eastAsia="Calibri"/>
        </w:rPr>
        <w:t xml:space="preserve">predpokladajú priame </w:t>
      </w:r>
      <w:r w:rsidR="00E06BA7" w:rsidRPr="00E06BA7">
        <w:rPr>
          <w:rFonts w:eastAsia="Calibri"/>
        </w:rPr>
        <w:t>pozitívne a</w:t>
      </w:r>
      <w:r w:rsidR="001801D1">
        <w:rPr>
          <w:rFonts w:eastAsia="Calibri"/>
        </w:rPr>
        <w:t xml:space="preserve"> priame a </w:t>
      </w:r>
      <w:r w:rsidR="00A72923">
        <w:rPr>
          <w:rFonts w:eastAsia="Calibri"/>
        </w:rPr>
        <w:t xml:space="preserve">nepriame </w:t>
      </w:r>
      <w:r w:rsidR="00E06BA7" w:rsidRPr="00E06BA7">
        <w:rPr>
          <w:rFonts w:eastAsia="Calibri"/>
        </w:rPr>
        <w:t>negatívne vpl</w:t>
      </w:r>
      <w:r w:rsidR="009F7060">
        <w:rPr>
          <w:rFonts w:eastAsia="Calibri"/>
        </w:rPr>
        <w:t>y</w:t>
      </w:r>
      <w:r w:rsidR="00C25C60">
        <w:rPr>
          <w:rFonts w:eastAsia="Calibri"/>
        </w:rPr>
        <w:t>vy na podnikateľské prostredie.</w:t>
      </w:r>
      <w:r w:rsidR="00A72923">
        <w:rPr>
          <w:rFonts w:eastAsia="Calibri"/>
        </w:rPr>
        <w:t xml:space="preserve"> Pozitívne vplyvy spočívajú v možnosti </w:t>
      </w:r>
      <w:r w:rsidR="00A447C3">
        <w:rPr>
          <w:rFonts w:eastAsia="Calibri"/>
        </w:rPr>
        <w:t xml:space="preserve">poskytovať </w:t>
      </w:r>
      <w:r w:rsidR="00A72923">
        <w:rPr>
          <w:rFonts w:eastAsia="Calibri"/>
        </w:rPr>
        <w:t>v</w:t>
      </w:r>
      <w:r w:rsidR="00A72923" w:rsidRPr="00A72923">
        <w:rPr>
          <w:rFonts w:eastAsia="Calibri"/>
        </w:rPr>
        <w:t xml:space="preserve"> záujme podpory inteligentného a odolného sektor poľnohospodárstva priam</w:t>
      </w:r>
      <w:r w:rsidR="00A447C3">
        <w:rPr>
          <w:rFonts w:eastAsia="Calibri"/>
        </w:rPr>
        <w:t>e</w:t>
      </w:r>
      <w:r w:rsidR="00A72923" w:rsidRPr="00A72923">
        <w:rPr>
          <w:rFonts w:eastAsia="Calibri"/>
        </w:rPr>
        <w:t xml:space="preserve"> plat</w:t>
      </w:r>
      <w:r w:rsidR="00A447C3">
        <w:rPr>
          <w:rFonts w:eastAsia="Calibri"/>
        </w:rPr>
        <w:t>by</w:t>
      </w:r>
      <w:r w:rsidR="00A72923">
        <w:rPr>
          <w:rFonts w:eastAsia="Calibri"/>
        </w:rPr>
        <w:t xml:space="preserve">, ktoré </w:t>
      </w:r>
      <w:r w:rsidR="00A72923" w:rsidRPr="00A72923">
        <w:rPr>
          <w:rFonts w:eastAsia="Calibri"/>
        </w:rPr>
        <w:t>sú aj naďalej zásadným faktorom záruky spravodlivej podpory príjmu poľnohospodárov</w:t>
      </w:r>
      <w:r w:rsidR="00A447C3">
        <w:rPr>
          <w:rFonts w:eastAsia="Calibri"/>
        </w:rPr>
        <w:t>, pričom pre obdobie 2023 – 2027 je posilnená ich orientácia na dosiahnutie stanovených cieľov</w:t>
      </w:r>
      <w:r w:rsidR="00A72923" w:rsidRPr="00A72923">
        <w:rPr>
          <w:rFonts w:eastAsia="Calibri"/>
        </w:rPr>
        <w:t>.</w:t>
      </w:r>
      <w:r w:rsidR="00A72923">
        <w:rPr>
          <w:rFonts w:eastAsia="Calibri"/>
        </w:rPr>
        <w:t xml:space="preserve"> Za týmto účelom sa návrhom </w:t>
      </w:r>
      <w:r w:rsidR="00A72923" w:rsidRPr="00A72923">
        <w:rPr>
          <w:rFonts w:eastAsia="Calibri"/>
        </w:rPr>
        <w:t>nariadenia vlády</w:t>
      </w:r>
      <w:r w:rsidR="00A72923">
        <w:rPr>
          <w:rFonts w:eastAsia="Calibri"/>
        </w:rPr>
        <w:t xml:space="preserve"> stanovujú </w:t>
      </w:r>
      <w:r w:rsidR="00A72923" w:rsidRPr="00A72923">
        <w:rPr>
          <w:rFonts w:eastAsia="Calibri"/>
        </w:rPr>
        <w:t xml:space="preserve">pravidlá vzťahujúce sa na podporu </w:t>
      </w:r>
      <w:r w:rsidR="0021544D">
        <w:rPr>
          <w:rFonts w:eastAsia="Calibri"/>
        </w:rPr>
        <w:t>EÚ</w:t>
      </w:r>
      <w:r w:rsidR="00A72923" w:rsidRPr="00A72923">
        <w:rPr>
          <w:rFonts w:eastAsia="Calibri"/>
        </w:rPr>
        <w:t xml:space="preserve"> financovanú z EPZF </w:t>
      </w:r>
      <w:r w:rsidR="0021544D">
        <w:rPr>
          <w:rFonts w:eastAsia="Calibri"/>
        </w:rPr>
        <w:t xml:space="preserve">formou priamych platieb </w:t>
      </w:r>
      <w:r w:rsidR="00A72923" w:rsidRPr="00A72923">
        <w:rPr>
          <w:rFonts w:eastAsia="Calibri"/>
        </w:rPr>
        <w:t>a udeľovanú v podobe typov intervencií vym</w:t>
      </w:r>
      <w:r w:rsidR="0021544D">
        <w:rPr>
          <w:rFonts w:eastAsia="Calibri"/>
        </w:rPr>
        <w:t>edzených v strategickom pláne SPP, ktorý</w:t>
      </w:r>
      <w:r w:rsidR="00A72923" w:rsidRPr="00A72923">
        <w:rPr>
          <w:rFonts w:eastAsia="Calibri"/>
        </w:rPr>
        <w:t xml:space="preserve"> </w:t>
      </w:r>
      <w:r w:rsidR="00286745">
        <w:rPr>
          <w:rFonts w:eastAsia="Calibri"/>
        </w:rPr>
        <w:t>schvaľuje</w:t>
      </w:r>
      <w:r w:rsidR="00286745" w:rsidRPr="00A72923">
        <w:rPr>
          <w:rFonts w:eastAsia="Calibri"/>
        </w:rPr>
        <w:t xml:space="preserve"> </w:t>
      </w:r>
      <w:r w:rsidR="00A72923" w:rsidRPr="00A72923">
        <w:rPr>
          <w:rFonts w:eastAsia="Calibri"/>
        </w:rPr>
        <w:t>Komisia.</w:t>
      </w:r>
      <w:r w:rsidR="001801D1" w:rsidRPr="001801D1">
        <w:t xml:space="preserve"> </w:t>
      </w:r>
      <w:r w:rsidR="001801D1">
        <w:rPr>
          <w:rFonts w:eastAsia="Calibri"/>
        </w:rPr>
        <w:t>Návrh nariadenia vlády zaručuje minimálne</w:t>
      </w:r>
      <w:r w:rsidR="0021544D" w:rsidRPr="0021544D">
        <w:rPr>
          <w:rFonts w:eastAsia="Calibri"/>
        </w:rPr>
        <w:t xml:space="preserve"> úrovne podpory príjmov v poľnohospodárstve pre všetkých aktívnych poľnohospodárov, ako aj </w:t>
      </w:r>
      <w:r w:rsidR="001801D1">
        <w:rPr>
          <w:rFonts w:eastAsia="Calibri"/>
        </w:rPr>
        <w:t xml:space="preserve">zabezpečenie primeranej životnej úrovne poľnohospodárov </w:t>
      </w:r>
      <w:r w:rsidR="0021544D" w:rsidRPr="0021544D">
        <w:rPr>
          <w:rFonts w:eastAsia="Calibri"/>
        </w:rPr>
        <w:t xml:space="preserve">v rámci typu intervencie „základná podpora </w:t>
      </w:r>
      <w:r w:rsidR="001801D1">
        <w:rPr>
          <w:rFonts w:eastAsia="Calibri"/>
        </w:rPr>
        <w:t>príjmu v záujme udržateľnosti“. V</w:t>
      </w:r>
      <w:r w:rsidR="0021544D" w:rsidRPr="0021544D">
        <w:rPr>
          <w:rFonts w:eastAsia="Calibri"/>
        </w:rPr>
        <w:t xml:space="preserve">zhľadom na uznanú potrebu presadzovať vyváženejšie rozdelenie podpory medzi malé a stredné podniky viditeľným a merateľným spôsobom </w:t>
      </w:r>
      <w:r w:rsidR="001801D1">
        <w:rPr>
          <w:rFonts w:eastAsia="Calibri"/>
        </w:rPr>
        <w:t xml:space="preserve">sa zavádza uplatňovanie komplementárnej </w:t>
      </w:r>
      <w:proofErr w:type="spellStart"/>
      <w:r w:rsidR="001801D1">
        <w:rPr>
          <w:rFonts w:eastAsia="Calibri"/>
        </w:rPr>
        <w:t>redistributívnej</w:t>
      </w:r>
      <w:proofErr w:type="spellEnd"/>
      <w:r w:rsidR="001801D1">
        <w:rPr>
          <w:rFonts w:eastAsia="Calibri"/>
        </w:rPr>
        <w:t xml:space="preserve"> podpory</w:t>
      </w:r>
      <w:r w:rsidR="0021544D" w:rsidRPr="0021544D">
        <w:rPr>
          <w:rFonts w:eastAsia="Calibri"/>
        </w:rPr>
        <w:t xml:space="preserve"> </w:t>
      </w:r>
      <w:r w:rsidR="001801D1">
        <w:rPr>
          <w:rFonts w:eastAsia="Calibri"/>
        </w:rPr>
        <w:t>príjmu v záujme udržateľnosti. V</w:t>
      </w:r>
      <w:r w:rsidR="0021544D" w:rsidRPr="0021544D">
        <w:rPr>
          <w:rFonts w:eastAsia="Calibri"/>
        </w:rPr>
        <w:t xml:space="preserve"> rámci priamych platieb </w:t>
      </w:r>
      <w:r w:rsidR="001801D1">
        <w:rPr>
          <w:rFonts w:eastAsia="Calibri"/>
        </w:rPr>
        <w:t>sa tiež zriaďujú</w:t>
      </w:r>
      <w:r w:rsidR="0021544D" w:rsidRPr="0021544D">
        <w:rPr>
          <w:rFonts w:eastAsia="Calibri"/>
        </w:rPr>
        <w:t xml:space="preserve"> </w:t>
      </w:r>
      <w:proofErr w:type="spellStart"/>
      <w:r w:rsidR="0021544D" w:rsidRPr="0021544D">
        <w:rPr>
          <w:rFonts w:eastAsia="Calibri"/>
        </w:rPr>
        <w:t>eko</w:t>
      </w:r>
      <w:proofErr w:type="spellEnd"/>
      <w:r w:rsidR="00286745">
        <w:rPr>
          <w:rFonts w:eastAsia="Calibri"/>
        </w:rPr>
        <w:t>-</w:t>
      </w:r>
      <w:r w:rsidR="0021544D" w:rsidRPr="0021544D">
        <w:rPr>
          <w:rFonts w:eastAsia="Calibri"/>
        </w:rPr>
        <w:t xml:space="preserve">schémy, ktoré sú </w:t>
      </w:r>
      <w:r w:rsidR="001801D1">
        <w:rPr>
          <w:rFonts w:eastAsia="Calibri"/>
        </w:rPr>
        <w:t xml:space="preserve">dobrovoľné pre poľnohospodárov a ktoré pokrývajú </w:t>
      </w:r>
      <w:r w:rsidR="00FB793B" w:rsidRPr="00FB793B">
        <w:rPr>
          <w:rFonts w:eastAsia="Calibri"/>
        </w:rPr>
        <w:t>činnosti týkajúce</w:t>
      </w:r>
      <w:r w:rsidR="001801D1">
        <w:rPr>
          <w:rFonts w:eastAsia="Calibri"/>
        </w:rPr>
        <w:t xml:space="preserve"> sa klímy, životného prostredia a</w:t>
      </w:r>
      <w:r w:rsidR="00FB793B" w:rsidRPr="00FB793B">
        <w:rPr>
          <w:rFonts w:eastAsia="Calibri"/>
        </w:rPr>
        <w:t xml:space="preserve"> dobr</w:t>
      </w:r>
      <w:r w:rsidR="001801D1">
        <w:rPr>
          <w:rFonts w:eastAsia="Calibri"/>
        </w:rPr>
        <w:t>ých životných podmienok zvierat.</w:t>
      </w:r>
      <w:r w:rsidR="001801D1" w:rsidRPr="001801D1">
        <w:t xml:space="preserve"> </w:t>
      </w:r>
      <w:r w:rsidR="001801D1">
        <w:t>S</w:t>
      </w:r>
      <w:r w:rsidR="001801D1" w:rsidRPr="001801D1">
        <w:rPr>
          <w:rFonts w:eastAsia="Calibri"/>
        </w:rPr>
        <w:t xml:space="preserve"> cieľom zlepšiť konkurencieschopnosť, udržateľnosť alebo kvalitu v určitých sektoroch a výrobách, ktoré sú mimoriadne dôležité zo sociálnych, ekonomických alebo environmentálnych d</w:t>
      </w:r>
      <w:r w:rsidR="001801D1">
        <w:rPr>
          <w:rFonts w:eastAsia="Calibri"/>
        </w:rPr>
        <w:t>ôvodov a čelia istým ťažkostiam sa zavádzajú viaceré intervencie viazan</w:t>
      </w:r>
      <w:r w:rsidR="00286745">
        <w:rPr>
          <w:rFonts w:eastAsia="Calibri"/>
        </w:rPr>
        <w:t>ej</w:t>
      </w:r>
      <w:r w:rsidR="001801D1">
        <w:rPr>
          <w:rFonts w:eastAsia="Calibri"/>
        </w:rPr>
        <w:t xml:space="preserve"> podpor</w:t>
      </w:r>
      <w:r w:rsidR="00286745">
        <w:rPr>
          <w:rFonts w:eastAsia="Calibri"/>
        </w:rPr>
        <w:t>y</w:t>
      </w:r>
      <w:r w:rsidR="001801D1">
        <w:rPr>
          <w:rFonts w:eastAsia="Calibri"/>
        </w:rPr>
        <w:t xml:space="preserve"> príjmu. Zavádza sa tiež komplementárna podpora </w:t>
      </w:r>
      <w:r w:rsidR="00FB793B" w:rsidRPr="00FB793B">
        <w:rPr>
          <w:rFonts w:eastAsia="Calibri"/>
        </w:rPr>
        <w:t>príj</w:t>
      </w:r>
      <w:r w:rsidR="001801D1">
        <w:rPr>
          <w:rFonts w:eastAsia="Calibri"/>
        </w:rPr>
        <w:t>mu pre mlad</w:t>
      </w:r>
      <w:r w:rsidR="00A51A91">
        <w:rPr>
          <w:rFonts w:eastAsia="Calibri"/>
        </w:rPr>
        <w:t>ého</w:t>
      </w:r>
      <w:r w:rsidR="001801D1">
        <w:rPr>
          <w:rFonts w:eastAsia="Calibri"/>
        </w:rPr>
        <w:t xml:space="preserve"> poľnohospodár</w:t>
      </w:r>
      <w:r w:rsidR="00A51A91">
        <w:rPr>
          <w:rFonts w:eastAsia="Calibri"/>
        </w:rPr>
        <w:t>a</w:t>
      </w:r>
      <w:r w:rsidR="001801D1">
        <w:rPr>
          <w:rFonts w:eastAsia="Calibri"/>
        </w:rPr>
        <w:t xml:space="preserve">. Priame negatívne vplyvy predstavuje stanovenie </w:t>
      </w:r>
      <w:r w:rsidR="001801D1" w:rsidRPr="001801D1">
        <w:rPr>
          <w:rFonts w:eastAsia="Calibri"/>
        </w:rPr>
        <w:t>strop</w:t>
      </w:r>
      <w:r w:rsidR="001801D1">
        <w:rPr>
          <w:rFonts w:eastAsia="Calibri"/>
        </w:rPr>
        <w:t>u alebo znižovania</w:t>
      </w:r>
      <w:r w:rsidR="001801D1" w:rsidRPr="001801D1">
        <w:rPr>
          <w:rFonts w:eastAsia="Calibri"/>
        </w:rPr>
        <w:t xml:space="preserve"> s</w:t>
      </w:r>
      <w:r w:rsidR="001801D1">
        <w:rPr>
          <w:rFonts w:eastAsia="Calibri"/>
        </w:rPr>
        <w:t xml:space="preserve">umy priamych platieb presahujúce určitý strop. </w:t>
      </w:r>
      <w:r w:rsidR="00774261" w:rsidRPr="00774261">
        <w:rPr>
          <w:rFonts w:eastAsia="Calibri"/>
        </w:rPr>
        <w:t xml:space="preserve">S cieľom zabrániť negatívnym účinkom na zamestnanosť </w:t>
      </w:r>
      <w:r w:rsidR="001801D1">
        <w:rPr>
          <w:rFonts w:eastAsia="Calibri"/>
        </w:rPr>
        <w:t>sa však</w:t>
      </w:r>
      <w:r w:rsidR="00774261" w:rsidRPr="00774261">
        <w:rPr>
          <w:rFonts w:eastAsia="Calibri"/>
        </w:rPr>
        <w:t xml:space="preserve"> pri uplatnení tohto mechanizm</w:t>
      </w:r>
      <w:bookmarkStart w:id="1" w:name="_GoBack"/>
      <w:bookmarkEnd w:id="1"/>
      <w:r w:rsidR="00774261" w:rsidRPr="00774261">
        <w:rPr>
          <w:rFonts w:eastAsia="Calibri"/>
        </w:rPr>
        <w:t xml:space="preserve">u </w:t>
      </w:r>
      <w:r w:rsidR="001801D1">
        <w:rPr>
          <w:rFonts w:eastAsia="Calibri"/>
        </w:rPr>
        <w:t>umožňuje</w:t>
      </w:r>
      <w:r w:rsidR="00774261" w:rsidRPr="00774261">
        <w:rPr>
          <w:rFonts w:eastAsia="Calibri"/>
        </w:rPr>
        <w:t xml:space="preserve"> zohľadniť aspekt práce.</w:t>
      </w:r>
      <w:r w:rsidR="001801D1">
        <w:rPr>
          <w:rFonts w:eastAsia="Calibri"/>
        </w:rPr>
        <w:t xml:space="preserve"> Nepriame negatívne vplyvy predstavuje </w:t>
      </w:r>
      <w:r w:rsidR="001801D1" w:rsidRPr="001801D1">
        <w:rPr>
          <w:rFonts w:eastAsia="Calibri"/>
        </w:rPr>
        <w:t>administ</w:t>
      </w:r>
      <w:r w:rsidR="001801D1">
        <w:rPr>
          <w:rFonts w:eastAsia="Calibri"/>
        </w:rPr>
        <w:t xml:space="preserve">ratívna náročnosť vyplývajúca </w:t>
      </w:r>
      <w:r w:rsidR="004B5AE7">
        <w:rPr>
          <w:rFonts w:eastAsia="Calibri"/>
        </w:rPr>
        <w:t>z</w:t>
      </w:r>
      <w:r w:rsidR="001801D1">
        <w:rPr>
          <w:rFonts w:eastAsia="Calibri"/>
        </w:rPr>
        <w:t xml:space="preserve"> novo zavedených </w:t>
      </w:r>
      <w:r w:rsidR="00BF637A">
        <w:rPr>
          <w:rFonts w:eastAsia="Calibri"/>
        </w:rPr>
        <w:t xml:space="preserve">pravidiel. V tejto súvislosti je však nutné konštatovať, že nedochádza k výraznejšej zmene </w:t>
      </w:r>
      <w:r w:rsidR="00BF637A" w:rsidRPr="00BF637A">
        <w:rPr>
          <w:rFonts w:eastAsia="Calibri"/>
        </w:rPr>
        <w:t>administratívnej náročnosti</w:t>
      </w:r>
      <w:r w:rsidR="00BF637A">
        <w:rPr>
          <w:rFonts w:eastAsia="Calibri"/>
        </w:rPr>
        <w:t xml:space="preserve">, naopak, niektoré prvky oproti súčasnému obdobiu budú </w:t>
      </w:r>
      <w:r w:rsidR="004B5AE7">
        <w:rPr>
          <w:rFonts w:eastAsia="Calibri"/>
        </w:rPr>
        <w:t xml:space="preserve">vo </w:t>
      </w:r>
      <w:r w:rsidR="00BF637A">
        <w:rPr>
          <w:rFonts w:eastAsia="Calibri"/>
        </w:rPr>
        <w:t xml:space="preserve">výraznej miere eliminované (napr. vymedzenie prvkov v rámci </w:t>
      </w:r>
      <w:r w:rsidR="00BF637A" w:rsidRPr="00BF637A">
        <w:rPr>
          <w:rFonts w:eastAsia="Calibri"/>
        </w:rPr>
        <w:t>hektár</w:t>
      </w:r>
      <w:r w:rsidR="00BF637A">
        <w:rPr>
          <w:rFonts w:eastAsia="Calibri"/>
        </w:rPr>
        <w:t>u</w:t>
      </w:r>
      <w:r w:rsidR="00BF637A" w:rsidRPr="00BF637A">
        <w:rPr>
          <w:rFonts w:eastAsia="Calibri"/>
        </w:rPr>
        <w:t>, na ktorý možno poskytnúť podporu</w:t>
      </w:r>
      <w:r w:rsidR="00BF637A">
        <w:rPr>
          <w:rFonts w:eastAsia="Calibri"/>
        </w:rPr>
        <w:t>)</w:t>
      </w:r>
      <w:r w:rsidR="00BF637A" w:rsidRPr="00BF637A">
        <w:rPr>
          <w:rFonts w:eastAsia="Calibri"/>
        </w:rPr>
        <w:t>.</w:t>
      </w:r>
    </w:p>
    <w:p w14:paraId="00949151" w14:textId="2581C9F2" w:rsidR="005B1779" w:rsidRDefault="005B1779" w:rsidP="00640AD6">
      <w:pPr>
        <w:jc w:val="both"/>
        <w:rPr>
          <w:rFonts w:eastAsia="Calibri"/>
        </w:rPr>
      </w:pPr>
    </w:p>
    <w:sectPr w:rsidR="005B17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A68E" w14:textId="77777777" w:rsidR="005953AE" w:rsidRDefault="005953AE" w:rsidP="00867233">
      <w:r>
        <w:separator/>
      </w:r>
    </w:p>
  </w:endnote>
  <w:endnote w:type="continuationSeparator" w:id="0">
    <w:p w14:paraId="6AC1BAE6" w14:textId="77777777" w:rsidR="005953AE" w:rsidRDefault="005953AE" w:rsidP="0086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85174"/>
      <w:docPartObj>
        <w:docPartGallery w:val="Page Numbers (Bottom of Page)"/>
        <w:docPartUnique/>
      </w:docPartObj>
    </w:sdtPr>
    <w:sdtContent>
      <w:p w14:paraId="3103DB06" w14:textId="3AB40989" w:rsidR="00FF3525" w:rsidRDefault="00FF3525" w:rsidP="00FF3525">
        <w:pPr>
          <w:pStyle w:val="Pta"/>
          <w:jc w:val="center"/>
        </w:pPr>
        <w:r>
          <w:fldChar w:fldCharType="begin"/>
        </w:r>
        <w:r>
          <w:instrText>PAGE   \* MERGEFORMAT</w:instrText>
        </w:r>
        <w:r>
          <w:fldChar w:fldCharType="separate"/>
        </w:r>
        <w:r>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0569"/>
      <w:docPartObj>
        <w:docPartGallery w:val="Page Numbers (Bottom of Page)"/>
        <w:docPartUnique/>
      </w:docPartObj>
    </w:sdtPr>
    <w:sdtContent>
      <w:p w14:paraId="2648053C" w14:textId="0698D972" w:rsidR="00374EDB" w:rsidRPr="00E90255" w:rsidRDefault="00FF3525" w:rsidP="00FF3525">
        <w:pPr>
          <w:pStyle w:val="Pta"/>
          <w:jc w:val="center"/>
        </w:pPr>
        <w:r>
          <w:fldChar w:fldCharType="begin"/>
        </w:r>
        <w:r>
          <w:instrText>PAGE   \* MERGEFORMAT</w:instrText>
        </w:r>
        <w:r>
          <w:fldChar w:fldCharType="separate"/>
        </w:r>
        <w:r>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2725" w14:textId="77777777" w:rsidR="005953AE" w:rsidRDefault="005953AE" w:rsidP="00867233">
      <w:r>
        <w:separator/>
      </w:r>
    </w:p>
  </w:footnote>
  <w:footnote w:type="continuationSeparator" w:id="0">
    <w:p w14:paraId="165CD547" w14:textId="77777777" w:rsidR="005953AE" w:rsidRDefault="005953AE" w:rsidP="0086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C57"/>
    <w:multiLevelType w:val="hybridMultilevel"/>
    <w:tmpl w:val="3F5E763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958F5"/>
    <w:multiLevelType w:val="hybridMultilevel"/>
    <w:tmpl w:val="972CE18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A9138D"/>
    <w:multiLevelType w:val="hybridMultilevel"/>
    <w:tmpl w:val="C054E1C6"/>
    <w:lvl w:ilvl="0" w:tplc="041B000F">
      <w:start w:val="1"/>
      <w:numFmt w:val="decimal"/>
      <w:lvlText w:val="%1."/>
      <w:lvlJc w:val="left"/>
      <w:pPr>
        <w:ind w:left="720" w:hanging="360"/>
      </w:pPr>
    </w:lvl>
    <w:lvl w:ilvl="1" w:tplc="233ADA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E485B"/>
    <w:multiLevelType w:val="hybridMultilevel"/>
    <w:tmpl w:val="FBEC2DE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E7706"/>
    <w:multiLevelType w:val="hybridMultilevel"/>
    <w:tmpl w:val="D6A877FE"/>
    <w:lvl w:ilvl="0" w:tplc="041B0017">
      <w:start w:val="1"/>
      <w:numFmt w:val="lowerLetter"/>
      <w:lvlText w:val="%1)"/>
      <w:lvlJc w:val="left"/>
      <w:pPr>
        <w:ind w:left="1068" w:hanging="360"/>
      </w:pPr>
    </w:lvl>
    <w:lvl w:ilvl="1" w:tplc="B4E89DE2">
      <w:start w:val="8"/>
      <w:numFmt w:val="bullet"/>
      <w:lvlText w:val="-"/>
      <w:lvlJc w:val="left"/>
      <w:pPr>
        <w:ind w:left="1788" w:hanging="360"/>
      </w:pPr>
      <w:rPr>
        <w:rFonts w:ascii="Times New Roman" w:eastAsiaTheme="minorHAnsi" w:hAnsi="Times New Roman" w:cs="Times New Roman" w:hint="default"/>
      </w:r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98839A6"/>
    <w:multiLevelType w:val="hybridMultilevel"/>
    <w:tmpl w:val="8708B5F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DC4ADA"/>
    <w:multiLevelType w:val="hybridMultilevel"/>
    <w:tmpl w:val="972047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F01D64"/>
    <w:multiLevelType w:val="hybridMultilevel"/>
    <w:tmpl w:val="C3FAD070"/>
    <w:lvl w:ilvl="0" w:tplc="041B0017">
      <w:start w:val="9"/>
      <w:numFmt w:val="lowerLetter"/>
      <w:lvlText w:val="%1)"/>
      <w:lvlJc w:val="left"/>
      <w:pPr>
        <w:ind w:left="720" w:hanging="360"/>
      </w:pPr>
      <w:rPr>
        <w:rFonts w:hint="default"/>
      </w:rPr>
    </w:lvl>
    <w:lvl w:ilvl="1" w:tplc="191EEEA8">
      <w:start w:val="1"/>
      <w:numFmt w:val="decimal"/>
      <w:lvlText w:val="(%2)"/>
      <w:lvlJc w:val="left"/>
      <w:pPr>
        <w:ind w:left="653" w:hanging="3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616EA8"/>
    <w:multiLevelType w:val="hybridMultilevel"/>
    <w:tmpl w:val="8FEAA158"/>
    <w:lvl w:ilvl="0" w:tplc="F6920A08">
      <w:start w:val="1"/>
      <w:numFmt w:val="decimal"/>
      <w:lvlText w:val="(%1)"/>
      <w:lvlJc w:val="left"/>
      <w:pPr>
        <w:ind w:left="720" w:hanging="360"/>
      </w:pPr>
      <w:rPr>
        <w:rFonts w:hint="default"/>
      </w:rPr>
    </w:lvl>
    <w:lvl w:ilvl="1" w:tplc="F8BCD8F8">
      <w:start w:val="1"/>
      <w:numFmt w:val="lowerLetter"/>
      <w:lvlText w:val="%2)"/>
      <w:lvlJc w:val="left"/>
      <w:pPr>
        <w:ind w:left="1069" w:hanging="360"/>
      </w:pPr>
      <w:rPr>
        <w:rFonts w:hint="default"/>
      </w:rPr>
    </w:lvl>
    <w:lvl w:ilvl="2" w:tplc="55A2963A">
      <w:start w:val="1"/>
      <w:numFmt w:val="decimal"/>
      <w:lvlText w:val="%3."/>
      <w:lvlJc w:val="left"/>
      <w:pPr>
        <w:ind w:left="1069"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2877AA"/>
    <w:multiLevelType w:val="hybridMultilevel"/>
    <w:tmpl w:val="EF58B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8C03F2"/>
    <w:multiLevelType w:val="hybridMultilevel"/>
    <w:tmpl w:val="F04426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65751B"/>
    <w:multiLevelType w:val="hybridMultilevel"/>
    <w:tmpl w:val="A8C65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776AA0"/>
    <w:multiLevelType w:val="hybridMultilevel"/>
    <w:tmpl w:val="E7ECE084"/>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4F6E7E69"/>
    <w:multiLevelType w:val="hybridMultilevel"/>
    <w:tmpl w:val="208CEC90"/>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535624"/>
    <w:multiLevelType w:val="hybridMultilevel"/>
    <w:tmpl w:val="E500C6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E47BE8"/>
    <w:multiLevelType w:val="hybridMultilevel"/>
    <w:tmpl w:val="673614C2"/>
    <w:lvl w:ilvl="0" w:tplc="8B06DE22">
      <w:start w:val="1"/>
      <w:numFmt w:val="decimal"/>
      <w:lvlText w:val="(%1)"/>
      <w:lvlJc w:val="left"/>
      <w:pPr>
        <w:ind w:left="720" w:hanging="360"/>
      </w:pPr>
      <w:rPr>
        <w:rFonts w:hint="default"/>
      </w:rPr>
    </w:lvl>
    <w:lvl w:ilvl="1" w:tplc="041B0017">
      <w:start w:val="1"/>
      <w:numFmt w:val="lowerLetter"/>
      <w:lvlText w:val="%2)"/>
      <w:lvlJc w:val="left"/>
      <w:pPr>
        <w:ind w:left="1068" w:hanging="360"/>
      </w:pPr>
      <w:rPr>
        <w:rFonts w:hint="default"/>
      </w:rPr>
    </w:lvl>
    <w:lvl w:ilvl="2" w:tplc="EB940C9A">
      <w:start w:val="1"/>
      <w:numFmt w:val="decimal"/>
      <w:lvlText w:val="%3."/>
      <w:lvlJc w:val="left"/>
      <w:pPr>
        <w:ind w:left="1494" w:hanging="360"/>
      </w:pPr>
      <w:rPr>
        <w:rFonts w:hint="default"/>
      </w:rPr>
    </w:lvl>
    <w:lvl w:ilvl="3" w:tplc="86C6D234">
      <w:start w:val="1"/>
      <w:numFmt w:val="lowerRoman"/>
      <w:lvlText w:val="%4."/>
      <w:lvlJc w:val="left"/>
      <w:pPr>
        <w:ind w:left="2279" w:hanging="720"/>
      </w:pPr>
      <w:rPr>
        <w:rFonts w:hint="default"/>
      </w:rPr>
    </w:lvl>
    <w:lvl w:ilvl="4" w:tplc="B4E89DE2">
      <w:start w:val="8"/>
      <w:numFmt w:val="bullet"/>
      <w:lvlText w:val="-"/>
      <w:lvlJc w:val="left"/>
      <w:pPr>
        <w:ind w:left="1635" w:hanging="360"/>
      </w:pPr>
      <w:rPr>
        <w:rFonts w:ascii="Times New Roman" w:eastAsiaTheme="minorHAnsi" w:hAnsi="Times New Roman" w:cs="Times New Roman" w:hint="default"/>
      </w:rPr>
    </w:lvl>
    <w:lvl w:ilvl="5" w:tplc="80DAA938">
      <w:start w:val="1"/>
      <w:numFmt w:val="lowerRoman"/>
      <w:lvlText w:val="%6."/>
      <w:lvlJc w:val="left"/>
      <w:pPr>
        <w:ind w:left="2421" w:hanging="720"/>
      </w:pPr>
      <w:rPr>
        <w:rFonts w:ascii="Times New Roman" w:eastAsiaTheme="minorHAnsi" w:hAnsi="Times New Roman" w:cs="Times New Roman"/>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6"/>
  </w:num>
  <w:num w:numId="5">
    <w:abstractNumId w:val="7"/>
  </w:num>
  <w:num w:numId="6">
    <w:abstractNumId w:val="5"/>
  </w:num>
  <w:num w:numId="7">
    <w:abstractNumId w:val="11"/>
  </w:num>
  <w:num w:numId="8">
    <w:abstractNumId w:val="13"/>
  </w:num>
  <w:num w:numId="9">
    <w:abstractNumId w:val="3"/>
  </w:num>
  <w:num w:numId="10">
    <w:abstractNumId w:val="8"/>
  </w:num>
  <w:num w:numId="11">
    <w:abstractNumId w:val="6"/>
  </w:num>
  <w:num w:numId="12">
    <w:abstractNumId w:val="12"/>
  </w:num>
  <w:num w:numId="13">
    <w:abstractNumId w:val="15"/>
  </w:num>
  <w:num w:numId="14">
    <w:abstractNumId w:val="1"/>
  </w:num>
  <w:num w:numId="15">
    <w:abstractNumId w:val="0"/>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D"/>
    <w:rsid w:val="00015785"/>
    <w:rsid w:val="00020418"/>
    <w:rsid w:val="00032E84"/>
    <w:rsid w:val="000612D5"/>
    <w:rsid w:val="000A46DA"/>
    <w:rsid w:val="000B2CBD"/>
    <w:rsid w:val="000C6C56"/>
    <w:rsid w:val="000D7813"/>
    <w:rsid w:val="000E4151"/>
    <w:rsid w:val="00106198"/>
    <w:rsid w:val="00111EF4"/>
    <w:rsid w:val="00116482"/>
    <w:rsid w:val="00131776"/>
    <w:rsid w:val="001801D1"/>
    <w:rsid w:val="0018067F"/>
    <w:rsid w:val="00193C03"/>
    <w:rsid w:val="001A0BC7"/>
    <w:rsid w:val="001A3A9A"/>
    <w:rsid w:val="001A4516"/>
    <w:rsid w:val="001A7E23"/>
    <w:rsid w:val="001B3755"/>
    <w:rsid w:val="001C2FFF"/>
    <w:rsid w:val="001C3DA6"/>
    <w:rsid w:val="00201AF4"/>
    <w:rsid w:val="00211C10"/>
    <w:rsid w:val="0021544D"/>
    <w:rsid w:val="00222BF3"/>
    <w:rsid w:val="00255F5F"/>
    <w:rsid w:val="00264770"/>
    <w:rsid w:val="00266700"/>
    <w:rsid w:val="002766B9"/>
    <w:rsid w:val="00286745"/>
    <w:rsid w:val="00287F01"/>
    <w:rsid w:val="002B74EE"/>
    <w:rsid w:val="002C4CAC"/>
    <w:rsid w:val="002C6E1F"/>
    <w:rsid w:val="00313BAF"/>
    <w:rsid w:val="00314F94"/>
    <w:rsid w:val="00320CBC"/>
    <w:rsid w:val="00323596"/>
    <w:rsid w:val="003629E5"/>
    <w:rsid w:val="00383AE2"/>
    <w:rsid w:val="00384893"/>
    <w:rsid w:val="00391D48"/>
    <w:rsid w:val="003A30C9"/>
    <w:rsid w:val="003C5AE5"/>
    <w:rsid w:val="003C6F91"/>
    <w:rsid w:val="003D1CBA"/>
    <w:rsid w:val="003D2750"/>
    <w:rsid w:val="003E04B8"/>
    <w:rsid w:val="003F128E"/>
    <w:rsid w:val="00401A76"/>
    <w:rsid w:val="00402830"/>
    <w:rsid w:val="004257C5"/>
    <w:rsid w:val="0043385C"/>
    <w:rsid w:val="00442E87"/>
    <w:rsid w:val="00455C9D"/>
    <w:rsid w:val="00456AF9"/>
    <w:rsid w:val="00483D45"/>
    <w:rsid w:val="00497F15"/>
    <w:rsid w:val="004B5AE7"/>
    <w:rsid w:val="004B5CA2"/>
    <w:rsid w:val="004C1AAE"/>
    <w:rsid w:val="004E7D44"/>
    <w:rsid w:val="004F734E"/>
    <w:rsid w:val="00516442"/>
    <w:rsid w:val="0052097D"/>
    <w:rsid w:val="00546705"/>
    <w:rsid w:val="00547C76"/>
    <w:rsid w:val="005742F0"/>
    <w:rsid w:val="005953AE"/>
    <w:rsid w:val="005B1779"/>
    <w:rsid w:val="005B2CA6"/>
    <w:rsid w:val="005B4F6D"/>
    <w:rsid w:val="005D7F4F"/>
    <w:rsid w:val="005F1730"/>
    <w:rsid w:val="005F4B25"/>
    <w:rsid w:val="00611CB0"/>
    <w:rsid w:val="00622F6F"/>
    <w:rsid w:val="00640AD6"/>
    <w:rsid w:val="00646499"/>
    <w:rsid w:val="0066314C"/>
    <w:rsid w:val="006721C3"/>
    <w:rsid w:val="006A22E9"/>
    <w:rsid w:val="006A3B1E"/>
    <w:rsid w:val="006C1673"/>
    <w:rsid w:val="006C64F7"/>
    <w:rsid w:val="006F31E5"/>
    <w:rsid w:val="006F6DC3"/>
    <w:rsid w:val="007223A8"/>
    <w:rsid w:val="00723A56"/>
    <w:rsid w:val="00723D8F"/>
    <w:rsid w:val="007254DC"/>
    <w:rsid w:val="00746C68"/>
    <w:rsid w:val="00771FC6"/>
    <w:rsid w:val="00773312"/>
    <w:rsid w:val="007738C4"/>
    <w:rsid w:val="00774261"/>
    <w:rsid w:val="00783137"/>
    <w:rsid w:val="007B1832"/>
    <w:rsid w:val="007C5C26"/>
    <w:rsid w:val="00836BEB"/>
    <w:rsid w:val="00840DE0"/>
    <w:rsid w:val="00843006"/>
    <w:rsid w:val="00845B8C"/>
    <w:rsid w:val="00850EF5"/>
    <w:rsid w:val="00853312"/>
    <w:rsid w:val="00857844"/>
    <w:rsid w:val="008616EA"/>
    <w:rsid w:val="00867233"/>
    <w:rsid w:val="00877D40"/>
    <w:rsid w:val="00891017"/>
    <w:rsid w:val="008956F1"/>
    <w:rsid w:val="008A18E3"/>
    <w:rsid w:val="008A30A0"/>
    <w:rsid w:val="008A4770"/>
    <w:rsid w:val="008B4FD2"/>
    <w:rsid w:val="008B6480"/>
    <w:rsid w:val="008D6A1D"/>
    <w:rsid w:val="008E14F9"/>
    <w:rsid w:val="008F5373"/>
    <w:rsid w:val="0090436B"/>
    <w:rsid w:val="00910366"/>
    <w:rsid w:val="00923C0D"/>
    <w:rsid w:val="00942104"/>
    <w:rsid w:val="009450B3"/>
    <w:rsid w:val="00950913"/>
    <w:rsid w:val="0095779F"/>
    <w:rsid w:val="00964904"/>
    <w:rsid w:val="00974DB0"/>
    <w:rsid w:val="00984748"/>
    <w:rsid w:val="00992B20"/>
    <w:rsid w:val="00994265"/>
    <w:rsid w:val="00995B74"/>
    <w:rsid w:val="009A39BC"/>
    <w:rsid w:val="009B24F1"/>
    <w:rsid w:val="009B468B"/>
    <w:rsid w:val="009C1697"/>
    <w:rsid w:val="009C7BDA"/>
    <w:rsid w:val="009D071A"/>
    <w:rsid w:val="009D3E6D"/>
    <w:rsid w:val="009F7060"/>
    <w:rsid w:val="00A03B4B"/>
    <w:rsid w:val="00A03F3E"/>
    <w:rsid w:val="00A1015C"/>
    <w:rsid w:val="00A21470"/>
    <w:rsid w:val="00A31B02"/>
    <w:rsid w:val="00A342E2"/>
    <w:rsid w:val="00A444DB"/>
    <w:rsid w:val="00A447C3"/>
    <w:rsid w:val="00A51A91"/>
    <w:rsid w:val="00A72923"/>
    <w:rsid w:val="00AA2BB1"/>
    <w:rsid w:val="00AC6125"/>
    <w:rsid w:val="00AD38EF"/>
    <w:rsid w:val="00AE73D8"/>
    <w:rsid w:val="00AF14D2"/>
    <w:rsid w:val="00AF3AA5"/>
    <w:rsid w:val="00B00026"/>
    <w:rsid w:val="00B431E2"/>
    <w:rsid w:val="00B43FB8"/>
    <w:rsid w:val="00B86DD0"/>
    <w:rsid w:val="00B879C2"/>
    <w:rsid w:val="00BA19BC"/>
    <w:rsid w:val="00BA3107"/>
    <w:rsid w:val="00BA3C57"/>
    <w:rsid w:val="00BB6AAF"/>
    <w:rsid w:val="00BD1AD1"/>
    <w:rsid w:val="00BD7F8E"/>
    <w:rsid w:val="00BE670A"/>
    <w:rsid w:val="00BF637A"/>
    <w:rsid w:val="00BF66F9"/>
    <w:rsid w:val="00C007E0"/>
    <w:rsid w:val="00C11ED1"/>
    <w:rsid w:val="00C14B48"/>
    <w:rsid w:val="00C25C60"/>
    <w:rsid w:val="00C27A4D"/>
    <w:rsid w:val="00C30603"/>
    <w:rsid w:val="00C52BEC"/>
    <w:rsid w:val="00C5584C"/>
    <w:rsid w:val="00C56DEF"/>
    <w:rsid w:val="00C62970"/>
    <w:rsid w:val="00C62C26"/>
    <w:rsid w:val="00C9603C"/>
    <w:rsid w:val="00C962F8"/>
    <w:rsid w:val="00CB4660"/>
    <w:rsid w:val="00CF3142"/>
    <w:rsid w:val="00D038A0"/>
    <w:rsid w:val="00D05952"/>
    <w:rsid w:val="00D07214"/>
    <w:rsid w:val="00D1172A"/>
    <w:rsid w:val="00D32325"/>
    <w:rsid w:val="00D50BAA"/>
    <w:rsid w:val="00D54E49"/>
    <w:rsid w:val="00D63B3F"/>
    <w:rsid w:val="00D67FD4"/>
    <w:rsid w:val="00DA1DC6"/>
    <w:rsid w:val="00DC4ADF"/>
    <w:rsid w:val="00DE3EC4"/>
    <w:rsid w:val="00E00F74"/>
    <w:rsid w:val="00E06BA7"/>
    <w:rsid w:val="00E101D6"/>
    <w:rsid w:val="00E135E3"/>
    <w:rsid w:val="00E304E4"/>
    <w:rsid w:val="00E6393A"/>
    <w:rsid w:val="00E65100"/>
    <w:rsid w:val="00E837FF"/>
    <w:rsid w:val="00E90255"/>
    <w:rsid w:val="00EA0700"/>
    <w:rsid w:val="00EA105D"/>
    <w:rsid w:val="00EB2006"/>
    <w:rsid w:val="00EF270E"/>
    <w:rsid w:val="00F1748B"/>
    <w:rsid w:val="00F220F1"/>
    <w:rsid w:val="00F25000"/>
    <w:rsid w:val="00F70F0B"/>
    <w:rsid w:val="00FA1C4E"/>
    <w:rsid w:val="00FB48BB"/>
    <w:rsid w:val="00FB793B"/>
    <w:rsid w:val="00FC6465"/>
    <w:rsid w:val="00FD250D"/>
    <w:rsid w:val="00FD2FC5"/>
    <w:rsid w:val="00FF3525"/>
    <w:rsid w:val="00FF5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627C"/>
  <w15:docId w15:val="{CEF7A1D5-7B35-46EF-947B-8B5681D5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A30C9"/>
    <w:pPr>
      <w:keepNext/>
      <w:keepLines/>
      <w:spacing w:before="240" w:line="259" w:lineRule="auto"/>
      <w:outlineLvl w:val="0"/>
    </w:pPr>
    <w:rPr>
      <w:rFonts w:eastAsiaTheme="majorEastAsia" w:cstheme="majorBidi"/>
      <w:b/>
      <w:sz w:val="2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067F"/>
    <w:pPr>
      <w:spacing w:after="160" w:line="259"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867233"/>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867233"/>
    <w:rPr>
      <w:sz w:val="20"/>
      <w:szCs w:val="20"/>
    </w:rPr>
  </w:style>
  <w:style w:type="character" w:styleId="Odkaznapoznmkupodiarou">
    <w:name w:val="footnote reference"/>
    <w:basedOn w:val="Predvolenpsmoodseku"/>
    <w:uiPriority w:val="99"/>
    <w:semiHidden/>
    <w:unhideWhenUsed/>
    <w:rsid w:val="00867233"/>
    <w:rPr>
      <w:vertAlign w:val="superscript"/>
    </w:rPr>
  </w:style>
  <w:style w:type="character" w:customStyle="1" w:styleId="Nadpis1Char">
    <w:name w:val="Nadpis 1 Char"/>
    <w:basedOn w:val="Predvolenpsmoodseku"/>
    <w:link w:val="Nadpis1"/>
    <w:uiPriority w:val="9"/>
    <w:rsid w:val="003A30C9"/>
    <w:rPr>
      <w:rFonts w:ascii="Times New Roman" w:eastAsiaTheme="majorEastAsia" w:hAnsi="Times New Roman" w:cstheme="majorBidi"/>
      <w:b/>
      <w:szCs w:val="32"/>
    </w:rPr>
  </w:style>
  <w:style w:type="character" w:styleId="Odkaznakomentr">
    <w:name w:val="annotation reference"/>
    <w:basedOn w:val="Predvolenpsmoodseku"/>
    <w:uiPriority w:val="99"/>
    <w:semiHidden/>
    <w:unhideWhenUsed/>
    <w:rsid w:val="00F220F1"/>
    <w:rPr>
      <w:sz w:val="16"/>
      <w:szCs w:val="16"/>
    </w:rPr>
  </w:style>
  <w:style w:type="paragraph" w:styleId="Textkomentra">
    <w:name w:val="annotation text"/>
    <w:basedOn w:val="Normlny"/>
    <w:link w:val="TextkomentraChar"/>
    <w:uiPriority w:val="99"/>
    <w:semiHidden/>
    <w:unhideWhenUsed/>
    <w:rsid w:val="00F220F1"/>
    <w:pPr>
      <w:spacing w:after="16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F220F1"/>
    <w:rPr>
      <w:sz w:val="20"/>
      <w:szCs w:val="20"/>
    </w:rPr>
  </w:style>
  <w:style w:type="paragraph" w:styleId="Predmetkomentra">
    <w:name w:val="annotation subject"/>
    <w:basedOn w:val="Textkomentra"/>
    <w:next w:val="Textkomentra"/>
    <w:link w:val="PredmetkomentraChar"/>
    <w:uiPriority w:val="99"/>
    <w:semiHidden/>
    <w:unhideWhenUsed/>
    <w:rsid w:val="00F220F1"/>
    <w:rPr>
      <w:b/>
      <w:bCs/>
    </w:rPr>
  </w:style>
  <w:style w:type="character" w:customStyle="1" w:styleId="PredmetkomentraChar">
    <w:name w:val="Predmet komentára Char"/>
    <w:basedOn w:val="TextkomentraChar"/>
    <w:link w:val="Predmetkomentra"/>
    <w:uiPriority w:val="99"/>
    <w:semiHidden/>
    <w:rsid w:val="00F220F1"/>
    <w:rPr>
      <w:b/>
      <w:bCs/>
      <w:sz w:val="20"/>
      <w:szCs w:val="20"/>
    </w:rPr>
  </w:style>
  <w:style w:type="paragraph" w:styleId="Textbubliny">
    <w:name w:val="Balloon Text"/>
    <w:basedOn w:val="Normlny"/>
    <w:link w:val="TextbublinyChar"/>
    <w:uiPriority w:val="99"/>
    <w:semiHidden/>
    <w:unhideWhenUsed/>
    <w:rsid w:val="00F220F1"/>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F220F1"/>
    <w:rPr>
      <w:rFonts w:ascii="Segoe UI" w:hAnsi="Segoe UI" w:cs="Segoe UI"/>
      <w:sz w:val="18"/>
      <w:szCs w:val="18"/>
    </w:rPr>
  </w:style>
  <w:style w:type="paragraph" w:styleId="Hlavika">
    <w:name w:val="header"/>
    <w:basedOn w:val="Normlny"/>
    <w:link w:val="HlavikaChar"/>
    <w:uiPriority w:val="99"/>
    <w:unhideWhenUsed/>
    <w:rsid w:val="008F5373"/>
    <w:pPr>
      <w:tabs>
        <w:tab w:val="center" w:pos="4536"/>
        <w:tab w:val="right" w:pos="9072"/>
      </w:tabs>
    </w:pPr>
  </w:style>
  <w:style w:type="character" w:customStyle="1" w:styleId="HlavikaChar">
    <w:name w:val="Hlavička Char"/>
    <w:basedOn w:val="Predvolenpsmoodseku"/>
    <w:link w:val="Hlavika"/>
    <w:uiPriority w:val="99"/>
    <w:rsid w:val="008F537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F5373"/>
    <w:pPr>
      <w:tabs>
        <w:tab w:val="center" w:pos="4536"/>
        <w:tab w:val="right" w:pos="9072"/>
      </w:tabs>
    </w:pPr>
  </w:style>
  <w:style w:type="character" w:customStyle="1" w:styleId="PtaChar">
    <w:name w:val="Päta Char"/>
    <w:basedOn w:val="Predvolenpsmoodseku"/>
    <w:link w:val="Pta"/>
    <w:uiPriority w:val="99"/>
    <w:rsid w:val="008F5373"/>
    <w:rPr>
      <w:rFonts w:ascii="Times New Roman" w:eastAsia="Times New Roman" w:hAnsi="Times New Roman" w:cs="Times New Roman"/>
      <w:sz w:val="20"/>
      <w:szCs w:val="20"/>
      <w:lang w:eastAsia="sk-SK"/>
    </w:rPr>
  </w:style>
  <w:style w:type="paragraph" w:customStyle="1" w:styleId="ql-align-justify">
    <w:name w:val="ql-align-justify"/>
    <w:basedOn w:val="Normlny"/>
    <w:rsid w:val="008F5373"/>
    <w:rPr>
      <w:sz w:val="24"/>
      <w:szCs w:val="24"/>
      <w:lang w:val="en-US" w:eastAsia="en-US"/>
    </w:rPr>
  </w:style>
  <w:style w:type="paragraph" w:styleId="Bezriadkovania">
    <w:name w:val="No Spacing"/>
    <w:uiPriority w:val="1"/>
    <w:qFormat/>
    <w:rsid w:val="008F5373"/>
    <w:pPr>
      <w:spacing w:after="0" w:line="240" w:lineRule="auto"/>
    </w:pPr>
    <w:rPr>
      <w:rFonts w:ascii="Times New Roman" w:eastAsia="Times New Roman" w:hAnsi="Times New Roman" w:cs="Times New Roman"/>
      <w:sz w:val="20"/>
      <w:szCs w:val="20"/>
      <w:lang w:eastAsia="sk-SK"/>
    </w:rPr>
  </w:style>
  <w:style w:type="table" w:customStyle="1" w:styleId="Mriekatabuky2">
    <w:name w:val="Mriežka tabuľky2"/>
    <w:basedOn w:val="Normlnatabuka"/>
    <w:next w:val="Mriekatabuky"/>
    <w:uiPriority w:val="5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na-podnikatelske-prostredie"/>
    <f:field ref="objsubject" par="" edit="true" text=""/>
    <f:field ref="objcreatedby" par="" text="Ňuňuk, Pavol, JUDr."/>
    <f:field ref="objcreatedat" par="" text="6.10.2022 15:23:49"/>
    <f:field ref="objchangedby" par="" text="Administrator, System"/>
    <f:field ref="objmodifiedat" par="" text="6.10.2022 15:23: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A65B30-9214-4C36-91DE-1480E15F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6198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Benová Tímea</cp:lastModifiedBy>
  <cp:revision>3</cp:revision>
  <cp:lastPrinted>2022-11-09T08:07:00Z</cp:lastPrinted>
  <dcterms:created xsi:type="dcterms:W3CDTF">2022-11-08T08:45:00Z</dcterms:created>
  <dcterms:modified xsi:type="dcterms:W3CDTF">2022-11-09T08:07:00Z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Pavol Ňuňuk</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v poľnohospodárstve formou priamych platieb</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Vykonávanie právnych predpisov EÚ</vt:lpwstr>
  </property>
  <property fmtid="{D5CDD505-2E9C-101B-9397-08002B2CF9AE}" pid="23" name="FSC#SKEDITIONSLOVLEX@103.510:plnynazovpredpis">
    <vt:lpwstr> Nariadenie vlády  Slovenskej republiky, ktorým sa ustanovujú pravidlá poskytovania podpory v poľnohospodárstve formou priamych platieb</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9193/2022-410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LP/2022/560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38 až 44 a čl. 107 až 109,</vt:lpwstr>
  </property>
  <property fmtid="{D5CDD505-2E9C-101B-9397-08002B2CF9AE}" pid="47" name="FSC#SKEDITIONSLOVLEX@103.510:AttrStrListDocPropSekundarneLegPravoPO">
    <vt:lpwstr>Nariadenie Európskeho parlamentu a Rady (EÚ) 2021/2115 z 2. decembra 2021, ktorým sa stanovujú pravidlá podpory strategických plánov, ktoré majú zostaviť členské štáty v rámci spoločnej poľnohospodárskej politiky (strategické plány SPP) a ktoré sú financo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Návrhom nariadenia vlády Slovenskej republiky, ktorým sa ustanovujú pravidlá poskytovania podpory v poľnohospodárstve na základe intervencií vo forme priamych platieb sa nepreberá právny akt Európskej únie.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žiadne z uvedených konaní.</vt:lpwstr>
  </property>
  <property fmtid="{D5CDD505-2E9C-101B-9397-08002B2CF9AE}" pid="55" name="FSC#SKEDITIONSLOVLEX@103.510:AttrStrListDocPropInfoUzPreberanePP">
    <vt:lpwstr>Uvádzané právne akty Európskej únie sú priamo uplatniteľné v členských štátoch Európskej únie, a teda nie sú transponované do právneho poriadku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 rozvoja vidieka Slovenskej republiky predkladá návrh nariadenia vlády Slovenskej republiky, ktorým sa ustanovujú pravidlá poskytovania podpory v&amp;nbsp;poľnohospodárstve formou priamych platieb</vt:lpwstr>
  </property>
  <property fmtid="{D5CDD505-2E9C-101B-9397-08002B2CF9AE}" pid="150" name="FSC#SKEDITIONSLOVLEX@103.510:vytvorenedna">
    <vt:lpwstr>6. 10. 2022</vt:lpwstr>
  </property>
  <property fmtid="{D5CDD505-2E9C-101B-9397-08002B2CF9AE}" pid="151" name="FSC#COOSYSTEM@1.1:Container">
    <vt:lpwstr>COO.2145.1000.3.5217262</vt:lpwstr>
  </property>
  <property fmtid="{D5CDD505-2E9C-101B-9397-08002B2CF9AE}" pid="152" name="FSC#FSCFOLIO@1.1001:docpropproject">
    <vt:lpwstr/>
  </property>
</Properties>
</file>