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8C4C" w14:textId="77777777" w:rsidR="00640AD6" w:rsidRPr="00E73D32" w:rsidRDefault="00640AD6" w:rsidP="00640AD6">
      <w:pPr>
        <w:jc w:val="center"/>
        <w:rPr>
          <w:rFonts w:eastAsia="Calibri"/>
          <w:b/>
          <w:sz w:val="24"/>
        </w:rPr>
      </w:pPr>
      <w:r w:rsidRPr="00E73D32">
        <w:rPr>
          <w:rFonts w:eastAsia="Calibri"/>
          <w:b/>
          <w:sz w:val="24"/>
        </w:rPr>
        <w:t>Analýza vplyvov na podnikateľské prostredie</w:t>
      </w:r>
    </w:p>
    <w:p w14:paraId="420BA539" w14:textId="5D762708" w:rsidR="00A27AB3" w:rsidRDefault="00640AD6" w:rsidP="00640AD6">
      <w:pPr>
        <w:jc w:val="both"/>
        <w:rPr>
          <w:rFonts w:eastAsia="Calibri"/>
        </w:rPr>
      </w:pPr>
      <w:r w:rsidRPr="00E73D32">
        <w:rPr>
          <w:rFonts w:eastAsia="Calibri"/>
          <w:b/>
        </w:rPr>
        <w:t xml:space="preserve">Názov materiálu: </w:t>
      </w:r>
      <w:r w:rsidRPr="00E73D32">
        <w:rPr>
          <w:rFonts w:eastAsia="Calibri"/>
        </w:rPr>
        <w:t>Nariadenie vlády Slovenskej republiky</w:t>
      </w:r>
      <w:r w:rsidR="0066314C" w:rsidRPr="00E73D32">
        <w:rPr>
          <w:rFonts w:eastAsia="Calibri"/>
        </w:rPr>
        <w:t xml:space="preserve">, </w:t>
      </w:r>
      <w:r w:rsidR="00A27AB3" w:rsidRPr="00E73D32">
        <w:rPr>
          <w:rFonts w:eastAsia="Calibri"/>
        </w:rPr>
        <w:t>ktorým sa ustanovujú požiadavky na udržiavanie poľnohospodárskej plochy, aktívneho poľnohospodára a</w:t>
      </w:r>
      <w:r w:rsidR="00296CC5">
        <w:rPr>
          <w:rFonts w:eastAsia="Calibri"/>
        </w:rPr>
        <w:t> </w:t>
      </w:r>
      <w:r w:rsidR="00A27AB3" w:rsidRPr="00E73D32">
        <w:rPr>
          <w:rFonts w:eastAsia="Calibri"/>
        </w:rPr>
        <w:t>kondicionality</w:t>
      </w:r>
      <w:r w:rsidR="00296CC5">
        <w:rPr>
          <w:rFonts w:eastAsia="Calibri"/>
        </w:rPr>
        <w:t>.</w:t>
      </w:r>
      <w:r w:rsidR="00A27AB3" w:rsidRPr="00E73D32">
        <w:rPr>
          <w:rFonts w:eastAsia="Calibri"/>
        </w:rPr>
        <w:t xml:space="preserve"> </w:t>
      </w:r>
    </w:p>
    <w:p w14:paraId="18C45904" w14:textId="77777777" w:rsidR="009A3DFF" w:rsidRPr="00E73D32" w:rsidRDefault="009A3DFF" w:rsidP="00640AD6">
      <w:pPr>
        <w:jc w:val="both"/>
        <w:rPr>
          <w:rFonts w:eastAsia="Calibri"/>
        </w:rPr>
      </w:pPr>
    </w:p>
    <w:p w14:paraId="49DC0040" w14:textId="4A7D3FF6" w:rsidR="00640AD6" w:rsidRPr="00E73D32" w:rsidRDefault="00640AD6" w:rsidP="00640AD6">
      <w:pPr>
        <w:jc w:val="both"/>
        <w:rPr>
          <w:rFonts w:eastAsia="Calibri"/>
          <w:b/>
        </w:rPr>
      </w:pPr>
      <w:r w:rsidRPr="00E73D32">
        <w:rPr>
          <w:rFonts w:eastAsia="Calibri"/>
          <w:b/>
        </w:rPr>
        <w:t xml:space="preserve">Predkladateľ: </w:t>
      </w:r>
      <w:r w:rsidRPr="00E73D32">
        <w:rPr>
          <w:rFonts w:eastAsia="Calibri"/>
        </w:rPr>
        <w:t>Ministerstvo pôdohospodárstva a rozvoja vidieka Slovenskej republiky</w:t>
      </w:r>
    </w:p>
    <w:p w14:paraId="79E79725" w14:textId="77777777" w:rsidR="003D2197" w:rsidRDefault="003D2197" w:rsidP="00640AD6">
      <w:pPr>
        <w:jc w:val="both"/>
        <w:rPr>
          <w:rFonts w:eastAsia="Calibri"/>
          <w:b/>
        </w:rPr>
      </w:pPr>
      <w:bookmarkStart w:id="0" w:name="_GoBack"/>
      <w:bookmarkEnd w:id="0"/>
    </w:p>
    <w:p w14:paraId="18027750" w14:textId="26252420" w:rsidR="00640AD6" w:rsidRPr="00E73D32" w:rsidRDefault="00640AD6" w:rsidP="00640AD6">
      <w:pPr>
        <w:jc w:val="both"/>
        <w:rPr>
          <w:rFonts w:eastAsia="Calibri"/>
          <w:b/>
        </w:rPr>
      </w:pPr>
      <w:r w:rsidRPr="00E73D32">
        <w:rPr>
          <w:rFonts w:eastAsia="Calibri"/>
          <w:b/>
        </w:rPr>
        <w:t>3.1 Náklady regulácie</w:t>
      </w:r>
    </w:p>
    <w:p w14:paraId="31A7E64B" w14:textId="77777777" w:rsidR="00640AD6" w:rsidRPr="00E73D32" w:rsidRDefault="00640AD6" w:rsidP="00640AD6">
      <w:pPr>
        <w:tabs>
          <w:tab w:val="left" w:pos="8025"/>
        </w:tabs>
        <w:rPr>
          <w:rFonts w:eastAsia="Calibri"/>
          <w:bCs/>
          <w:i/>
          <w:iCs/>
        </w:rPr>
      </w:pPr>
      <w:r w:rsidRPr="00E73D32">
        <w:rPr>
          <w:rFonts w:eastAsia="Calibri"/>
          <w:b/>
          <w:i/>
          <w:iCs/>
        </w:rPr>
        <w:t xml:space="preserve">3.1.1 Súhrnná tabuľka nákladov regulácie </w:t>
      </w:r>
      <w:r w:rsidRPr="00E73D32">
        <w:rPr>
          <w:rFonts w:eastAsia="Calibri"/>
          <w:b/>
          <w:i/>
          <w:iCs/>
        </w:rPr>
        <w:tab/>
      </w:r>
    </w:p>
    <w:p w14:paraId="113AA7DC" w14:textId="77777777" w:rsidR="00640AD6" w:rsidRPr="00E73D32" w:rsidRDefault="00640AD6" w:rsidP="00640AD6">
      <w:pPr>
        <w:jc w:val="both"/>
        <w:rPr>
          <w:rFonts w:eastAsia="Calibri"/>
          <w:i/>
        </w:rPr>
      </w:pPr>
      <w:r w:rsidRPr="00E73D32">
        <w:rPr>
          <w:rFonts w:eastAsia="Calibri"/>
          <w:i/>
        </w:rPr>
        <w:t xml:space="preserve">Tabuľka č. 1: Zmeny nákladov (ročne) v prepočte na podnikateľské prostredie (PP), vyhodnotenie mechanizmu znižovania byrokracie a nákladov. </w:t>
      </w:r>
    </w:p>
    <w:p w14:paraId="124669E2" w14:textId="77777777" w:rsidR="00640AD6" w:rsidRPr="00E73D32" w:rsidRDefault="00640AD6" w:rsidP="00640AD6">
      <w:pPr>
        <w:jc w:val="both"/>
        <w:rPr>
          <w:rFonts w:eastAsia="Calibri"/>
          <w:i/>
        </w:rPr>
      </w:pPr>
      <w:r w:rsidRPr="00E73D32">
        <w:rPr>
          <w:rFonts w:eastAsia="Calibri"/>
          <w:i/>
        </w:rPr>
        <w:t xml:space="preserve">Nahraďte rovnakou tabuľkou po vyplnení Kalkulačky nákladov podnikateľského prostredia, ktorá je povinnou prílohou tejto analýzy a nájdete ju na </w:t>
      </w:r>
      <w:hyperlink r:id="rId8" w:history="1">
        <w:r w:rsidRPr="00E73D32">
          <w:rPr>
            <w:rFonts w:eastAsia="Calibri"/>
            <w:i/>
            <w:color w:val="0563C1"/>
            <w:u w:val="single"/>
          </w:rPr>
          <w:t>webovom sídle MH SR</w:t>
        </w:r>
      </w:hyperlink>
      <w:r w:rsidRPr="00E73D32">
        <w:rPr>
          <w:rFonts w:eastAsia="Calibri"/>
          <w:i/>
        </w:rPr>
        <w:t>, (ďalej len „Kalkulačka nákladov“):</w:t>
      </w:r>
    </w:p>
    <w:tbl>
      <w:tblPr>
        <w:tblStyle w:val="Mriekatabuky2"/>
        <w:tblW w:w="9067" w:type="dxa"/>
        <w:tblLook w:val="04A0" w:firstRow="1" w:lastRow="0" w:firstColumn="1" w:lastColumn="0" w:noHBand="0" w:noVBand="1"/>
      </w:tblPr>
      <w:tblGrid>
        <w:gridCol w:w="3681"/>
        <w:gridCol w:w="2693"/>
        <w:gridCol w:w="2693"/>
      </w:tblGrid>
      <w:tr w:rsidR="00640AD6" w:rsidRPr="00E73D32" w14:paraId="239E9DEA" w14:textId="77777777" w:rsidTr="00ED1A67">
        <w:tc>
          <w:tcPr>
            <w:tcW w:w="3681" w:type="dxa"/>
          </w:tcPr>
          <w:p w14:paraId="3258B71A" w14:textId="77777777" w:rsidR="00640AD6" w:rsidRPr="00E73D32" w:rsidRDefault="00640AD6" w:rsidP="00ED1A67">
            <w:pPr>
              <w:rPr>
                <w:rFonts w:eastAsia="Calibri"/>
                <w:b/>
                <w:bCs/>
                <w:i/>
              </w:rPr>
            </w:pPr>
            <w:r w:rsidRPr="00E73D32">
              <w:rPr>
                <w:rFonts w:eastAsia="Calibri"/>
                <w:b/>
                <w:bCs/>
                <w:i/>
              </w:rPr>
              <w:t>TYP NÁKLADOV</w:t>
            </w:r>
          </w:p>
        </w:tc>
        <w:tc>
          <w:tcPr>
            <w:tcW w:w="2693" w:type="dxa"/>
            <w:shd w:val="clear" w:color="auto" w:fill="FFC000"/>
          </w:tcPr>
          <w:p w14:paraId="10753C89" w14:textId="77777777" w:rsidR="00640AD6" w:rsidRPr="00E73D32" w:rsidRDefault="00640AD6" w:rsidP="00ED1A67">
            <w:pPr>
              <w:jc w:val="center"/>
              <w:rPr>
                <w:rFonts w:eastAsia="Calibri"/>
                <w:i/>
              </w:rPr>
            </w:pPr>
            <w:r w:rsidRPr="00E73D32">
              <w:rPr>
                <w:rFonts w:eastAsia="Calibri"/>
                <w:b/>
                <w:bCs/>
                <w:color w:val="000000"/>
              </w:rPr>
              <w:t>Zvýšenie nákladov v € na PP</w:t>
            </w:r>
          </w:p>
        </w:tc>
        <w:tc>
          <w:tcPr>
            <w:tcW w:w="2693" w:type="dxa"/>
            <w:shd w:val="clear" w:color="auto" w:fill="92D050"/>
          </w:tcPr>
          <w:p w14:paraId="7CA0104F" w14:textId="77777777" w:rsidR="00640AD6" w:rsidRPr="00E73D32" w:rsidRDefault="00640AD6" w:rsidP="00ED1A67">
            <w:pPr>
              <w:jc w:val="center"/>
              <w:rPr>
                <w:rFonts w:eastAsia="Calibri"/>
                <w:b/>
                <w:bCs/>
                <w:color w:val="000000"/>
              </w:rPr>
            </w:pPr>
            <w:r w:rsidRPr="00E73D32">
              <w:rPr>
                <w:rFonts w:eastAsia="Calibri"/>
                <w:b/>
                <w:bCs/>
                <w:color w:val="000000"/>
              </w:rPr>
              <w:t>Zníženie nákladov v € na PP</w:t>
            </w:r>
          </w:p>
        </w:tc>
      </w:tr>
      <w:tr w:rsidR="00640AD6" w:rsidRPr="00E73D32" w14:paraId="6A48DE35" w14:textId="77777777" w:rsidTr="00ED1A67">
        <w:trPr>
          <w:trHeight w:val="227"/>
        </w:trPr>
        <w:tc>
          <w:tcPr>
            <w:tcW w:w="3681" w:type="dxa"/>
          </w:tcPr>
          <w:p w14:paraId="171CCD30" w14:textId="77777777" w:rsidR="00640AD6" w:rsidRPr="00E73D32" w:rsidRDefault="00640AD6" w:rsidP="00ED1A67">
            <w:pPr>
              <w:rPr>
                <w:rFonts w:eastAsia="Calibri"/>
                <w:i/>
                <w:iCs/>
              </w:rPr>
            </w:pPr>
            <w:r w:rsidRPr="00E73D32">
              <w:rPr>
                <w:rFonts w:eastAsia="Calibri"/>
                <w:i/>
                <w:iCs/>
                <w:color w:val="000000"/>
              </w:rPr>
              <w:t>A. Dane, odvody, clá a poplatky</w:t>
            </w:r>
            <w:r w:rsidRPr="00E73D32">
              <w:t>,</w:t>
            </w:r>
            <w:r w:rsidRPr="00E73D32">
              <w:rPr>
                <w:b/>
                <w:bCs/>
              </w:rPr>
              <w:t xml:space="preserve"> </w:t>
            </w:r>
            <w:r w:rsidRPr="00E73D32">
              <w:rPr>
                <w:rFonts w:eastAsia="Calibri"/>
                <w:i/>
                <w:iCs/>
                <w:color w:val="000000"/>
              </w:rPr>
              <w:t>ktorých cieľom je znižovať negatívne externality</w:t>
            </w:r>
          </w:p>
        </w:tc>
        <w:tc>
          <w:tcPr>
            <w:tcW w:w="2693" w:type="dxa"/>
            <w:shd w:val="clear" w:color="auto" w:fill="FFC000"/>
          </w:tcPr>
          <w:p w14:paraId="46F8603C" w14:textId="77777777" w:rsidR="00640AD6" w:rsidRPr="00E73D32" w:rsidRDefault="00640AD6" w:rsidP="00ED1A67">
            <w:pPr>
              <w:jc w:val="center"/>
              <w:rPr>
                <w:rFonts w:eastAsia="Calibri"/>
                <w:i/>
              </w:rPr>
            </w:pPr>
            <w:r w:rsidRPr="00E73D32">
              <w:rPr>
                <w:rFonts w:eastAsia="Calibri"/>
                <w:i/>
              </w:rPr>
              <w:t>0</w:t>
            </w:r>
          </w:p>
        </w:tc>
        <w:tc>
          <w:tcPr>
            <w:tcW w:w="2693" w:type="dxa"/>
            <w:shd w:val="clear" w:color="auto" w:fill="92D050"/>
          </w:tcPr>
          <w:p w14:paraId="4190C7AC" w14:textId="77777777" w:rsidR="00640AD6" w:rsidRPr="00E73D32" w:rsidRDefault="00640AD6" w:rsidP="00ED1A67">
            <w:pPr>
              <w:jc w:val="center"/>
              <w:rPr>
                <w:rFonts w:eastAsia="Calibri"/>
                <w:i/>
              </w:rPr>
            </w:pPr>
            <w:r w:rsidRPr="00E73D32">
              <w:rPr>
                <w:rFonts w:eastAsia="Calibri"/>
                <w:i/>
              </w:rPr>
              <w:t>0</w:t>
            </w:r>
          </w:p>
        </w:tc>
      </w:tr>
      <w:tr w:rsidR="00640AD6" w:rsidRPr="00E73D32" w14:paraId="107798F7" w14:textId="77777777" w:rsidTr="00ED1A67">
        <w:tc>
          <w:tcPr>
            <w:tcW w:w="3681" w:type="dxa"/>
          </w:tcPr>
          <w:p w14:paraId="08819776" w14:textId="77777777" w:rsidR="00640AD6" w:rsidRPr="00E73D32" w:rsidRDefault="00640AD6" w:rsidP="00ED1A67">
            <w:pPr>
              <w:rPr>
                <w:rFonts w:eastAsia="Calibri"/>
                <w:i/>
              </w:rPr>
            </w:pPr>
            <w:r w:rsidRPr="00E73D32">
              <w:rPr>
                <w:rFonts w:eastAsia="Calibri"/>
                <w:i/>
              </w:rPr>
              <w:t>B. Iné poplatky</w:t>
            </w:r>
          </w:p>
        </w:tc>
        <w:tc>
          <w:tcPr>
            <w:tcW w:w="2693" w:type="dxa"/>
            <w:shd w:val="clear" w:color="auto" w:fill="FFC000"/>
          </w:tcPr>
          <w:p w14:paraId="6E9C352C" w14:textId="77777777" w:rsidR="00640AD6" w:rsidRPr="00E73D32" w:rsidRDefault="00640AD6" w:rsidP="00ED1A67">
            <w:pPr>
              <w:jc w:val="center"/>
              <w:rPr>
                <w:rFonts w:eastAsia="Calibri"/>
                <w:i/>
              </w:rPr>
            </w:pPr>
            <w:r w:rsidRPr="00E73D32">
              <w:rPr>
                <w:rFonts w:eastAsia="Calibri"/>
                <w:i/>
              </w:rPr>
              <w:t>0</w:t>
            </w:r>
          </w:p>
        </w:tc>
        <w:tc>
          <w:tcPr>
            <w:tcW w:w="2693" w:type="dxa"/>
            <w:shd w:val="clear" w:color="auto" w:fill="92D050"/>
          </w:tcPr>
          <w:p w14:paraId="79B0D8BC" w14:textId="77777777" w:rsidR="00640AD6" w:rsidRPr="00E73D32" w:rsidRDefault="00640AD6" w:rsidP="00ED1A67">
            <w:pPr>
              <w:jc w:val="center"/>
              <w:rPr>
                <w:rFonts w:eastAsia="Calibri"/>
                <w:i/>
              </w:rPr>
            </w:pPr>
            <w:r w:rsidRPr="00E73D32">
              <w:rPr>
                <w:rFonts w:eastAsia="Calibri"/>
                <w:i/>
              </w:rPr>
              <w:t>0</w:t>
            </w:r>
          </w:p>
        </w:tc>
      </w:tr>
      <w:tr w:rsidR="00640AD6" w:rsidRPr="00E73D32" w14:paraId="0BBBDCA7" w14:textId="77777777" w:rsidTr="00ED1A67">
        <w:tc>
          <w:tcPr>
            <w:tcW w:w="3681" w:type="dxa"/>
          </w:tcPr>
          <w:p w14:paraId="5733E829" w14:textId="77777777" w:rsidR="00640AD6" w:rsidRPr="00E73D32" w:rsidRDefault="00640AD6" w:rsidP="00ED1A67">
            <w:pPr>
              <w:rPr>
                <w:rFonts w:eastAsia="Calibri"/>
                <w:i/>
              </w:rPr>
            </w:pPr>
            <w:r w:rsidRPr="00E73D32">
              <w:rPr>
                <w:rFonts w:eastAsia="Calibri"/>
                <w:i/>
              </w:rPr>
              <w:t>C. Nepriame finančné náklady</w:t>
            </w:r>
          </w:p>
        </w:tc>
        <w:tc>
          <w:tcPr>
            <w:tcW w:w="2693" w:type="dxa"/>
            <w:shd w:val="clear" w:color="auto" w:fill="FFC000"/>
          </w:tcPr>
          <w:p w14:paraId="7D5E6214" w14:textId="77777777" w:rsidR="00640AD6" w:rsidRPr="00E73D32" w:rsidRDefault="00640AD6" w:rsidP="00ED1A67">
            <w:pPr>
              <w:jc w:val="center"/>
              <w:rPr>
                <w:rFonts w:eastAsia="Calibri"/>
                <w:i/>
              </w:rPr>
            </w:pPr>
            <w:r w:rsidRPr="00E73D32">
              <w:rPr>
                <w:rFonts w:eastAsia="Calibri"/>
                <w:i/>
              </w:rPr>
              <w:t>0</w:t>
            </w:r>
          </w:p>
        </w:tc>
        <w:tc>
          <w:tcPr>
            <w:tcW w:w="2693" w:type="dxa"/>
            <w:shd w:val="clear" w:color="auto" w:fill="92D050"/>
          </w:tcPr>
          <w:p w14:paraId="28E59CC4" w14:textId="77777777" w:rsidR="00640AD6" w:rsidRPr="00E73D32" w:rsidRDefault="00640AD6" w:rsidP="00ED1A67">
            <w:pPr>
              <w:jc w:val="center"/>
              <w:rPr>
                <w:rFonts w:eastAsia="Calibri"/>
                <w:i/>
              </w:rPr>
            </w:pPr>
            <w:r w:rsidRPr="00E73D32">
              <w:rPr>
                <w:rFonts w:eastAsia="Calibri"/>
                <w:i/>
              </w:rPr>
              <w:t>0</w:t>
            </w:r>
          </w:p>
        </w:tc>
      </w:tr>
      <w:tr w:rsidR="00640AD6" w:rsidRPr="00E73D32" w14:paraId="1663805B" w14:textId="77777777" w:rsidTr="00ED1A67">
        <w:tc>
          <w:tcPr>
            <w:tcW w:w="3681" w:type="dxa"/>
          </w:tcPr>
          <w:p w14:paraId="410CB727" w14:textId="77777777" w:rsidR="00640AD6" w:rsidRPr="00E73D32" w:rsidRDefault="00640AD6" w:rsidP="00ED1A67">
            <w:pPr>
              <w:rPr>
                <w:rFonts w:eastAsia="Calibri"/>
                <w:i/>
              </w:rPr>
            </w:pPr>
            <w:r w:rsidRPr="00E73D32">
              <w:rPr>
                <w:rFonts w:eastAsia="Calibri"/>
                <w:i/>
              </w:rPr>
              <w:t>D. Administratívne náklady</w:t>
            </w:r>
          </w:p>
        </w:tc>
        <w:tc>
          <w:tcPr>
            <w:tcW w:w="2693" w:type="dxa"/>
            <w:shd w:val="clear" w:color="auto" w:fill="FFC000"/>
          </w:tcPr>
          <w:p w14:paraId="1FDB2DC2" w14:textId="77777777" w:rsidR="00640AD6" w:rsidRPr="00E73D32" w:rsidRDefault="00640AD6" w:rsidP="00ED1A67">
            <w:pPr>
              <w:jc w:val="center"/>
              <w:rPr>
                <w:rFonts w:eastAsia="Calibri"/>
                <w:i/>
              </w:rPr>
            </w:pPr>
            <w:r w:rsidRPr="00E73D32">
              <w:rPr>
                <w:rFonts w:eastAsia="Calibri"/>
                <w:i/>
              </w:rPr>
              <w:t>0</w:t>
            </w:r>
          </w:p>
        </w:tc>
        <w:tc>
          <w:tcPr>
            <w:tcW w:w="2693" w:type="dxa"/>
            <w:shd w:val="clear" w:color="auto" w:fill="92D050"/>
          </w:tcPr>
          <w:p w14:paraId="3677361B" w14:textId="77777777" w:rsidR="00640AD6" w:rsidRPr="00E73D32" w:rsidRDefault="00640AD6" w:rsidP="00ED1A67">
            <w:pPr>
              <w:jc w:val="center"/>
              <w:rPr>
                <w:rFonts w:eastAsia="Calibri"/>
                <w:i/>
              </w:rPr>
            </w:pPr>
            <w:r w:rsidRPr="00E73D32">
              <w:rPr>
                <w:rFonts w:eastAsia="Calibri"/>
                <w:i/>
              </w:rPr>
              <w:t>0</w:t>
            </w:r>
          </w:p>
        </w:tc>
      </w:tr>
      <w:tr w:rsidR="00640AD6" w:rsidRPr="00E73D32" w14:paraId="25A5A5FE" w14:textId="77777777" w:rsidTr="00ED1A67">
        <w:tc>
          <w:tcPr>
            <w:tcW w:w="3681" w:type="dxa"/>
          </w:tcPr>
          <w:p w14:paraId="023FCEAC" w14:textId="77777777" w:rsidR="00640AD6" w:rsidRPr="00E73D32" w:rsidRDefault="00640AD6" w:rsidP="00ED1A67">
            <w:pPr>
              <w:rPr>
                <w:rFonts w:eastAsia="Calibri"/>
                <w:b/>
                <w:i/>
              </w:rPr>
            </w:pPr>
            <w:r w:rsidRPr="00E73D32">
              <w:rPr>
                <w:rFonts w:eastAsia="Calibri"/>
                <w:b/>
                <w:i/>
              </w:rPr>
              <w:t>Spolu = A+B+C+D</w:t>
            </w:r>
          </w:p>
        </w:tc>
        <w:tc>
          <w:tcPr>
            <w:tcW w:w="2693" w:type="dxa"/>
            <w:shd w:val="clear" w:color="auto" w:fill="FFC000"/>
          </w:tcPr>
          <w:p w14:paraId="64E84505" w14:textId="77777777" w:rsidR="00640AD6" w:rsidRPr="00E73D32" w:rsidRDefault="00640AD6" w:rsidP="00ED1A67">
            <w:pPr>
              <w:jc w:val="center"/>
              <w:rPr>
                <w:rFonts w:eastAsia="Calibri"/>
                <w:b/>
                <w:i/>
              </w:rPr>
            </w:pPr>
            <w:r w:rsidRPr="00E73D32">
              <w:rPr>
                <w:rFonts w:eastAsia="Calibri"/>
                <w:b/>
                <w:i/>
              </w:rPr>
              <w:t>0</w:t>
            </w:r>
          </w:p>
        </w:tc>
        <w:tc>
          <w:tcPr>
            <w:tcW w:w="2693" w:type="dxa"/>
            <w:shd w:val="clear" w:color="auto" w:fill="92D050"/>
          </w:tcPr>
          <w:p w14:paraId="3DACB4EC" w14:textId="77777777" w:rsidR="00640AD6" w:rsidRPr="00E73D32" w:rsidRDefault="00640AD6" w:rsidP="00ED1A67">
            <w:pPr>
              <w:jc w:val="center"/>
              <w:rPr>
                <w:rFonts w:eastAsia="Calibri"/>
                <w:b/>
                <w:i/>
              </w:rPr>
            </w:pPr>
            <w:r w:rsidRPr="00E73D32">
              <w:rPr>
                <w:rFonts w:eastAsia="Calibri"/>
                <w:b/>
                <w:i/>
              </w:rPr>
              <w:t>0</w:t>
            </w:r>
          </w:p>
        </w:tc>
      </w:tr>
      <w:tr w:rsidR="00640AD6" w:rsidRPr="00E73D32" w14:paraId="1B556714" w14:textId="77777777" w:rsidTr="00ED1A67">
        <w:tc>
          <w:tcPr>
            <w:tcW w:w="3681" w:type="dxa"/>
          </w:tcPr>
          <w:p w14:paraId="5EDDB619" w14:textId="77777777" w:rsidR="00640AD6" w:rsidRPr="00E73D32" w:rsidRDefault="00640AD6" w:rsidP="00ED1A67">
            <w:pPr>
              <w:rPr>
                <w:rFonts w:eastAsia="Calibri"/>
                <w:b/>
                <w:i/>
              </w:rPr>
            </w:pPr>
            <w:r w:rsidRPr="00E73D32">
              <w:rPr>
                <w:rFonts w:eastAsia="Calibri"/>
                <w:b/>
                <w:i/>
              </w:rPr>
              <w:t xml:space="preserve"> z toho</w:t>
            </w:r>
          </w:p>
        </w:tc>
        <w:tc>
          <w:tcPr>
            <w:tcW w:w="2693" w:type="dxa"/>
            <w:shd w:val="clear" w:color="auto" w:fill="FFC000"/>
          </w:tcPr>
          <w:p w14:paraId="7A9FB917" w14:textId="77777777" w:rsidR="00640AD6" w:rsidRPr="00E73D32" w:rsidRDefault="00640AD6" w:rsidP="00ED1A67">
            <w:pPr>
              <w:jc w:val="center"/>
              <w:rPr>
                <w:rFonts w:eastAsia="Calibri"/>
                <w:b/>
                <w:i/>
              </w:rPr>
            </w:pPr>
          </w:p>
        </w:tc>
        <w:tc>
          <w:tcPr>
            <w:tcW w:w="2693" w:type="dxa"/>
            <w:shd w:val="clear" w:color="auto" w:fill="92D050"/>
          </w:tcPr>
          <w:p w14:paraId="5C8CA9A8" w14:textId="77777777" w:rsidR="00640AD6" w:rsidRPr="00E73D32" w:rsidRDefault="00640AD6" w:rsidP="00ED1A67">
            <w:pPr>
              <w:jc w:val="center"/>
              <w:rPr>
                <w:rFonts w:eastAsia="Calibri"/>
                <w:b/>
                <w:i/>
              </w:rPr>
            </w:pPr>
          </w:p>
        </w:tc>
      </w:tr>
      <w:tr w:rsidR="00640AD6" w:rsidRPr="00E73D32" w14:paraId="7AA24123" w14:textId="77777777" w:rsidTr="00ED1A67">
        <w:tc>
          <w:tcPr>
            <w:tcW w:w="3681" w:type="dxa"/>
          </w:tcPr>
          <w:p w14:paraId="366023F6" w14:textId="77777777" w:rsidR="00640AD6" w:rsidRPr="00E73D32" w:rsidRDefault="00640AD6" w:rsidP="00ED1A67">
            <w:pPr>
              <w:rPr>
                <w:rFonts w:eastAsia="Calibri"/>
                <w:i/>
              </w:rPr>
            </w:pPr>
            <w:r w:rsidRPr="00E73D32">
              <w:rPr>
                <w:rFonts w:eastAsia="Calibri"/>
                <w:i/>
              </w:rPr>
              <w:t>E. Vplyv na mikro, malé a stredné podniky</w:t>
            </w:r>
          </w:p>
        </w:tc>
        <w:tc>
          <w:tcPr>
            <w:tcW w:w="2693" w:type="dxa"/>
            <w:shd w:val="clear" w:color="auto" w:fill="FFC000"/>
          </w:tcPr>
          <w:p w14:paraId="215068F7" w14:textId="77777777" w:rsidR="00640AD6" w:rsidRPr="00E73D32" w:rsidRDefault="00640AD6" w:rsidP="00ED1A67">
            <w:pPr>
              <w:jc w:val="center"/>
              <w:rPr>
                <w:rFonts w:eastAsia="Calibri"/>
                <w:b/>
                <w:i/>
              </w:rPr>
            </w:pPr>
            <w:r w:rsidRPr="00E73D32">
              <w:rPr>
                <w:rFonts w:eastAsia="Calibri"/>
                <w:i/>
              </w:rPr>
              <w:t>0</w:t>
            </w:r>
          </w:p>
        </w:tc>
        <w:tc>
          <w:tcPr>
            <w:tcW w:w="2693" w:type="dxa"/>
            <w:shd w:val="clear" w:color="auto" w:fill="92D050"/>
          </w:tcPr>
          <w:p w14:paraId="24D781FB" w14:textId="77777777" w:rsidR="00640AD6" w:rsidRPr="00E73D32" w:rsidRDefault="00640AD6" w:rsidP="00ED1A67">
            <w:pPr>
              <w:jc w:val="center"/>
              <w:rPr>
                <w:rFonts w:eastAsia="Calibri"/>
                <w:b/>
                <w:i/>
              </w:rPr>
            </w:pPr>
            <w:r w:rsidRPr="00E73D32">
              <w:rPr>
                <w:rFonts w:eastAsia="Calibri"/>
                <w:i/>
              </w:rPr>
              <w:t>0</w:t>
            </w:r>
          </w:p>
        </w:tc>
      </w:tr>
      <w:tr w:rsidR="00640AD6" w:rsidRPr="00E73D32" w14:paraId="78A22463" w14:textId="77777777" w:rsidTr="00ED1A67">
        <w:tc>
          <w:tcPr>
            <w:tcW w:w="3681" w:type="dxa"/>
          </w:tcPr>
          <w:p w14:paraId="3DA9DC71" w14:textId="77777777" w:rsidR="00640AD6" w:rsidRPr="00E73D32" w:rsidRDefault="00640AD6" w:rsidP="00ED1A67">
            <w:pPr>
              <w:rPr>
                <w:rFonts w:eastAsia="Calibri"/>
                <w:i/>
              </w:rPr>
            </w:pPr>
            <w:r w:rsidRPr="00E73D32">
              <w:rPr>
                <w:rFonts w:eastAsia="Calibri"/>
                <w:i/>
              </w:rPr>
              <w:t>F. Úplná harmonizácia práva EÚ</w:t>
            </w:r>
          </w:p>
        </w:tc>
        <w:tc>
          <w:tcPr>
            <w:tcW w:w="2693" w:type="dxa"/>
            <w:shd w:val="clear" w:color="auto" w:fill="FFC000"/>
          </w:tcPr>
          <w:p w14:paraId="387AB74A" w14:textId="77777777" w:rsidR="00640AD6" w:rsidRPr="00E73D32" w:rsidRDefault="00640AD6" w:rsidP="00ED1A67">
            <w:pPr>
              <w:jc w:val="center"/>
              <w:rPr>
                <w:rFonts w:eastAsia="Calibri"/>
                <w:b/>
                <w:i/>
              </w:rPr>
            </w:pPr>
            <w:r w:rsidRPr="00E73D32">
              <w:rPr>
                <w:rFonts w:eastAsia="Calibri"/>
                <w:i/>
              </w:rPr>
              <w:t>0</w:t>
            </w:r>
          </w:p>
        </w:tc>
        <w:tc>
          <w:tcPr>
            <w:tcW w:w="2693" w:type="dxa"/>
            <w:shd w:val="clear" w:color="auto" w:fill="92D050"/>
          </w:tcPr>
          <w:p w14:paraId="56D65C5C" w14:textId="77777777" w:rsidR="00640AD6" w:rsidRPr="00E73D32" w:rsidRDefault="00640AD6" w:rsidP="00ED1A67">
            <w:pPr>
              <w:jc w:val="center"/>
              <w:rPr>
                <w:rFonts w:eastAsia="Calibri"/>
                <w:b/>
                <w:i/>
              </w:rPr>
            </w:pPr>
            <w:r w:rsidRPr="00E73D32">
              <w:rPr>
                <w:rFonts w:eastAsia="Calibri"/>
                <w:i/>
              </w:rPr>
              <w:t>0</w:t>
            </w:r>
          </w:p>
        </w:tc>
      </w:tr>
      <w:tr w:rsidR="00640AD6" w:rsidRPr="00E73D32" w14:paraId="5DE4A4A5" w14:textId="77777777" w:rsidTr="00ED1A67">
        <w:tc>
          <w:tcPr>
            <w:tcW w:w="9067" w:type="dxa"/>
            <w:gridSpan w:val="3"/>
            <w:shd w:val="clear" w:color="auto" w:fill="auto"/>
          </w:tcPr>
          <w:p w14:paraId="7F5AEA8A" w14:textId="77777777" w:rsidR="00640AD6" w:rsidRPr="00E73D32" w:rsidRDefault="00640AD6" w:rsidP="00ED1A67">
            <w:pPr>
              <w:jc w:val="center"/>
              <w:rPr>
                <w:rFonts w:eastAsia="Calibri"/>
                <w:b/>
                <w:bCs/>
                <w:i/>
              </w:rPr>
            </w:pPr>
          </w:p>
        </w:tc>
      </w:tr>
      <w:tr w:rsidR="00640AD6" w:rsidRPr="00E73D32" w14:paraId="0A03F1A0" w14:textId="77777777" w:rsidTr="00ED1A67">
        <w:tc>
          <w:tcPr>
            <w:tcW w:w="3681" w:type="dxa"/>
          </w:tcPr>
          <w:p w14:paraId="278D392A" w14:textId="77777777" w:rsidR="00640AD6" w:rsidRPr="00E73D32" w:rsidRDefault="00640AD6" w:rsidP="00ED1A67">
            <w:pPr>
              <w:rPr>
                <w:rFonts w:eastAsia="Calibri"/>
                <w:b/>
                <w:i/>
              </w:rPr>
            </w:pPr>
            <w:r w:rsidRPr="00E73D32">
              <w:rPr>
                <w:rFonts w:eastAsia="Calibri"/>
                <w:b/>
                <w:bCs/>
                <w:i/>
              </w:rPr>
              <w:t>VÝPOČET mechanizmu znižovania byrokracie a nákladov</w:t>
            </w:r>
          </w:p>
        </w:tc>
        <w:tc>
          <w:tcPr>
            <w:tcW w:w="2693" w:type="dxa"/>
            <w:shd w:val="clear" w:color="auto" w:fill="FFC000"/>
          </w:tcPr>
          <w:p w14:paraId="6FD6D752" w14:textId="77777777" w:rsidR="00640AD6" w:rsidRPr="00E73D32" w:rsidRDefault="00640AD6" w:rsidP="00ED1A67">
            <w:pPr>
              <w:jc w:val="center"/>
              <w:rPr>
                <w:rFonts w:eastAsia="Calibri"/>
                <w:b/>
                <w:bCs/>
                <w:i/>
              </w:rPr>
            </w:pPr>
            <w:r w:rsidRPr="00E73D32">
              <w:rPr>
                <w:rFonts w:eastAsia="Calibri"/>
                <w:b/>
                <w:bCs/>
                <w:i/>
              </w:rPr>
              <w:t>IN</w:t>
            </w:r>
          </w:p>
        </w:tc>
        <w:tc>
          <w:tcPr>
            <w:tcW w:w="2693" w:type="dxa"/>
            <w:shd w:val="clear" w:color="auto" w:fill="92D050"/>
          </w:tcPr>
          <w:p w14:paraId="200F678B" w14:textId="77777777" w:rsidR="00640AD6" w:rsidRPr="00E73D32" w:rsidRDefault="00640AD6" w:rsidP="00ED1A67">
            <w:pPr>
              <w:jc w:val="center"/>
              <w:rPr>
                <w:rFonts w:eastAsia="Calibri"/>
                <w:b/>
                <w:bCs/>
                <w:i/>
              </w:rPr>
            </w:pPr>
            <w:r w:rsidRPr="00E73D32">
              <w:rPr>
                <w:rFonts w:eastAsia="Calibri"/>
                <w:b/>
                <w:bCs/>
                <w:i/>
              </w:rPr>
              <w:t>OUT</w:t>
            </w:r>
          </w:p>
        </w:tc>
      </w:tr>
      <w:tr w:rsidR="00640AD6" w:rsidRPr="00E73D32" w14:paraId="20A0B658" w14:textId="77777777" w:rsidTr="00ED1A67">
        <w:tc>
          <w:tcPr>
            <w:tcW w:w="3681" w:type="dxa"/>
          </w:tcPr>
          <w:p w14:paraId="54594E75" w14:textId="77777777" w:rsidR="00640AD6" w:rsidRPr="00E73D32" w:rsidRDefault="00640AD6" w:rsidP="00ED1A67">
            <w:pPr>
              <w:rPr>
                <w:rFonts w:eastAsia="Calibri"/>
                <w:b/>
                <w:i/>
              </w:rPr>
            </w:pPr>
            <w:r w:rsidRPr="00E73D32">
              <w:rPr>
                <w:rFonts w:eastAsia="Calibri"/>
                <w:b/>
                <w:i/>
              </w:rPr>
              <w:t>G. Náklady okrem výnimiek = B+C+D-F</w:t>
            </w:r>
          </w:p>
        </w:tc>
        <w:tc>
          <w:tcPr>
            <w:tcW w:w="2693" w:type="dxa"/>
            <w:shd w:val="clear" w:color="auto" w:fill="FFC000"/>
          </w:tcPr>
          <w:p w14:paraId="0123B55A" w14:textId="77777777" w:rsidR="00640AD6" w:rsidRPr="00E73D32" w:rsidRDefault="00640AD6" w:rsidP="00ED1A67">
            <w:pPr>
              <w:jc w:val="center"/>
              <w:rPr>
                <w:rFonts w:eastAsia="Calibri"/>
                <w:b/>
                <w:bCs/>
                <w:i/>
              </w:rPr>
            </w:pPr>
            <w:r w:rsidRPr="00E73D32">
              <w:rPr>
                <w:rFonts w:eastAsia="Calibri"/>
                <w:b/>
                <w:bCs/>
                <w:i/>
              </w:rPr>
              <w:t>0</w:t>
            </w:r>
          </w:p>
        </w:tc>
        <w:tc>
          <w:tcPr>
            <w:tcW w:w="2693" w:type="dxa"/>
            <w:shd w:val="clear" w:color="auto" w:fill="92D050"/>
          </w:tcPr>
          <w:p w14:paraId="51F0DED0" w14:textId="77777777" w:rsidR="00640AD6" w:rsidRPr="00E73D32" w:rsidRDefault="00640AD6" w:rsidP="00ED1A67">
            <w:pPr>
              <w:jc w:val="center"/>
              <w:rPr>
                <w:rFonts w:eastAsia="Calibri"/>
                <w:b/>
                <w:bCs/>
                <w:i/>
              </w:rPr>
            </w:pPr>
            <w:r w:rsidRPr="00E73D32">
              <w:rPr>
                <w:rFonts w:eastAsia="Calibri"/>
                <w:b/>
                <w:bCs/>
                <w:i/>
              </w:rPr>
              <w:t>0</w:t>
            </w:r>
          </w:p>
        </w:tc>
      </w:tr>
    </w:tbl>
    <w:p w14:paraId="508018AC" w14:textId="77777777" w:rsidR="00640AD6" w:rsidRPr="00E73D32" w:rsidRDefault="00640AD6" w:rsidP="00640AD6">
      <w:pPr>
        <w:rPr>
          <w:rFonts w:eastAsia="Calibri"/>
          <w:i/>
        </w:rPr>
      </w:pPr>
    </w:p>
    <w:p w14:paraId="5D3F5BFE" w14:textId="77777777" w:rsidR="00640AD6" w:rsidRPr="00E73D32" w:rsidRDefault="00640AD6" w:rsidP="00640AD6">
      <w:pPr>
        <w:rPr>
          <w:rFonts w:eastAsia="Calibri"/>
          <w:b/>
        </w:rPr>
      </w:pPr>
    </w:p>
    <w:p w14:paraId="62B9137C" w14:textId="77777777" w:rsidR="00640AD6" w:rsidRPr="00E73D32" w:rsidRDefault="00640AD6" w:rsidP="00640AD6">
      <w:pPr>
        <w:rPr>
          <w:rFonts w:eastAsia="Calibri"/>
          <w:b/>
        </w:rPr>
        <w:sectPr w:rsidR="00640AD6" w:rsidRPr="00E73D32" w:rsidSect="00836C43">
          <w:footerReference w:type="default" r:id="rId9"/>
          <w:pgSz w:w="11906" w:h="16838"/>
          <w:pgMar w:top="993" w:right="1417" w:bottom="1417" w:left="1417" w:header="708" w:footer="708" w:gutter="0"/>
          <w:pgNumType w:start="7"/>
          <w:cols w:space="708"/>
          <w:docGrid w:linePitch="360"/>
        </w:sectPr>
      </w:pPr>
    </w:p>
    <w:p w14:paraId="712D71AE" w14:textId="77777777" w:rsidR="00640AD6" w:rsidRPr="00E73D32" w:rsidRDefault="00640AD6" w:rsidP="00640AD6">
      <w:pPr>
        <w:rPr>
          <w:rFonts w:eastAsia="Calibri"/>
          <w:b/>
          <w:i/>
          <w:iCs/>
        </w:rPr>
      </w:pPr>
      <w:r w:rsidRPr="00E73D32">
        <w:rPr>
          <w:rFonts w:eastAsia="Calibri"/>
          <w:b/>
          <w:i/>
          <w:iCs/>
        </w:rPr>
        <w:lastRenderedPageBreak/>
        <w:t>3.1.2 Výpočty vplyvov jednotlivých regulácií na zmeny v nákladoch podnikateľov</w:t>
      </w:r>
      <w:r w:rsidRPr="00E73D32">
        <w:rPr>
          <w:rFonts w:eastAsia="Calibri"/>
          <w:i/>
        </w:rPr>
        <w:tab/>
      </w:r>
      <w:r w:rsidRPr="00E73D32">
        <w:rPr>
          <w:rFonts w:eastAsia="Calibri"/>
          <w:i/>
        </w:rPr>
        <w:tab/>
      </w:r>
      <w:r w:rsidRPr="00E73D32">
        <w:rPr>
          <w:rFonts w:eastAsia="Calibri"/>
          <w:i/>
        </w:rPr>
        <w:tab/>
      </w:r>
      <w:r w:rsidRPr="00E73D32">
        <w:rPr>
          <w:rFonts w:eastAsia="Calibri"/>
          <w:i/>
        </w:rPr>
        <w:tab/>
      </w:r>
      <w:r w:rsidRPr="00E73D32">
        <w:rPr>
          <w:rFonts w:eastAsia="Calibri"/>
          <w:i/>
        </w:rPr>
        <w:tab/>
      </w:r>
      <w:r w:rsidRPr="00E73D32">
        <w:rPr>
          <w:rFonts w:eastAsia="Calibri"/>
          <w:i/>
        </w:rPr>
        <w:tab/>
      </w:r>
      <w:r w:rsidRPr="00E73D32">
        <w:rPr>
          <w:rFonts w:eastAsia="Calibri"/>
          <w:i/>
        </w:rPr>
        <w:tab/>
      </w:r>
      <w:r w:rsidRPr="00E73D32">
        <w:rPr>
          <w:rFonts w:eastAsia="Calibri"/>
          <w:i/>
        </w:rPr>
        <w:tab/>
      </w:r>
    </w:p>
    <w:p w14:paraId="776F2727" w14:textId="77777777" w:rsidR="00640AD6" w:rsidRPr="00E73D32" w:rsidRDefault="00640AD6" w:rsidP="00640AD6">
      <w:pPr>
        <w:jc w:val="both"/>
        <w:rPr>
          <w:rFonts w:eastAsia="Calibri"/>
          <w:i/>
        </w:rPr>
      </w:pPr>
      <w:r w:rsidRPr="00E73D32">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2690"/>
        <w:gridCol w:w="1677"/>
        <w:gridCol w:w="1129"/>
        <w:gridCol w:w="1246"/>
        <w:gridCol w:w="934"/>
        <w:gridCol w:w="1677"/>
        <w:gridCol w:w="974"/>
        <w:gridCol w:w="974"/>
        <w:gridCol w:w="982"/>
        <w:gridCol w:w="992"/>
        <w:gridCol w:w="1107"/>
      </w:tblGrid>
      <w:tr w:rsidR="00640AD6" w:rsidRPr="00E73D32" w14:paraId="0D90AA0F" w14:textId="77777777" w:rsidTr="00ED1A67">
        <w:trPr>
          <w:trHeight w:val="1885"/>
        </w:trPr>
        <w:tc>
          <w:tcPr>
            <w:tcW w:w="479" w:type="dxa"/>
            <w:shd w:val="clear" w:color="auto" w:fill="BFBFBF"/>
            <w:vAlign w:val="center"/>
          </w:tcPr>
          <w:p w14:paraId="7E3E089D" w14:textId="77777777" w:rsidR="00640AD6" w:rsidRPr="00E73D32" w:rsidRDefault="00640AD6" w:rsidP="00ED1A67">
            <w:pPr>
              <w:jc w:val="center"/>
              <w:rPr>
                <w:b/>
                <w:bCs/>
                <w:color w:val="000000"/>
              </w:rPr>
            </w:pPr>
            <w:r w:rsidRPr="00E73D32">
              <w:rPr>
                <w:b/>
                <w:bCs/>
                <w:color w:val="000000"/>
              </w:rPr>
              <w:t>P.č.</w:t>
            </w:r>
          </w:p>
        </w:tc>
        <w:tc>
          <w:tcPr>
            <w:tcW w:w="2690" w:type="dxa"/>
            <w:shd w:val="clear" w:color="auto" w:fill="BFBFBF"/>
            <w:vAlign w:val="center"/>
            <w:hideMark/>
          </w:tcPr>
          <w:p w14:paraId="2CDD5C35" w14:textId="77777777" w:rsidR="00640AD6" w:rsidRPr="00E73D32" w:rsidRDefault="00640AD6" w:rsidP="00ED1A67">
            <w:pPr>
              <w:jc w:val="center"/>
              <w:rPr>
                <w:b/>
                <w:bCs/>
                <w:color w:val="000000"/>
              </w:rPr>
            </w:pPr>
            <w:r w:rsidRPr="00E73D32">
              <w:rPr>
                <w:b/>
                <w:bCs/>
                <w:color w:val="000000"/>
              </w:rPr>
              <w:t>Zrozumiteľný a stručný opis regulácie vyjadrujúci dôvod zvýšenia/zníženia nákladov na PP</w:t>
            </w:r>
          </w:p>
        </w:tc>
        <w:tc>
          <w:tcPr>
            <w:tcW w:w="1677" w:type="dxa"/>
            <w:shd w:val="clear" w:color="auto" w:fill="BFBFBF"/>
          </w:tcPr>
          <w:p w14:paraId="432729C1" w14:textId="77777777" w:rsidR="00640AD6" w:rsidRPr="00E73D32" w:rsidRDefault="00640AD6" w:rsidP="00ED1A67">
            <w:pPr>
              <w:jc w:val="center"/>
              <w:rPr>
                <w:b/>
                <w:bCs/>
                <w:color w:val="000000"/>
              </w:rPr>
            </w:pPr>
          </w:p>
          <w:p w14:paraId="5079BC69" w14:textId="77777777" w:rsidR="00640AD6" w:rsidRPr="00E73D32" w:rsidRDefault="00640AD6" w:rsidP="00ED1A67">
            <w:pPr>
              <w:jc w:val="center"/>
              <w:rPr>
                <w:b/>
                <w:bCs/>
                <w:color w:val="000000"/>
              </w:rPr>
            </w:pPr>
            <w:r w:rsidRPr="00E73D32">
              <w:rPr>
                <w:b/>
                <w:bCs/>
                <w:color w:val="000000"/>
              </w:rPr>
              <w:t>Číslo normy</w:t>
            </w:r>
          </w:p>
          <w:p w14:paraId="693DE62D" w14:textId="77777777" w:rsidR="00640AD6" w:rsidRPr="00E73D32" w:rsidRDefault="00640AD6" w:rsidP="00ED1A67">
            <w:pPr>
              <w:jc w:val="center"/>
              <w:rPr>
                <w:bCs/>
                <w:color w:val="000000"/>
              </w:rPr>
            </w:pPr>
            <w:r w:rsidRPr="00E73D32">
              <w:rPr>
                <w:bCs/>
                <w:color w:val="000000"/>
              </w:rPr>
              <w:t>(zákona, vyhlášky a pod.)</w:t>
            </w:r>
          </w:p>
        </w:tc>
        <w:tc>
          <w:tcPr>
            <w:tcW w:w="1129" w:type="dxa"/>
            <w:shd w:val="clear" w:color="auto" w:fill="BFBFBF"/>
            <w:vAlign w:val="center"/>
            <w:hideMark/>
          </w:tcPr>
          <w:p w14:paraId="06B44AFB" w14:textId="77777777" w:rsidR="00640AD6" w:rsidRPr="00E73D32" w:rsidRDefault="00640AD6" w:rsidP="00ED1A67">
            <w:pPr>
              <w:jc w:val="center"/>
              <w:rPr>
                <w:b/>
                <w:bCs/>
                <w:color w:val="000000"/>
              </w:rPr>
            </w:pPr>
            <w:r w:rsidRPr="00E73D32">
              <w:rPr>
                <w:b/>
                <w:bCs/>
                <w:color w:val="000000"/>
              </w:rPr>
              <w:t xml:space="preserve">Lokalizácia </w:t>
            </w:r>
            <w:r w:rsidRPr="00E73D32">
              <w:rPr>
                <w:bCs/>
                <w:color w:val="000000"/>
              </w:rPr>
              <w:t>(§, ods.)</w:t>
            </w:r>
          </w:p>
        </w:tc>
        <w:tc>
          <w:tcPr>
            <w:tcW w:w="1246" w:type="dxa"/>
            <w:shd w:val="clear" w:color="auto" w:fill="BFBFBF"/>
            <w:vAlign w:val="center"/>
          </w:tcPr>
          <w:p w14:paraId="4DAD319C" w14:textId="77777777" w:rsidR="00640AD6" w:rsidRPr="00E73D32" w:rsidRDefault="00640AD6" w:rsidP="00ED1A67">
            <w:pPr>
              <w:jc w:val="center"/>
              <w:rPr>
                <w:b/>
                <w:bCs/>
                <w:color w:val="000000"/>
              </w:rPr>
            </w:pPr>
            <w:r w:rsidRPr="00E73D32">
              <w:rPr>
                <w:b/>
                <w:bCs/>
                <w:color w:val="000000"/>
              </w:rPr>
              <w:t>Pôvod regulácie:</w:t>
            </w:r>
          </w:p>
          <w:p w14:paraId="085510E1" w14:textId="77777777" w:rsidR="00640AD6" w:rsidRPr="00E73D32" w:rsidRDefault="00640AD6" w:rsidP="00ED1A67">
            <w:pPr>
              <w:jc w:val="center"/>
              <w:rPr>
                <w:color w:val="000000"/>
              </w:rPr>
            </w:pPr>
            <w:r w:rsidRPr="00E73D32">
              <w:rPr>
                <w:color w:val="000000"/>
              </w:rPr>
              <w:t>SK/EÚ úplná harm./EÚ harm. s možnosťou voľby</w:t>
            </w:r>
          </w:p>
        </w:tc>
        <w:tc>
          <w:tcPr>
            <w:tcW w:w="934" w:type="dxa"/>
            <w:shd w:val="clear" w:color="auto" w:fill="BFBFBF"/>
            <w:vAlign w:val="center"/>
            <w:hideMark/>
          </w:tcPr>
          <w:p w14:paraId="42754E19" w14:textId="77777777" w:rsidR="00640AD6" w:rsidRPr="00E73D32" w:rsidRDefault="00640AD6" w:rsidP="00ED1A67">
            <w:pPr>
              <w:jc w:val="center"/>
              <w:rPr>
                <w:b/>
                <w:bCs/>
                <w:color w:val="000000"/>
              </w:rPr>
            </w:pPr>
            <w:r w:rsidRPr="00E73D32">
              <w:rPr>
                <w:b/>
                <w:bCs/>
                <w:color w:val="000000"/>
              </w:rPr>
              <w:t>Účinnosť</w:t>
            </w:r>
          </w:p>
          <w:p w14:paraId="2941DE10" w14:textId="77777777" w:rsidR="00640AD6" w:rsidRPr="00E73D32" w:rsidRDefault="00640AD6" w:rsidP="00ED1A67">
            <w:pPr>
              <w:jc w:val="center"/>
              <w:rPr>
                <w:b/>
                <w:bCs/>
                <w:color w:val="000000"/>
              </w:rPr>
            </w:pPr>
            <w:r w:rsidRPr="00E73D32">
              <w:rPr>
                <w:b/>
                <w:bCs/>
                <w:color w:val="000000"/>
              </w:rPr>
              <w:t>regulácie</w:t>
            </w:r>
          </w:p>
          <w:p w14:paraId="5EF0E281" w14:textId="77777777" w:rsidR="00640AD6" w:rsidRPr="00E73D32" w:rsidRDefault="00640AD6" w:rsidP="00ED1A67">
            <w:pPr>
              <w:jc w:val="center"/>
              <w:rPr>
                <w:bCs/>
                <w:color w:val="000000"/>
              </w:rPr>
            </w:pPr>
          </w:p>
        </w:tc>
        <w:tc>
          <w:tcPr>
            <w:tcW w:w="1677" w:type="dxa"/>
            <w:shd w:val="clear" w:color="auto" w:fill="BFBFBF"/>
            <w:vAlign w:val="center"/>
          </w:tcPr>
          <w:p w14:paraId="5A2E4EC5" w14:textId="77777777" w:rsidR="00640AD6" w:rsidRPr="00E73D32" w:rsidRDefault="00640AD6" w:rsidP="00ED1A67">
            <w:pPr>
              <w:jc w:val="center"/>
              <w:rPr>
                <w:b/>
                <w:bCs/>
                <w:color w:val="000000"/>
              </w:rPr>
            </w:pPr>
            <w:r w:rsidRPr="00E73D32">
              <w:rPr>
                <w:b/>
                <w:bCs/>
                <w:color w:val="000000"/>
              </w:rPr>
              <w:t>Kategória dotk. subjektov</w:t>
            </w:r>
          </w:p>
        </w:tc>
        <w:tc>
          <w:tcPr>
            <w:tcW w:w="974" w:type="dxa"/>
            <w:shd w:val="clear" w:color="auto" w:fill="BFBFBF"/>
            <w:vAlign w:val="center"/>
          </w:tcPr>
          <w:p w14:paraId="3D90C896" w14:textId="77777777" w:rsidR="00640AD6" w:rsidRPr="00E73D32" w:rsidRDefault="00640AD6" w:rsidP="00ED1A67">
            <w:pPr>
              <w:jc w:val="center"/>
              <w:rPr>
                <w:b/>
                <w:bCs/>
                <w:color w:val="000000"/>
              </w:rPr>
            </w:pPr>
            <w:r w:rsidRPr="00E73D32">
              <w:rPr>
                <w:b/>
                <w:bCs/>
                <w:color w:val="000000"/>
              </w:rPr>
              <w:t xml:space="preserve">Počet  subjektov v dotk. kategórii </w:t>
            </w:r>
          </w:p>
        </w:tc>
        <w:tc>
          <w:tcPr>
            <w:tcW w:w="974" w:type="dxa"/>
            <w:shd w:val="clear" w:color="auto" w:fill="BFBFBF"/>
            <w:vAlign w:val="center"/>
            <w:hideMark/>
          </w:tcPr>
          <w:p w14:paraId="766C0758" w14:textId="77777777" w:rsidR="00640AD6" w:rsidRPr="00E73D32" w:rsidRDefault="00640AD6" w:rsidP="00ED1A67">
            <w:pPr>
              <w:jc w:val="center"/>
              <w:rPr>
                <w:b/>
                <w:bCs/>
                <w:color w:val="000000"/>
              </w:rPr>
            </w:pPr>
            <w:r w:rsidRPr="00E73D32">
              <w:rPr>
                <w:b/>
                <w:bCs/>
                <w:color w:val="000000"/>
              </w:rPr>
              <w:t xml:space="preserve">Počet subjektov MSP v dotk. kategórii </w:t>
            </w:r>
          </w:p>
        </w:tc>
        <w:tc>
          <w:tcPr>
            <w:tcW w:w="982" w:type="dxa"/>
            <w:shd w:val="clear" w:color="auto" w:fill="BFBFBF"/>
            <w:vAlign w:val="center"/>
            <w:hideMark/>
          </w:tcPr>
          <w:p w14:paraId="2962A78B" w14:textId="77777777" w:rsidR="00640AD6" w:rsidRPr="00E73D32" w:rsidRDefault="00640AD6" w:rsidP="00ED1A67">
            <w:pPr>
              <w:jc w:val="center"/>
              <w:rPr>
                <w:b/>
                <w:bCs/>
                <w:color w:val="000000"/>
              </w:rPr>
            </w:pPr>
            <w:r w:rsidRPr="00E73D32">
              <w:rPr>
                <w:b/>
                <w:bCs/>
                <w:color w:val="000000"/>
              </w:rPr>
              <w:t>Vplyv na 1 podnik. v €</w:t>
            </w:r>
          </w:p>
        </w:tc>
        <w:tc>
          <w:tcPr>
            <w:tcW w:w="992" w:type="dxa"/>
            <w:shd w:val="clear" w:color="auto" w:fill="BFBFBF"/>
            <w:vAlign w:val="center"/>
            <w:hideMark/>
          </w:tcPr>
          <w:p w14:paraId="48C23A9D" w14:textId="77777777" w:rsidR="00640AD6" w:rsidRPr="00E73D32" w:rsidRDefault="00640AD6" w:rsidP="00ED1A67">
            <w:pPr>
              <w:jc w:val="center"/>
              <w:rPr>
                <w:b/>
                <w:bCs/>
                <w:color w:val="000000"/>
              </w:rPr>
            </w:pPr>
            <w:r w:rsidRPr="00E73D32">
              <w:rPr>
                <w:b/>
                <w:bCs/>
                <w:color w:val="000000"/>
              </w:rPr>
              <w:t>Vplyv na kategóriu dotk. subjektov v €</w:t>
            </w:r>
          </w:p>
        </w:tc>
        <w:tc>
          <w:tcPr>
            <w:tcW w:w="1107" w:type="dxa"/>
            <w:shd w:val="clear" w:color="auto" w:fill="BFBFBF"/>
            <w:vAlign w:val="center"/>
          </w:tcPr>
          <w:p w14:paraId="5E4F7EF0" w14:textId="77777777" w:rsidR="00640AD6" w:rsidRPr="00E73D32" w:rsidRDefault="00640AD6" w:rsidP="00ED1A67">
            <w:pPr>
              <w:jc w:val="center"/>
              <w:rPr>
                <w:b/>
                <w:bCs/>
                <w:color w:val="000000"/>
              </w:rPr>
            </w:pPr>
            <w:r w:rsidRPr="00E73D32">
              <w:rPr>
                <w:b/>
                <w:bCs/>
                <w:color w:val="000000"/>
              </w:rPr>
              <w:t>Druh vplyvu</w:t>
            </w:r>
          </w:p>
          <w:p w14:paraId="2AC5983A" w14:textId="77777777" w:rsidR="00640AD6" w:rsidRPr="00E73D32" w:rsidRDefault="00640AD6" w:rsidP="00ED1A67">
            <w:pPr>
              <w:jc w:val="center"/>
              <w:rPr>
                <w:bCs/>
                <w:color w:val="000000"/>
              </w:rPr>
            </w:pPr>
            <w:r w:rsidRPr="00E73D32">
              <w:rPr>
                <w:bCs/>
                <w:color w:val="000000"/>
              </w:rPr>
              <w:t xml:space="preserve">In (zvyšuje náklady) / </w:t>
            </w:r>
          </w:p>
          <w:p w14:paraId="796DB724" w14:textId="77777777" w:rsidR="00640AD6" w:rsidRPr="00E73D32" w:rsidRDefault="00640AD6" w:rsidP="00ED1A67">
            <w:pPr>
              <w:jc w:val="center"/>
              <w:rPr>
                <w:b/>
                <w:bCs/>
                <w:color w:val="000000"/>
              </w:rPr>
            </w:pPr>
            <w:r w:rsidRPr="00E73D32">
              <w:rPr>
                <w:bCs/>
                <w:color w:val="000000"/>
              </w:rPr>
              <w:t>Out (znižuje náklady</w:t>
            </w:r>
            <w:r w:rsidRPr="00E73D32">
              <w:rPr>
                <w:b/>
                <w:bCs/>
                <w:color w:val="000000"/>
              </w:rPr>
              <w:t>)</w:t>
            </w:r>
          </w:p>
          <w:p w14:paraId="0117EAA0" w14:textId="77777777" w:rsidR="00640AD6" w:rsidRPr="00E73D32" w:rsidRDefault="00640AD6" w:rsidP="00ED1A67">
            <w:pPr>
              <w:jc w:val="center"/>
              <w:rPr>
                <w:b/>
                <w:bCs/>
                <w:color w:val="000000"/>
              </w:rPr>
            </w:pPr>
          </w:p>
        </w:tc>
      </w:tr>
      <w:tr w:rsidR="00640AD6" w:rsidRPr="00E73D32" w14:paraId="771D675D" w14:textId="77777777" w:rsidTr="00ED1A67">
        <w:trPr>
          <w:trHeight w:val="612"/>
        </w:trPr>
        <w:tc>
          <w:tcPr>
            <w:tcW w:w="479" w:type="dxa"/>
            <w:vAlign w:val="center"/>
          </w:tcPr>
          <w:p w14:paraId="01D8C231" w14:textId="77777777" w:rsidR="00640AD6" w:rsidRPr="00E73D32" w:rsidRDefault="00640AD6" w:rsidP="00ED1A67"/>
        </w:tc>
        <w:tc>
          <w:tcPr>
            <w:tcW w:w="2690" w:type="dxa"/>
            <w:shd w:val="clear" w:color="auto" w:fill="auto"/>
            <w:vAlign w:val="center"/>
          </w:tcPr>
          <w:p w14:paraId="739E8E61" w14:textId="77777777" w:rsidR="00640AD6" w:rsidRPr="00E73D32" w:rsidRDefault="00640AD6" w:rsidP="00ED1A67"/>
          <w:p w14:paraId="24C906C2" w14:textId="77777777" w:rsidR="00640AD6" w:rsidRPr="00E73D32" w:rsidRDefault="00640AD6" w:rsidP="00ED1A67"/>
        </w:tc>
        <w:tc>
          <w:tcPr>
            <w:tcW w:w="1677" w:type="dxa"/>
          </w:tcPr>
          <w:p w14:paraId="4F14F573" w14:textId="77777777" w:rsidR="00640AD6" w:rsidRPr="00E73D32" w:rsidRDefault="00640AD6" w:rsidP="00ED1A67"/>
        </w:tc>
        <w:tc>
          <w:tcPr>
            <w:tcW w:w="1129" w:type="dxa"/>
            <w:shd w:val="clear" w:color="auto" w:fill="auto"/>
            <w:vAlign w:val="center"/>
          </w:tcPr>
          <w:p w14:paraId="721926B9" w14:textId="77777777" w:rsidR="00640AD6" w:rsidRPr="00E73D32" w:rsidRDefault="00640AD6" w:rsidP="00ED1A67"/>
        </w:tc>
        <w:tc>
          <w:tcPr>
            <w:tcW w:w="1246" w:type="dxa"/>
            <w:vAlign w:val="center"/>
          </w:tcPr>
          <w:p w14:paraId="49EF8144" w14:textId="77777777" w:rsidR="00640AD6" w:rsidRPr="00E73D32" w:rsidRDefault="00640AD6" w:rsidP="00ED1A67">
            <w:pPr>
              <w:rPr>
                <w:color w:val="000000"/>
              </w:rPr>
            </w:pPr>
          </w:p>
        </w:tc>
        <w:tc>
          <w:tcPr>
            <w:tcW w:w="934" w:type="dxa"/>
            <w:shd w:val="clear" w:color="auto" w:fill="auto"/>
            <w:noWrap/>
            <w:vAlign w:val="center"/>
          </w:tcPr>
          <w:p w14:paraId="043EE380" w14:textId="77777777" w:rsidR="00640AD6" w:rsidRPr="00E73D32" w:rsidRDefault="00640AD6" w:rsidP="00ED1A67">
            <w:pPr>
              <w:rPr>
                <w:color w:val="000000"/>
              </w:rPr>
            </w:pPr>
          </w:p>
        </w:tc>
        <w:tc>
          <w:tcPr>
            <w:tcW w:w="1677" w:type="dxa"/>
            <w:vAlign w:val="center"/>
          </w:tcPr>
          <w:p w14:paraId="7BAA5826" w14:textId="77777777" w:rsidR="00640AD6" w:rsidRPr="00E73D32" w:rsidRDefault="00640AD6" w:rsidP="00ED1A67"/>
          <w:p w14:paraId="5104A1EA" w14:textId="77777777" w:rsidR="00640AD6" w:rsidRPr="00E73D32" w:rsidRDefault="00640AD6" w:rsidP="00ED1A67"/>
          <w:p w14:paraId="39C46E71" w14:textId="77777777" w:rsidR="00640AD6" w:rsidRPr="00E73D32" w:rsidRDefault="00640AD6" w:rsidP="00ED1A67"/>
          <w:p w14:paraId="3FCDB620" w14:textId="77777777" w:rsidR="00640AD6" w:rsidRPr="00E73D32" w:rsidRDefault="00640AD6" w:rsidP="00ED1A67"/>
          <w:p w14:paraId="51D0B1A1" w14:textId="77777777" w:rsidR="00640AD6" w:rsidRPr="00E73D32" w:rsidRDefault="00640AD6" w:rsidP="00ED1A67"/>
          <w:p w14:paraId="4E3B5CAE" w14:textId="77777777" w:rsidR="00640AD6" w:rsidRPr="00E73D32" w:rsidRDefault="00640AD6" w:rsidP="00ED1A67"/>
          <w:p w14:paraId="565F6E54" w14:textId="77777777" w:rsidR="00640AD6" w:rsidRPr="00E73D32" w:rsidRDefault="00640AD6" w:rsidP="00ED1A67"/>
          <w:p w14:paraId="261874AB" w14:textId="77777777" w:rsidR="00640AD6" w:rsidRPr="00E73D32" w:rsidRDefault="00640AD6" w:rsidP="00ED1A67"/>
          <w:p w14:paraId="13408A08" w14:textId="77777777" w:rsidR="00640AD6" w:rsidRPr="00E73D32" w:rsidRDefault="00640AD6" w:rsidP="00ED1A67"/>
          <w:p w14:paraId="2DFC1A71" w14:textId="77777777" w:rsidR="00640AD6" w:rsidRPr="00E73D32" w:rsidRDefault="00640AD6" w:rsidP="00ED1A67"/>
          <w:p w14:paraId="3B8F2A1B" w14:textId="77777777" w:rsidR="00640AD6" w:rsidRPr="00E73D32" w:rsidRDefault="00640AD6" w:rsidP="00ED1A67"/>
          <w:p w14:paraId="7E4F2B77" w14:textId="77777777" w:rsidR="00640AD6" w:rsidRPr="00E73D32" w:rsidRDefault="00640AD6" w:rsidP="00ED1A67"/>
          <w:p w14:paraId="3E437662" w14:textId="77777777" w:rsidR="00640AD6" w:rsidRPr="00E73D32" w:rsidRDefault="00640AD6" w:rsidP="00ED1A67"/>
          <w:p w14:paraId="3D2154B6" w14:textId="77777777" w:rsidR="00640AD6" w:rsidRPr="00E73D32" w:rsidRDefault="00640AD6" w:rsidP="00ED1A67"/>
          <w:p w14:paraId="42BB8C0E" w14:textId="77777777" w:rsidR="00640AD6" w:rsidRPr="00E73D32" w:rsidRDefault="00640AD6" w:rsidP="00ED1A67"/>
          <w:p w14:paraId="2FF8C8EF" w14:textId="77777777" w:rsidR="00640AD6" w:rsidRPr="00E73D32" w:rsidRDefault="00640AD6" w:rsidP="00ED1A67"/>
          <w:p w14:paraId="7641361D" w14:textId="77777777" w:rsidR="00640AD6" w:rsidRPr="00E73D32" w:rsidRDefault="00640AD6" w:rsidP="00ED1A67"/>
          <w:p w14:paraId="3EC5E6B4" w14:textId="77777777" w:rsidR="00640AD6" w:rsidRPr="00E73D32" w:rsidRDefault="00640AD6" w:rsidP="00ED1A67"/>
          <w:p w14:paraId="49305E15" w14:textId="77777777" w:rsidR="00640AD6" w:rsidRPr="00E73D32" w:rsidRDefault="00640AD6" w:rsidP="00ED1A67"/>
          <w:p w14:paraId="5F962B89" w14:textId="77777777" w:rsidR="00640AD6" w:rsidRPr="00E73D32" w:rsidRDefault="00640AD6" w:rsidP="00ED1A67"/>
        </w:tc>
        <w:tc>
          <w:tcPr>
            <w:tcW w:w="974" w:type="dxa"/>
            <w:shd w:val="clear" w:color="auto" w:fill="auto"/>
            <w:noWrap/>
            <w:vAlign w:val="center"/>
          </w:tcPr>
          <w:p w14:paraId="1F1113CB" w14:textId="77777777" w:rsidR="00640AD6" w:rsidRPr="00E73D32" w:rsidRDefault="00640AD6" w:rsidP="00ED1A67"/>
        </w:tc>
        <w:tc>
          <w:tcPr>
            <w:tcW w:w="974" w:type="dxa"/>
            <w:shd w:val="clear" w:color="auto" w:fill="auto"/>
            <w:noWrap/>
            <w:vAlign w:val="center"/>
          </w:tcPr>
          <w:p w14:paraId="6D31113C" w14:textId="77777777" w:rsidR="00640AD6" w:rsidRPr="00E73D32" w:rsidRDefault="00640AD6" w:rsidP="00ED1A67">
            <w:pPr>
              <w:rPr>
                <w:color w:val="000000"/>
              </w:rPr>
            </w:pPr>
          </w:p>
        </w:tc>
        <w:tc>
          <w:tcPr>
            <w:tcW w:w="982" w:type="dxa"/>
            <w:shd w:val="clear" w:color="auto" w:fill="auto"/>
            <w:noWrap/>
            <w:vAlign w:val="center"/>
          </w:tcPr>
          <w:p w14:paraId="0E6F175F" w14:textId="77777777" w:rsidR="00640AD6" w:rsidRPr="00E73D32" w:rsidRDefault="00640AD6" w:rsidP="00ED1A67"/>
        </w:tc>
        <w:tc>
          <w:tcPr>
            <w:tcW w:w="992" w:type="dxa"/>
            <w:shd w:val="clear" w:color="auto" w:fill="auto"/>
            <w:noWrap/>
            <w:vAlign w:val="center"/>
          </w:tcPr>
          <w:p w14:paraId="56E052A1" w14:textId="77777777" w:rsidR="00640AD6" w:rsidRPr="00E73D32" w:rsidRDefault="00640AD6" w:rsidP="00ED1A67">
            <w:pPr>
              <w:rPr>
                <w:color w:val="000000"/>
              </w:rPr>
            </w:pPr>
          </w:p>
        </w:tc>
        <w:tc>
          <w:tcPr>
            <w:tcW w:w="1107" w:type="dxa"/>
            <w:vAlign w:val="center"/>
          </w:tcPr>
          <w:p w14:paraId="76CED063" w14:textId="77777777" w:rsidR="00640AD6" w:rsidRPr="00E73D32" w:rsidRDefault="00640AD6" w:rsidP="00ED1A67"/>
        </w:tc>
      </w:tr>
    </w:tbl>
    <w:p w14:paraId="3E134F4D" w14:textId="77777777" w:rsidR="00640AD6" w:rsidRPr="00E73D32" w:rsidRDefault="00640AD6" w:rsidP="00640AD6">
      <w:pPr>
        <w:jc w:val="both"/>
        <w:rPr>
          <w:rFonts w:eastAsia="Calibri"/>
          <w:i/>
        </w:rPr>
      </w:pPr>
    </w:p>
    <w:p w14:paraId="05D601D6" w14:textId="77777777" w:rsidR="00640AD6" w:rsidRPr="00E73D32" w:rsidRDefault="00640AD6" w:rsidP="00640AD6">
      <w:pPr>
        <w:jc w:val="both"/>
        <w:rPr>
          <w:rFonts w:eastAsia="Calibri"/>
          <w:b/>
          <w:bCs/>
          <w:i/>
        </w:rPr>
        <w:sectPr w:rsidR="00640AD6" w:rsidRPr="00E73D32" w:rsidSect="00142154">
          <w:pgSz w:w="16838" w:h="11906" w:orient="landscape"/>
          <w:pgMar w:top="1417" w:right="1417" w:bottom="1417" w:left="1417" w:header="708" w:footer="708" w:gutter="0"/>
          <w:cols w:space="708"/>
          <w:docGrid w:linePitch="360"/>
        </w:sectPr>
      </w:pPr>
    </w:p>
    <w:p w14:paraId="7E111F71" w14:textId="77777777" w:rsidR="00640AD6" w:rsidRPr="00E73D32" w:rsidRDefault="00640AD6" w:rsidP="00640AD6">
      <w:pPr>
        <w:jc w:val="both"/>
        <w:rPr>
          <w:rFonts w:eastAsia="Calibri"/>
          <w:b/>
          <w:bCs/>
          <w:i/>
          <w:u w:val="single"/>
        </w:rPr>
      </w:pPr>
      <w:r w:rsidRPr="00E73D32">
        <w:rPr>
          <w:rFonts w:eastAsia="Calibri"/>
          <w:b/>
          <w:bCs/>
          <w:i/>
          <w:u w:val="single"/>
        </w:rPr>
        <w:lastRenderedPageBreak/>
        <w:t xml:space="preserve">Doplňujúce informácie k spôsobu výpočtu vplyvov jednotlivých regulácií na zmenu nákladov </w:t>
      </w:r>
    </w:p>
    <w:p w14:paraId="71F034CC" w14:textId="77777777" w:rsidR="00640AD6" w:rsidRPr="00E73D32" w:rsidRDefault="00640AD6" w:rsidP="00640AD6">
      <w:pPr>
        <w:jc w:val="both"/>
        <w:rPr>
          <w:rFonts w:eastAsia="Calibri"/>
          <w:bCs/>
          <w:i/>
          <w:iCs/>
          <w:color w:val="000000"/>
        </w:rPr>
      </w:pPr>
      <w:r w:rsidRPr="00E73D32">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140CE6A1" w14:textId="77777777" w:rsidR="003D2197" w:rsidRDefault="003D2197" w:rsidP="00640AD6">
      <w:pPr>
        <w:jc w:val="both"/>
        <w:rPr>
          <w:rFonts w:eastAsia="Calibri"/>
          <w:b/>
        </w:rPr>
      </w:pPr>
    </w:p>
    <w:p w14:paraId="272674F7" w14:textId="4BF1BDD8" w:rsidR="00640AD6" w:rsidRPr="00E73D32" w:rsidRDefault="00640AD6" w:rsidP="00640AD6">
      <w:pPr>
        <w:jc w:val="both"/>
        <w:rPr>
          <w:rFonts w:eastAsia="Calibri"/>
          <w:b/>
        </w:rPr>
      </w:pPr>
      <w:r w:rsidRPr="00E73D32">
        <w:rPr>
          <w:rFonts w:eastAsia="Calibri"/>
          <w:b/>
        </w:rPr>
        <w:t>3.2 Vyhodnotenie konzultácií s podnikateľskými subjektmi pred predbežným pripomienkovým konaním</w:t>
      </w:r>
    </w:p>
    <w:p w14:paraId="0961EF24" w14:textId="66126F32" w:rsidR="00640AD6" w:rsidRPr="00E73D32" w:rsidRDefault="00640AD6" w:rsidP="00640AD6">
      <w:pPr>
        <w:jc w:val="both"/>
        <w:rPr>
          <w:rFonts w:eastAsia="Calibri"/>
        </w:rPr>
      </w:pPr>
      <w:r w:rsidRPr="00E73D32">
        <w:rPr>
          <w:rFonts w:eastAsia="Calibri"/>
        </w:rPr>
        <w:t xml:space="preserve">Predbežná informácia bola uverejnená na portáli Slov-lex pod číslom </w:t>
      </w:r>
      <w:r w:rsidR="002766B9" w:rsidRPr="00E73D32">
        <w:rPr>
          <w:rFonts w:eastAsia="Calibri"/>
        </w:rPr>
        <w:t xml:space="preserve">PI/2022/69. </w:t>
      </w:r>
      <w:r w:rsidRPr="00E73D32">
        <w:rPr>
          <w:rFonts w:eastAsia="Calibri"/>
        </w:rPr>
        <w:t>Podklad na konzultá</w:t>
      </w:r>
      <w:r w:rsidR="002766B9" w:rsidRPr="00E73D32">
        <w:rPr>
          <w:rFonts w:eastAsia="Calibri"/>
        </w:rPr>
        <w:t>cie bol zároveň uverejnený dňa 7.4.2022</w:t>
      </w:r>
      <w:r w:rsidRPr="00E73D32">
        <w:rPr>
          <w:rFonts w:eastAsia="Calibri"/>
        </w:rPr>
        <w:t xml:space="preserve"> na webovom sídle predkladateľa </w:t>
      </w:r>
      <w:r w:rsidR="002766B9" w:rsidRPr="00E73D32">
        <w:rPr>
          <w:rFonts w:eastAsia="Calibri"/>
        </w:rPr>
        <w:t>s dobou trvania konzultácií od 7.4.2022 do 7.5.2022</w:t>
      </w:r>
      <w:r w:rsidRPr="00E73D32">
        <w:rPr>
          <w:rFonts w:eastAsia="Calibri"/>
        </w:rPr>
        <w:t>. O konzultáciu nepožiadali žiadne subjekty.</w:t>
      </w:r>
    </w:p>
    <w:p w14:paraId="0D1FEF87" w14:textId="77777777" w:rsidR="00640AD6" w:rsidRPr="00E73D32" w:rsidRDefault="00640AD6" w:rsidP="00640AD6">
      <w:pPr>
        <w:jc w:val="both"/>
        <w:rPr>
          <w:rFonts w:eastAsia="Calibri"/>
          <w:i/>
        </w:rPr>
      </w:pPr>
    </w:p>
    <w:p w14:paraId="1D34D168" w14:textId="77777777" w:rsidR="00640AD6" w:rsidRPr="00E73D32" w:rsidRDefault="00640AD6" w:rsidP="00640AD6">
      <w:pPr>
        <w:jc w:val="both"/>
        <w:rPr>
          <w:rFonts w:eastAsia="Calibri"/>
          <w:b/>
        </w:rPr>
      </w:pPr>
      <w:bookmarkStart w:id="1" w:name="_Hlk47698091"/>
      <w:r w:rsidRPr="00E73D32">
        <w:rPr>
          <w:rFonts w:eastAsia="Calibri"/>
          <w:b/>
        </w:rPr>
        <w:t>3.3 Vplyvy na konkurencieschopnosť a produktivitu</w:t>
      </w:r>
    </w:p>
    <w:bookmarkEnd w:id="1"/>
    <w:p w14:paraId="0E524193" w14:textId="77777777" w:rsidR="00640AD6" w:rsidRPr="00E73D32" w:rsidRDefault="00640AD6" w:rsidP="00640AD6">
      <w:pPr>
        <w:jc w:val="both"/>
        <w:rPr>
          <w:rFonts w:eastAsia="Calibri"/>
          <w:i/>
        </w:rPr>
      </w:pPr>
      <w:r w:rsidRPr="00E73D32">
        <w:rPr>
          <w:rFonts w:eastAsia="Calibri"/>
          <w:i/>
        </w:rPr>
        <w:t xml:space="preserve">Dochádza k vytvoreniu resp. k zmene bariér na trhu? </w:t>
      </w:r>
    </w:p>
    <w:p w14:paraId="04AA6020" w14:textId="77777777" w:rsidR="00640AD6" w:rsidRPr="00E73D32" w:rsidRDefault="00640AD6" w:rsidP="00640AD6">
      <w:pPr>
        <w:jc w:val="both"/>
        <w:rPr>
          <w:rFonts w:eastAsia="Calibri"/>
          <w:i/>
        </w:rPr>
      </w:pPr>
      <w:r w:rsidRPr="00E73D32">
        <w:rPr>
          <w:rFonts w:eastAsia="Calibri"/>
          <w:i/>
        </w:rPr>
        <w:t xml:space="preserve">Bude sa s niektorými podnikmi alebo produktmi zaobchádzať v porovnateľnej situácii rôzne (napr. špeciálne režimy pre mikro, malé a stredné podniky tzv. MSP)? </w:t>
      </w:r>
    </w:p>
    <w:p w14:paraId="17365630" w14:textId="77777777" w:rsidR="00640AD6" w:rsidRPr="00E73D32" w:rsidRDefault="00640AD6" w:rsidP="00640AD6">
      <w:pPr>
        <w:jc w:val="both"/>
        <w:rPr>
          <w:rFonts w:eastAsia="Calibri"/>
          <w:i/>
        </w:rPr>
      </w:pPr>
      <w:r w:rsidRPr="00E73D32">
        <w:rPr>
          <w:rFonts w:eastAsia="Calibri"/>
          <w:i/>
        </w:rPr>
        <w:t xml:space="preserve">Ovplyvňuje zmena regulácie cezhraničné investície (príliv/odliv zahraničných investícií resp. uplatnenie slovenských podnikov na zahraničných trhoch)? </w:t>
      </w:r>
    </w:p>
    <w:p w14:paraId="1A952982" w14:textId="77777777" w:rsidR="00640AD6" w:rsidRPr="00E73D32" w:rsidRDefault="00640AD6" w:rsidP="00640AD6">
      <w:pPr>
        <w:jc w:val="both"/>
        <w:rPr>
          <w:rFonts w:eastAsia="Calibri"/>
          <w:i/>
        </w:rPr>
      </w:pPr>
      <w:r w:rsidRPr="00E73D32">
        <w:rPr>
          <w:rFonts w:eastAsia="Calibri"/>
          <w:i/>
        </w:rPr>
        <w:t xml:space="preserve">Ovplyvní dostupnosť základných zdrojov (financie, pracovná sila, suroviny, mechanizmy, energie atď.)? </w:t>
      </w:r>
    </w:p>
    <w:p w14:paraId="6766314C" w14:textId="77777777" w:rsidR="00640AD6" w:rsidRPr="00E73D32" w:rsidRDefault="00640AD6" w:rsidP="00640AD6">
      <w:pPr>
        <w:jc w:val="both"/>
        <w:rPr>
          <w:rFonts w:eastAsia="Calibri"/>
          <w:i/>
        </w:rPr>
      </w:pPr>
      <w:r w:rsidRPr="00E73D32">
        <w:rPr>
          <w:rFonts w:eastAsia="Calibri"/>
          <w:i/>
        </w:rPr>
        <w:t>Ovplyvňuje zmena regulácie inovácie, vedu a výskum?</w:t>
      </w:r>
    </w:p>
    <w:p w14:paraId="567E1EFA" w14:textId="77777777" w:rsidR="00640AD6" w:rsidRPr="00E73D32" w:rsidRDefault="00640AD6" w:rsidP="00640AD6">
      <w:pPr>
        <w:jc w:val="both"/>
        <w:rPr>
          <w:rFonts w:eastAsia="Calibri"/>
          <w:i/>
        </w:rPr>
      </w:pPr>
      <w:r w:rsidRPr="00E73D32">
        <w:rPr>
          <w:rFonts w:eastAsia="Calibri"/>
          <w:i/>
          <w:iCs/>
        </w:rPr>
        <w:t>Ako prispieva zmena regulácie k cieľu Slovenska mať najlepšie podnikateľské prostredie spomedzi susediacich krajín EÚ?</w:t>
      </w:r>
    </w:p>
    <w:p w14:paraId="3F774C04" w14:textId="77777777" w:rsidR="00640AD6" w:rsidRPr="00E73D32" w:rsidRDefault="00640AD6" w:rsidP="00640AD6">
      <w:pPr>
        <w:jc w:val="both"/>
        <w:rPr>
          <w:rFonts w:eastAsia="Calibri"/>
          <w:i/>
        </w:rPr>
      </w:pPr>
    </w:p>
    <w:p w14:paraId="5EABFE35" w14:textId="77777777" w:rsidR="00640AD6" w:rsidRPr="00E73D32" w:rsidRDefault="00640AD6" w:rsidP="00640AD6">
      <w:pPr>
        <w:jc w:val="both"/>
        <w:rPr>
          <w:rFonts w:eastAsia="Calibri"/>
          <w:b/>
          <w:i/>
        </w:rPr>
      </w:pPr>
      <w:r w:rsidRPr="00E73D32">
        <w:rPr>
          <w:rFonts w:eastAsia="Calibri"/>
          <w:b/>
          <w:i/>
        </w:rPr>
        <w:t>Konkurencieschopnosť:</w:t>
      </w:r>
    </w:p>
    <w:p w14:paraId="07441F68" w14:textId="77777777" w:rsidR="00640AD6" w:rsidRPr="00E73D32" w:rsidRDefault="00640AD6" w:rsidP="00640AD6">
      <w:pPr>
        <w:jc w:val="both"/>
        <w:rPr>
          <w:rFonts w:eastAsia="Calibri"/>
          <w:i/>
        </w:rPr>
      </w:pPr>
      <w:r w:rsidRPr="00E73D32">
        <w:rPr>
          <w:rFonts w:eastAsia="Calibri"/>
          <w:i/>
        </w:rPr>
        <w:t>Na základe uvedených odpovedí zaškrtnite a popíšte, či materiál konkurencieschopnosť:</w:t>
      </w:r>
    </w:p>
    <w:p w14:paraId="5B759EB0" w14:textId="77777777" w:rsidR="00640AD6" w:rsidRPr="00E73D32" w:rsidRDefault="00CB17A0" w:rsidP="00640AD6">
      <w:pPr>
        <w:jc w:val="both"/>
        <w:rPr>
          <w:rFonts w:eastAsia="Calibri"/>
          <w:i/>
        </w:rPr>
      </w:pPr>
      <w:sdt>
        <w:sdtPr>
          <w:rPr>
            <w:rFonts w:eastAsia="Calibri"/>
            <w:i/>
          </w:rPr>
          <w:id w:val="798576880"/>
        </w:sdtPr>
        <w:sdtEndPr/>
        <w:sdtContent>
          <w:sdt>
            <w:sdtPr>
              <w:rPr>
                <w:rFonts w:eastAsia="Calibri"/>
                <w:i/>
              </w:rPr>
              <w:id w:val="1729873660"/>
            </w:sdtPr>
            <w:sdtEndPr/>
            <w:sdtContent>
              <w:r w:rsidR="00640AD6" w:rsidRPr="00E73D32">
                <w:rPr>
                  <w:rFonts w:ascii="Segoe UI Symbol" w:eastAsia="Calibri" w:hAnsi="Segoe UI Symbol" w:cs="Segoe UI Symbol"/>
                  <w:i/>
                </w:rPr>
                <w:t>☐</w:t>
              </w:r>
            </w:sdtContent>
          </w:sdt>
        </w:sdtContent>
      </w:sdt>
      <w:r w:rsidR="00640AD6" w:rsidRPr="00E73D32">
        <w:rPr>
          <w:rFonts w:eastAsia="Calibri"/>
          <w:i/>
        </w:rPr>
        <w:t xml:space="preserve"> zvyšuje  </w:t>
      </w:r>
      <w:r w:rsidR="00640AD6" w:rsidRPr="00E73D32">
        <w:rPr>
          <w:rFonts w:eastAsia="Calibri"/>
          <w:i/>
        </w:rPr>
        <w:tab/>
      </w:r>
      <w:sdt>
        <w:sdtPr>
          <w:rPr>
            <w:i/>
          </w:rPr>
          <w:id w:val="-386717170"/>
          <w14:checkbox>
            <w14:checked w14:val="1"/>
            <w14:checkedState w14:val="2612" w14:font="MS Gothic"/>
            <w14:uncheckedState w14:val="2610" w14:font="MS Gothic"/>
          </w14:checkbox>
        </w:sdtPr>
        <w:sdtEndPr/>
        <w:sdtContent>
          <w:r w:rsidR="00640AD6" w:rsidRPr="00E73D32">
            <w:rPr>
              <w:rFonts w:ascii="Segoe UI Symbol" w:eastAsia="MS Gothic" w:hAnsi="Segoe UI Symbol" w:cs="Segoe UI Symbol"/>
              <w:i/>
            </w:rPr>
            <w:t>☒</w:t>
          </w:r>
        </w:sdtContent>
      </w:sdt>
      <w:r w:rsidR="00640AD6" w:rsidRPr="00E73D32" w:rsidDel="004B47F7">
        <w:rPr>
          <w:rFonts w:eastAsia="Calibri"/>
          <w:i/>
        </w:rPr>
        <w:t xml:space="preserve"> </w:t>
      </w:r>
      <w:r w:rsidR="00640AD6" w:rsidRPr="00E73D32">
        <w:rPr>
          <w:rFonts w:eastAsia="Calibri"/>
          <w:i/>
        </w:rPr>
        <w:t>nemení</w:t>
      </w:r>
      <w:r w:rsidR="00640AD6" w:rsidRPr="00E73D32">
        <w:rPr>
          <w:rFonts w:eastAsia="Calibri"/>
          <w:i/>
        </w:rPr>
        <w:tab/>
      </w:r>
      <w:sdt>
        <w:sdtPr>
          <w:rPr>
            <w:rFonts w:eastAsia="Calibri"/>
            <w:i/>
          </w:rPr>
          <w:id w:val="-474604883"/>
        </w:sdtPr>
        <w:sdtEndPr/>
        <w:sdtContent>
          <w:sdt>
            <w:sdtPr>
              <w:rPr>
                <w:rFonts w:eastAsia="Calibri"/>
                <w:i/>
              </w:rPr>
              <w:id w:val="-1706551548"/>
            </w:sdtPr>
            <w:sdtEndPr/>
            <w:sdtContent>
              <w:r w:rsidR="00640AD6" w:rsidRPr="00E73D32">
                <w:rPr>
                  <w:rFonts w:ascii="Segoe UI Symbol" w:eastAsia="Calibri" w:hAnsi="Segoe UI Symbol" w:cs="Segoe UI Symbol"/>
                  <w:i/>
                </w:rPr>
                <w:t>☐</w:t>
              </w:r>
            </w:sdtContent>
          </w:sdt>
        </w:sdtContent>
      </w:sdt>
      <w:r w:rsidR="00640AD6" w:rsidRPr="00E73D32">
        <w:rPr>
          <w:rFonts w:eastAsia="Calibri"/>
          <w:i/>
        </w:rPr>
        <w:t xml:space="preserve"> znižuje</w:t>
      </w:r>
    </w:p>
    <w:p w14:paraId="4A55B1D5" w14:textId="77777777" w:rsidR="00640AD6" w:rsidRPr="00E73D32" w:rsidRDefault="00640AD6" w:rsidP="00640AD6">
      <w:pPr>
        <w:jc w:val="both"/>
        <w:rPr>
          <w:rFonts w:eastAsia="Calibri"/>
          <w:i/>
        </w:rPr>
      </w:pPr>
    </w:p>
    <w:p w14:paraId="549427CC" w14:textId="77777777" w:rsidR="00640AD6" w:rsidRPr="00E73D32" w:rsidRDefault="00640AD6" w:rsidP="00640AD6">
      <w:pPr>
        <w:jc w:val="both"/>
        <w:rPr>
          <w:rFonts w:eastAsia="Calibri"/>
          <w:b/>
          <w:i/>
        </w:rPr>
      </w:pPr>
      <w:r w:rsidRPr="00E73D32">
        <w:rPr>
          <w:rFonts w:eastAsia="Calibri"/>
          <w:b/>
          <w:i/>
        </w:rPr>
        <w:t>Produktivita:</w:t>
      </w:r>
    </w:p>
    <w:p w14:paraId="52C79AC5" w14:textId="77777777" w:rsidR="00640AD6" w:rsidRPr="00E73D32" w:rsidRDefault="00640AD6" w:rsidP="00640AD6">
      <w:pPr>
        <w:jc w:val="both"/>
        <w:rPr>
          <w:rFonts w:eastAsia="Calibri"/>
          <w:i/>
        </w:rPr>
      </w:pPr>
      <w:r w:rsidRPr="00E73D32">
        <w:rPr>
          <w:rFonts w:eastAsia="Calibri"/>
          <w:i/>
        </w:rPr>
        <w:t xml:space="preserve">Aký má materiál vplyv na zmenu pomeru medzi produkciou podnikov a ich nákladmi? </w:t>
      </w:r>
    </w:p>
    <w:p w14:paraId="4E89535A" w14:textId="77777777" w:rsidR="00640AD6" w:rsidRPr="00E73D32" w:rsidRDefault="00640AD6" w:rsidP="00640AD6">
      <w:pPr>
        <w:jc w:val="both"/>
        <w:rPr>
          <w:rFonts w:eastAsia="Calibri"/>
          <w:i/>
        </w:rPr>
      </w:pPr>
    </w:p>
    <w:p w14:paraId="054F9118" w14:textId="77777777" w:rsidR="00640AD6" w:rsidRPr="00E73D32" w:rsidRDefault="00640AD6" w:rsidP="00640AD6">
      <w:pPr>
        <w:jc w:val="both"/>
        <w:rPr>
          <w:rFonts w:eastAsia="Calibri"/>
          <w:i/>
        </w:rPr>
      </w:pPr>
      <w:r w:rsidRPr="00E73D32">
        <w:rPr>
          <w:rFonts w:eastAsia="Calibri"/>
          <w:i/>
        </w:rPr>
        <w:t>Na základe uvedenej odpovede zaškrtnite a popíšte, či materiál produktivitu:</w:t>
      </w:r>
    </w:p>
    <w:p w14:paraId="587E00B0" w14:textId="77777777" w:rsidR="00640AD6" w:rsidRPr="00E73D32" w:rsidRDefault="00CB17A0" w:rsidP="00640AD6">
      <w:pPr>
        <w:jc w:val="both"/>
        <w:rPr>
          <w:rFonts w:eastAsia="Calibri"/>
          <w:i/>
        </w:rPr>
      </w:pPr>
      <w:sdt>
        <w:sdtPr>
          <w:rPr>
            <w:rFonts w:eastAsia="Calibri"/>
            <w:i/>
          </w:rPr>
          <w:id w:val="-1545903528"/>
        </w:sdtPr>
        <w:sdtEndPr/>
        <w:sdtContent>
          <w:sdt>
            <w:sdtPr>
              <w:rPr>
                <w:rFonts w:eastAsia="Calibri"/>
                <w:i/>
              </w:rPr>
              <w:id w:val="825715010"/>
            </w:sdtPr>
            <w:sdtEndPr/>
            <w:sdtContent>
              <w:r w:rsidR="00640AD6" w:rsidRPr="00E73D32">
                <w:rPr>
                  <w:rFonts w:ascii="Segoe UI Symbol" w:eastAsia="Calibri" w:hAnsi="Segoe UI Symbol" w:cs="Segoe UI Symbol"/>
                  <w:i/>
                </w:rPr>
                <w:t>☐</w:t>
              </w:r>
            </w:sdtContent>
          </w:sdt>
        </w:sdtContent>
      </w:sdt>
      <w:r w:rsidR="00640AD6" w:rsidRPr="00E73D32">
        <w:rPr>
          <w:rFonts w:eastAsia="Calibri"/>
          <w:i/>
        </w:rPr>
        <w:t xml:space="preserve"> zvyšuje  </w:t>
      </w:r>
      <w:r w:rsidR="00640AD6" w:rsidRPr="00E73D32">
        <w:rPr>
          <w:rFonts w:eastAsia="Calibri"/>
          <w:i/>
        </w:rPr>
        <w:tab/>
      </w:r>
      <w:sdt>
        <w:sdtPr>
          <w:rPr>
            <w:i/>
          </w:rPr>
          <w:id w:val="-2142414335"/>
          <w14:checkbox>
            <w14:checked w14:val="1"/>
            <w14:checkedState w14:val="2612" w14:font="MS Gothic"/>
            <w14:uncheckedState w14:val="2610" w14:font="MS Gothic"/>
          </w14:checkbox>
        </w:sdtPr>
        <w:sdtEndPr/>
        <w:sdtContent>
          <w:r w:rsidR="00640AD6" w:rsidRPr="00E73D32">
            <w:rPr>
              <w:rFonts w:ascii="Segoe UI Symbol" w:eastAsia="MS Gothic" w:hAnsi="Segoe UI Symbol" w:cs="Segoe UI Symbol"/>
              <w:i/>
            </w:rPr>
            <w:t>☒</w:t>
          </w:r>
        </w:sdtContent>
      </w:sdt>
      <w:r w:rsidR="00640AD6" w:rsidRPr="00E73D32" w:rsidDel="004B47F7">
        <w:rPr>
          <w:rFonts w:eastAsia="Calibri"/>
          <w:i/>
        </w:rPr>
        <w:t xml:space="preserve"> </w:t>
      </w:r>
      <w:r w:rsidR="00640AD6" w:rsidRPr="00E73D32">
        <w:rPr>
          <w:rFonts w:eastAsia="Calibri"/>
          <w:i/>
        </w:rPr>
        <w:t>nemení</w:t>
      </w:r>
      <w:r w:rsidR="00640AD6" w:rsidRPr="00E73D32">
        <w:rPr>
          <w:rFonts w:eastAsia="Calibri"/>
          <w:i/>
        </w:rPr>
        <w:tab/>
      </w:r>
      <w:sdt>
        <w:sdtPr>
          <w:rPr>
            <w:rFonts w:eastAsia="Calibri"/>
            <w:i/>
          </w:rPr>
          <w:id w:val="-1457723544"/>
        </w:sdtPr>
        <w:sdtEndPr/>
        <w:sdtContent>
          <w:sdt>
            <w:sdtPr>
              <w:rPr>
                <w:rFonts w:eastAsia="Calibri"/>
                <w:i/>
              </w:rPr>
              <w:id w:val="-623767955"/>
            </w:sdtPr>
            <w:sdtEndPr/>
            <w:sdtContent>
              <w:r w:rsidR="00640AD6" w:rsidRPr="00E73D32">
                <w:rPr>
                  <w:rFonts w:ascii="Segoe UI Symbol" w:eastAsia="Calibri" w:hAnsi="Segoe UI Symbol" w:cs="Segoe UI Symbol"/>
                  <w:i/>
                </w:rPr>
                <w:t>☐</w:t>
              </w:r>
            </w:sdtContent>
          </w:sdt>
        </w:sdtContent>
      </w:sdt>
      <w:r w:rsidR="00640AD6" w:rsidRPr="00E73D32">
        <w:rPr>
          <w:rFonts w:eastAsia="Calibri"/>
          <w:i/>
        </w:rPr>
        <w:t xml:space="preserve"> znižuje</w:t>
      </w:r>
    </w:p>
    <w:p w14:paraId="74ED37E7" w14:textId="77777777" w:rsidR="00640AD6" w:rsidRPr="00E73D32" w:rsidRDefault="00640AD6" w:rsidP="00640AD6">
      <w:pPr>
        <w:jc w:val="both"/>
        <w:rPr>
          <w:rFonts w:eastAsia="Calibri"/>
          <w:i/>
        </w:rPr>
      </w:pPr>
    </w:p>
    <w:p w14:paraId="4B867C33" w14:textId="77777777" w:rsidR="00640AD6" w:rsidRPr="00E73D32" w:rsidRDefault="00640AD6" w:rsidP="00640AD6">
      <w:pPr>
        <w:jc w:val="both"/>
        <w:rPr>
          <w:rFonts w:eastAsia="Calibri"/>
          <w:b/>
        </w:rPr>
      </w:pPr>
      <w:r w:rsidRPr="00E73D32">
        <w:rPr>
          <w:rFonts w:eastAsia="Calibri"/>
          <w:b/>
        </w:rPr>
        <w:t xml:space="preserve">3.4  Iné vplyvy na podnikateľské prostredie </w:t>
      </w:r>
    </w:p>
    <w:p w14:paraId="01577DEF" w14:textId="77777777" w:rsidR="00640AD6" w:rsidRPr="00E73D32" w:rsidRDefault="00640AD6" w:rsidP="00640AD6">
      <w:pPr>
        <w:jc w:val="both"/>
        <w:rPr>
          <w:rFonts w:eastAsia="Calibri"/>
          <w:i/>
        </w:rPr>
      </w:pPr>
      <w:r w:rsidRPr="00E73D32">
        <w:rPr>
          <w:rFonts w:eastAsia="Calibri"/>
          <w:i/>
        </w:rPr>
        <w:t xml:space="preserve">Ak má materiál vplyvy na PP, ktoré nemožno zaradiť do predchádzajúcich častí, či už pozitívne alebo negatívne, tu ich uveďte.  Patria sem: </w:t>
      </w:r>
    </w:p>
    <w:p w14:paraId="1486DF4B" w14:textId="77777777" w:rsidR="00640AD6" w:rsidRPr="00E73D32"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E73D32">
        <w:rPr>
          <w:rFonts w:ascii="Times New Roman" w:eastAsia="Calibri" w:hAnsi="Times New Roman" w:cs="Times New Roman"/>
          <w:i/>
          <w:sz w:val="20"/>
          <w:szCs w:val="20"/>
        </w:rPr>
        <w:t>sankcie alebo pokuty, ako dôsledok porušenia právne záväzných ustanovení;</w:t>
      </w:r>
    </w:p>
    <w:p w14:paraId="1530ECD5" w14:textId="77777777" w:rsidR="00640AD6" w:rsidRPr="00E73D32"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E73D32">
        <w:rPr>
          <w:rFonts w:ascii="Times New Roman" w:eastAsia="Calibri" w:hAnsi="Times New Roman" w:cs="Times New Roman"/>
          <w:i/>
          <w:sz w:val="20"/>
          <w:szCs w:val="20"/>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10FA6948" w14:textId="77777777" w:rsidR="00640AD6" w:rsidRPr="00E73D32"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E73D32">
        <w:rPr>
          <w:rFonts w:ascii="Times New Roman" w:eastAsia="Calibri" w:hAnsi="Times New Roman" w:cs="Times New Roman"/>
          <w:i/>
          <w:sz w:val="20"/>
          <w:szCs w:val="20"/>
        </w:rPr>
        <w:t>regulované ceny podľa zákona č. 18/1996 Z. z. o cenách;</w:t>
      </w:r>
    </w:p>
    <w:p w14:paraId="71A5AC55" w14:textId="77777777" w:rsidR="00640AD6" w:rsidRPr="00E73D32" w:rsidRDefault="00640AD6" w:rsidP="00640AD6">
      <w:pPr>
        <w:pStyle w:val="Odsekzoznamu"/>
        <w:numPr>
          <w:ilvl w:val="0"/>
          <w:numId w:val="17"/>
        </w:numPr>
        <w:spacing w:after="0" w:line="254" w:lineRule="auto"/>
        <w:jc w:val="both"/>
        <w:rPr>
          <w:rFonts w:ascii="Times New Roman" w:eastAsia="Calibri" w:hAnsi="Times New Roman" w:cs="Times New Roman"/>
          <w:i/>
          <w:sz w:val="20"/>
          <w:szCs w:val="20"/>
        </w:rPr>
      </w:pPr>
      <w:r w:rsidRPr="00E73D32">
        <w:rPr>
          <w:rFonts w:ascii="Times New Roman" w:eastAsia="Calibri" w:hAnsi="Times New Roman" w:cs="Times New Roman"/>
          <w:i/>
          <w:sz w:val="20"/>
          <w:szCs w:val="20"/>
        </w:rPr>
        <w:t xml:space="preserve">iné vplyvy, ktoré predpokladá materiál, ale nemožno ich zaradiť do častí 3.1 a 3.3. </w:t>
      </w:r>
    </w:p>
    <w:p w14:paraId="7BD131C6" w14:textId="77777777" w:rsidR="00640AD6" w:rsidRPr="00E73D32" w:rsidRDefault="00640AD6" w:rsidP="00640AD6">
      <w:pPr>
        <w:jc w:val="both"/>
        <w:rPr>
          <w:rFonts w:eastAsia="Calibri"/>
          <w:i/>
          <w:color w:val="0070C0"/>
        </w:rPr>
      </w:pPr>
    </w:p>
    <w:p w14:paraId="03A9DCA2" w14:textId="22A2DDD2" w:rsidR="009F7060" w:rsidRPr="00E73D32" w:rsidRDefault="00640AD6" w:rsidP="00640AD6">
      <w:pPr>
        <w:jc w:val="both"/>
        <w:rPr>
          <w:rFonts w:eastAsia="Calibri"/>
        </w:rPr>
      </w:pPr>
      <w:r w:rsidRPr="00E73D32">
        <w:rPr>
          <w:rFonts w:eastAsia="Calibri"/>
        </w:rPr>
        <w:t xml:space="preserve">Návrhom nariadenia vlády </w:t>
      </w:r>
      <w:r w:rsidR="006C1673" w:rsidRPr="00E73D32">
        <w:rPr>
          <w:rFonts w:eastAsia="Calibri"/>
        </w:rPr>
        <w:t xml:space="preserve">sa ustanovujú </w:t>
      </w:r>
      <w:r w:rsidR="009436CE" w:rsidRPr="00E73D32">
        <w:rPr>
          <w:rFonts w:eastAsia="Calibri"/>
        </w:rPr>
        <w:t>požiadavky na udržiavanie poľnohospodárskej plochy, aktívneho poľnohospodára a kondicionality</w:t>
      </w:r>
      <w:r w:rsidR="006C1673" w:rsidRPr="00E73D32">
        <w:rPr>
          <w:rFonts w:eastAsia="Calibri"/>
        </w:rPr>
        <w:t>.</w:t>
      </w:r>
      <w:r w:rsidR="009D3E6D" w:rsidRPr="00E73D32">
        <w:rPr>
          <w:rFonts w:eastAsia="Calibri"/>
        </w:rPr>
        <w:t xml:space="preserve"> Niektoré vymedzené pojmy predstavujú základné prvky týkajúce sa vyplácania podpory </w:t>
      </w:r>
      <w:r w:rsidR="003D2197">
        <w:rPr>
          <w:rFonts w:eastAsia="Calibri"/>
        </w:rPr>
        <w:t>Európskej ú</w:t>
      </w:r>
      <w:r w:rsidR="009D3E6D" w:rsidRPr="00E73D32">
        <w:rPr>
          <w:rFonts w:eastAsia="Calibri"/>
        </w:rPr>
        <w:t xml:space="preserve">nie poľnohospodárom. Rovnako rámec kritérií, ktoré majú poľnohospodári splniť, aby dodržali povinnosť </w:t>
      </w:r>
      <w:r w:rsidR="003D2197">
        <w:rPr>
          <w:rFonts w:eastAsia="Calibri"/>
        </w:rPr>
        <w:t>udržiavania</w:t>
      </w:r>
      <w:r w:rsidR="009D3E6D" w:rsidRPr="00E73D32">
        <w:rPr>
          <w:rFonts w:eastAsia="Calibri"/>
        </w:rPr>
        <w:t xml:space="preserve"> poľnohospodárskej plochy v stave, v ktorom je vhodná na pestovanie bez prípravných činností, ktoré presahujú rámec použitia bežných poľnohospodárskych postupov a strojov </w:t>
      </w:r>
      <w:r w:rsidR="005F1730" w:rsidRPr="00E73D32">
        <w:rPr>
          <w:rFonts w:eastAsia="Calibri"/>
        </w:rPr>
        <w:t xml:space="preserve">a pravidlá kondicionality </w:t>
      </w:r>
      <w:r w:rsidR="009D3E6D" w:rsidRPr="00E73D32">
        <w:rPr>
          <w:rFonts w:eastAsia="Calibri"/>
        </w:rPr>
        <w:t xml:space="preserve">predstavuje základné prvky týkajúce sa vyplácania podpory </w:t>
      </w:r>
      <w:r w:rsidR="003D2197">
        <w:rPr>
          <w:rFonts w:eastAsia="Calibri"/>
        </w:rPr>
        <w:t>Európskej ú</w:t>
      </w:r>
      <w:r w:rsidR="009D3E6D" w:rsidRPr="00E73D32">
        <w:rPr>
          <w:rFonts w:eastAsia="Calibri"/>
        </w:rPr>
        <w:t>nie.</w:t>
      </w:r>
      <w:r w:rsidR="009F7060" w:rsidRPr="00E73D32">
        <w:t xml:space="preserve"> </w:t>
      </w:r>
      <w:r w:rsidR="009F7060" w:rsidRPr="00E73D32">
        <w:rPr>
          <w:rFonts w:eastAsia="Calibri"/>
        </w:rPr>
        <w:t xml:space="preserve">Návrhom nariadenia vlády sa predpokladajú </w:t>
      </w:r>
      <w:r w:rsidR="00E06BA7" w:rsidRPr="00E73D32">
        <w:rPr>
          <w:rFonts w:eastAsia="Calibri"/>
        </w:rPr>
        <w:t>negatívne vpl</w:t>
      </w:r>
      <w:r w:rsidR="009F7060" w:rsidRPr="00E73D32">
        <w:rPr>
          <w:rFonts w:eastAsia="Calibri"/>
        </w:rPr>
        <w:t>yvy na podnikateľské prostredie, nakoľko</w:t>
      </w:r>
      <w:r w:rsidR="00F76953" w:rsidRPr="00F76953">
        <w:t xml:space="preserve"> </w:t>
      </w:r>
      <w:r w:rsidR="00F76953" w:rsidRPr="00F76953">
        <w:rPr>
          <w:rFonts w:eastAsia="Calibri"/>
        </w:rPr>
        <w:t xml:space="preserve">materiál predpokladá určité náklady pre žiadateľa o priame platby, ktoré musí vynaložiť za účelom dosiahnutia priamych platieb napr. činnosťami potrebnými na udržiavanie poľnohospodárskej plochy v stave, v ktorom je vhodná na pastvu alebo pestovanie bez prípravných činností presahujúcich použitie bežných poľnohospodárskych postupov a strojov. </w:t>
      </w:r>
      <w:r w:rsidR="009F7060" w:rsidRPr="00E73D32">
        <w:rPr>
          <w:rFonts w:eastAsia="Calibri"/>
        </w:rPr>
        <w:t>.</w:t>
      </w:r>
      <w:r w:rsidR="000E4151" w:rsidRPr="00E73D32">
        <w:rPr>
          <w:rFonts w:eastAsia="Calibri"/>
        </w:rPr>
        <w:t xml:space="preserve"> </w:t>
      </w:r>
      <w:r w:rsidR="009F7060" w:rsidRPr="00E73D32">
        <w:rPr>
          <w:rFonts w:eastAsia="Calibri"/>
        </w:rPr>
        <w:t>Legislatívne návrhy, ktorých sa tento vplyv týka, je potrebné chápať v širšom kontexte návrhu jednotného rámcového nariadenia Európskeho parlamentu a Rady (EÚ) 2021/2116 z 2. decembra 2021 o financovaní, riadení a monitorovaní spoločnej poľnohospodárskej politiky a o zrušení nariadenia (EÚ) č. 1306/2013</w:t>
      </w:r>
      <w:r w:rsidR="003D2197">
        <w:rPr>
          <w:rFonts w:eastAsia="Calibri"/>
        </w:rPr>
        <w:t xml:space="preserve"> </w:t>
      </w:r>
      <w:r w:rsidR="003D2197" w:rsidRPr="003D2197">
        <w:rPr>
          <w:rFonts w:eastAsia="Calibri"/>
        </w:rPr>
        <w:t>(Ú. v. EÚ L 435, 6.12.2021) v  platnom znení</w:t>
      </w:r>
      <w:r w:rsidR="009F7060" w:rsidRPr="00E73D32">
        <w:rPr>
          <w:rFonts w:eastAsia="Calibri"/>
        </w:rPr>
        <w:t>. Uvedený rámec významnou mierou prispeje k zníženiu administratívnej záťaže</w:t>
      </w:r>
      <w:r w:rsidR="00A27570" w:rsidRPr="00E73D32">
        <w:rPr>
          <w:rFonts w:eastAsia="Calibri"/>
        </w:rPr>
        <w:t xml:space="preserve"> pre prijímateľa</w:t>
      </w:r>
      <w:r w:rsidR="009F7060" w:rsidRPr="00E73D32">
        <w:rPr>
          <w:rFonts w:eastAsia="Calibri"/>
        </w:rPr>
        <w:t>, k efektívnemu míňaniu finančných prostriedkov EÚ a k zavedeniu zjednodušenia do praxe</w:t>
      </w:r>
      <w:r w:rsidR="003621E3" w:rsidRPr="00E73D32">
        <w:t xml:space="preserve"> tým, že </w:t>
      </w:r>
      <w:r w:rsidR="003621E3" w:rsidRPr="00E73D32">
        <w:rPr>
          <w:rFonts w:eastAsia="Calibri"/>
        </w:rPr>
        <w:t xml:space="preserve">sa </w:t>
      </w:r>
      <w:r w:rsidR="003621E3" w:rsidRPr="00E73D32">
        <w:rPr>
          <w:rFonts w:eastAsia="Calibri"/>
        </w:rPr>
        <w:lastRenderedPageBreak/>
        <w:t xml:space="preserve">návrhom vymedzia prvky ako základné pojmy, ako aj pravidlá </w:t>
      </w:r>
      <w:r w:rsidR="002B2764">
        <w:rPr>
          <w:rFonts w:eastAsia="Calibri"/>
        </w:rPr>
        <w:t>udržiavania</w:t>
      </w:r>
      <w:r w:rsidR="002B2764" w:rsidRPr="00E73D32">
        <w:rPr>
          <w:rFonts w:eastAsia="Calibri"/>
        </w:rPr>
        <w:t xml:space="preserve"> </w:t>
      </w:r>
      <w:r w:rsidR="003621E3" w:rsidRPr="00E73D32">
        <w:rPr>
          <w:rFonts w:eastAsia="Calibri"/>
        </w:rPr>
        <w:t xml:space="preserve">poľnohospodárskej plochy v stave, v ktorom je vhodná na pestovanie bez prípravných činností, ktoré presahujú rámec použitia bežných poľnohospodárskych postupov a strojov a pravidlá kondicionality, v intenciách </w:t>
      </w:r>
      <w:r w:rsidR="002B2764">
        <w:rPr>
          <w:rFonts w:eastAsia="Calibri"/>
        </w:rPr>
        <w:t>S</w:t>
      </w:r>
      <w:r w:rsidR="002B2764" w:rsidRPr="00E73D32">
        <w:rPr>
          <w:rFonts w:eastAsia="Calibri"/>
        </w:rPr>
        <w:t xml:space="preserve">trategického </w:t>
      </w:r>
      <w:r w:rsidR="003621E3" w:rsidRPr="00E73D32">
        <w:rPr>
          <w:rFonts w:eastAsia="Calibri"/>
        </w:rPr>
        <w:t>plánu Spoločnej poľnohospodárskej politiky.</w:t>
      </w:r>
      <w:r w:rsidR="009F7060" w:rsidRPr="00E73D32">
        <w:rPr>
          <w:rFonts w:eastAsia="Calibri"/>
        </w:rPr>
        <w:t xml:space="preserve"> Je takisto oporou nového modelu vykonávania SPP</w:t>
      </w:r>
      <w:r w:rsidR="000E4151" w:rsidRPr="00E73D32">
        <w:rPr>
          <w:rFonts w:eastAsia="Calibri"/>
        </w:rPr>
        <w:t>.</w:t>
      </w:r>
      <w:r w:rsidR="00266C08" w:rsidRPr="00E73D32">
        <w:rPr>
          <w:rFonts w:eastAsia="Calibri"/>
        </w:rPr>
        <w:t xml:space="preserve"> </w:t>
      </w:r>
    </w:p>
    <w:sectPr w:rsidR="009F7060" w:rsidRPr="00E73D32">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72C4CE" w16cid:durableId="26D899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E302" w14:textId="77777777" w:rsidR="00C15996" w:rsidRDefault="00C15996" w:rsidP="00867233">
      <w:r>
        <w:separator/>
      </w:r>
    </w:p>
  </w:endnote>
  <w:endnote w:type="continuationSeparator" w:id="0">
    <w:p w14:paraId="0A1E4152" w14:textId="77777777" w:rsidR="00C15996" w:rsidRDefault="00C15996" w:rsidP="0086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07068"/>
      <w:docPartObj>
        <w:docPartGallery w:val="Page Numbers (Bottom of Page)"/>
        <w:docPartUnique/>
      </w:docPartObj>
    </w:sdtPr>
    <w:sdtEndPr/>
    <w:sdtContent>
      <w:p w14:paraId="71ACAA20" w14:textId="4ADFD14E" w:rsidR="00640AD6" w:rsidRPr="00836C43" w:rsidRDefault="00836C43" w:rsidP="00836C43">
        <w:pPr>
          <w:pStyle w:val="Pta"/>
          <w:jc w:val="center"/>
        </w:pPr>
        <w:r>
          <w:fldChar w:fldCharType="begin"/>
        </w:r>
        <w:r>
          <w:instrText>PAGE   \* MERGEFORMAT</w:instrText>
        </w:r>
        <w:r>
          <w:fldChar w:fldCharType="separate"/>
        </w:r>
        <w:r w:rsidR="00CB17A0">
          <w:rPr>
            <w:noProof/>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61568"/>
      <w:docPartObj>
        <w:docPartGallery w:val="Page Numbers (Bottom of Page)"/>
        <w:docPartUnique/>
      </w:docPartObj>
    </w:sdtPr>
    <w:sdtEndPr/>
    <w:sdtContent>
      <w:p w14:paraId="2648053C" w14:textId="3D14AB76" w:rsidR="00374EDB" w:rsidRDefault="00836C43" w:rsidP="00836C43">
        <w:pPr>
          <w:pStyle w:val="Pta"/>
          <w:jc w:val="center"/>
        </w:pPr>
        <w:r>
          <w:fldChar w:fldCharType="begin"/>
        </w:r>
        <w:r>
          <w:instrText>PAGE   \* MERGEFORMAT</w:instrText>
        </w:r>
        <w:r>
          <w:fldChar w:fldCharType="separate"/>
        </w:r>
        <w:r w:rsidR="00CB17A0">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E10B" w14:textId="77777777" w:rsidR="00C15996" w:rsidRDefault="00C15996" w:rsidP="00867233">
      <w:r>
        <w:separator/>
      </w:r>
    </w:p>
  </w:footnote>
  <w:footnote w:type="continuationSeparator" w:id="0">
    <w:p w14:paraId="0FA7D3A1" w14:textId="77777777" w:rsidR="00C15996" w:rsidRDefault="00C15996" w:rsidP="0086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C57"/>
    <w:multiLevelType w:val="hybridMultilevel"/>
    <w:tmpl w:val="3F5E763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958F5"/>
    <w:multiLevelType w:val="hybridMultilevel"/>
    <w:tmpl w:val="972CE18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A9138D"/>
    <w:multiLevelType w:val="hybridMultilevel"/>
    <w:tmpl w:val="C054E1C6"/>
    <w:lvl w:ilvl="0" w:tplc="041B000F">
      <w:start w:val="1"/>
      <w:numFmt w:val="decimal"/>
      <w:lvlText w:val="%1."/>
      <w:lvlJc w:val="left"/>
      <w:pPr>
        <w:ind w:left="720" w:hanging="360"/>
      </w:pPr>
    </w:lvl>
    <w:lvl w:ilvl="1" w:tplc="233ADA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E485B"/>
    <w:multiLevelType w:val="hybridMultilevel"/>
    <w:tmpl w:val="FBEC2DE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E7706"/>
    <w:multiLevelType w:val="hybridMultilevel"/>
    <w:tmpl w:val="D6A877FE"/>
    <w:lvl w:ilvl="0" w:tplc="041B0017">
      <w:start w:val="1"/>
      <w:numFmt w:val="lowerLetter"/>
      <w:lvlText w:val="%1)"/>
      <w:lvlJc w:val="left"/>
      <w:pPr>
        <w:ind w:left="1068" w:hanging="360"/>
      </w:pPr>
    </w:lvl>
    <w:lvl w:ilvl="1" w:tplc="B4E89DE2">
      <w:start w:val="8"/>
      <w:numFmt w:val="bullet"/>
      <w:lvlText w:val="-"/>
      <w:lvlJc w:val="left"/>
      <w:pPr>
        <w:ind w:left="1788" w:hanging="360"/>
      </w:pPr>
      <w:rPr>
        <w:rFonts w:ascii="Times New Roman" w:eastAsiaTheme="minorHAnsi" w:hAnsi="Times New Roman" w:cs="Times New Roman" w:hint="default"/>
      </w:r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98839A6"/>
    <w:multiLevelType w:val="hybridMultilevel"/>
    <w:tmpl w:val="8708B5F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DC4ADA"/>
    <w:multiLevelType w:val="hybridMultilevel"/>
    <w:tmpl w:val="972047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F01D64"/>
    <w:multiLevelType w:val="hybridMultilevel"/>
    <w:tmpl w:val="C3FAD070"/>
    <w:lvl w:ilvl="0" w:tplc="041B0017">
      <w:start w:val="9"/>
      <w:numFmt w:val="lowerLetter"/>
      <w:lvlText w:val="%1)"/>
      <w:lvlJc w:val="left"/>
      <w:pPr>
        <w:ind w:left="720" w:hanging="360"/>
      </w:pPr>
      <w:rPr>
        <w:rFonts w:hint="default"/>
      </w:rPr>
    </w:lvl>
    <w:lvl w:ilvl="1" w:tplc="191EEEA8">
      <w:start w:val="1"/>
      <w:numFmt w:val="decimal"/>
      <w:lvlText w:val="(%2)"/>
      <w:lvlJc w:val="left"/>
      <w:pPr>
        <w:ind w:left="653" w:hanging="3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616EA8"/>
    <w:multiLevelType w:val="hybridMultilevel"/>
    <w:tmpl w:val="8FEAA158"/>
    <w:lvl w:ilvl="0" w:tplc="F6920A08">
      <w:start w:val="1"/>
      <w:numFmt w:val="decimal"/>
      <w:lvlText w:val="(%1)"/>
      <w:lvlJc w:val="left"/>
      <w:pPr>
        <w:ind w:left="720" w:hanging="360"/>
      </w:pPr>
      <w:rPr>
        <w:rFonts w:hint="default"/>
      </w:rPr>
    </w:lvl>
    <w:lvl w:ilvl="1" w:tplc="F8BCD8F8">
      <w:start w:val="1"/>
      <w:numFmt w:val="lowerLetter"/>
      <w:lvlText w:val="%2)"/>
      <w:lvlJc w:val="left"/>
      <w:pPr>
        <w:ind w:left="1069" w:hanging="360"/>
      </w:pPr>
      <w:rPr>
        <w:rFonts w:hint="default"/>
      </w:rPr>
    </w:lvl>
    <w:lvl w:ilvl="2" w:tplc="55A2963A">
      <w:start w:val="1"/>
      <w:numFmt w:val="decimal"/>
      <w:lvlText w:val="%3."/>
      <w:lvlJc w:val="left"/>
      <w:pPr>
        <w:ind w:left="1069"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2877AA"/>
    <w:multiLevelType w:val="hybridMultilevel"/>
    <w:tmpl w:val="EF58B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8C03F2"/>
    <w:multiLevelType w:val="hybridMultilevel"/>
    <w:tmpl w:val="F04426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65751B"/>
    <w:multiLevelType w:val="hybridMultilevel"/>
    <w:tmpl w:val="A8C65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776AA0"/>
    <w:multiLevelType w:val="hybridMultilevel"/>
    <w:tmpl w:val="E7ECE084"/>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4F6E7E69"/>
    <w:multiLevelType w:val="hybridMultilevel"/>
    <w:tmpl w:val="208CEC90"/>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535624"/>
    <w:multiLevelType w:val="hybridMultilevel"/>
    <w:tmpl w:val="E500C6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E47BE8"/>
    <w:multiLevelType w:val="hybridMultilevel"/>
    <w:tmpl w:val="673614C2"/>
    <w:lvl w:ilvl="0" w:tplc="8B06DE22">
      <w:start w:val="1"/>
      <w:numFmt w:val="decimal"/>
      <w:lvlText w:val="(%1)"/>
      <w:lvlJc w:val="left"/>
      <w:pPr>
        <w:ind w:left="720" w:hanging="360"/>
      </w:pPr>
      <w:rPr>
        <w:rFonts w:hint="default"/>
      </w:rPr>
    </w:lvl>
    <w:lvl w:ilvl="1" w:tplc="041B0017">
      <w:start w:val="1"/>
      <w:numFmt w:val="lowerLetter"/>
      <w:lvlText w:val="%2)"/>
      <w:lvlJc w:val="left"/>
      <w:pPr>
        <w:ind w:left="1068" w:hanging="360"/>
      </w:pPr>
      <w:rPr>
        <w:rFonts w:hint="default"/>
      </w:rPr>
    </w:lvl>
    <w:lvl w:ilvl="2" w:tplc="EB940C9A">
      <w:start w:val="1"/>
      <w:numFmt w:val="decimal"/>
      <w:lvlText w:val="%3."/>
      <w:lvlJc w:val="left"/>
      <w:pPr>
        <w:ind w:left="1494" w:hanging="360"/>
      </w:pPr>
      <w:rPr>
        <w:rFonts w:hint="default"/>
      </w:rPr>
    </w:lvl>
    <w:lvl w:ilvl="3" w:tplc="86C6D234">
      <w:start w:val="1"/>
      <w:numFmt w:val="lowerRoman"/>
      <w:lvlText w:val="%4."/>
      <w:lvlJc w:val="left"/>
      <w:pPr>
        <w:ind w:left="2279" w:hanging="720"/>
      </w:pPr>
      <w:rPr>
        <w:rFonts w:hint="default"/>
      </w:rPr>
    </w:lvl>
    <w:lvl w:ilvl="4" w:tplc="B4E89DE2">
      <w:start w:val="8"/>
      <w:numFmt w:val="bullet"/>
      <w:lvlText w:val="-"/>
      <w:lvlJc w:val="left"/>
      <w:pPr>
        <w:ind w:left="1635" w:hanging="360"/>
      </w:pPr>
      <w:rPr>
        <w:rFonts w:ascii="Times New Roman" w:eastAsiaTheme="minorHAnsi" w:hAnsi="Times New Roman" w:cs="Times New Roman" w:hint="default"/>
      </w:rPr>
    </w:lvl>
    <w:lvl w:ilvl="5" w:tplc="80DAA938">
      <w:start w:val="1"/>
      <w:numFmt w:val="lowerRoman"/>
      <w:lvlText w:val="%6."/>
      <w:lvlJc w:val="left"/>
      <w:pPr>
        <w:ind w:left="2421" w:hanging="720"/>
      </w:pPr>
      <w:rPr>
        <w:rFonts w:ascii="Times New Roman" w:eastAsiaTheme="minorHAnsi" w:hAnsi="Times New Roman" w:cs="Times New Roman"/>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6"/>
  </w:num>
  <w:num w:numId="5">
    <w:abstractNumId w:val="7"/>
  </w:num>
  <w:num w:numId="6">
    <w:abstractNumId w:val="5"/>
  </w:num>
  <w:num w:numId="7">
    <w:abstractNumId w:val="11"/>
  </w:num>
  <w:num w:numId="8">
    <w:abstractNumId w:val="13"/>
  </w:num>
  <w:num w:numId="9">
    <w:abstractNumId w:val="3"/>
  </w:num>
  <w:num w:numId="10">
    <w:abstractNumId w:val="8"/>
  </w:num>
  <w:num w:numId="11">
    <w:abstractNumId w:val="6"/>
  </w:num>
  <w:num w:numId="12">
    <w:abstractNumId w:val="12"/>
  </w:num>
  <w:num w:numId="13">
    <w:abstractNumId w:val="15"/>
  </w:num>
  <w:num w:numId="14">
    <w:abstractNumId w:val="1"/>
  </w:num>
  <w:num w:numId="15">
    <w:abstractNumId w:val="0"/>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D"/>
    <w:rsid w:val="00005449"/>
    <w:rsid w:val="00015785"/>
    <w:rsid w:val="00020418"/>
    <w:rsid w:val="00032E84"/>
    <w:rsid w:val="00037713"/>
    <w:rsid w:val="000612D5"/>
    <w:rsid w:val="000A46DA"/>
    <w:rsid w:val="000B2CBD"/>
    <w:rsid w:val="000C6C56"/>
    <w:rsid w:val="000D7813"/>
    <w:rsid w:val="000E4151"/>
    <w:rsid w:val="000F133A"/>
    <w:rsid w:val="00106198"/>
    <w:rsid w:val="00111EF4"/>
    <w:rsid w:val="00131776"/>
    <w:rsid w:val="00156C35"/>
    <w:rsid w:val="0018067F"/>
    <w:rsid w:val="00193C03"/>
    <w:rsid w:val="001A0BC7"/>
    <w:rsid w:val="001A3A9A"/>
    <w:rsid w:val="001A4516"/>
    <w:rsid w:val="001A7E23"/>
    <w:rsid w:val="001B3755"/>
    <w:rsid w:val="001C2FFF"/>
    <w:rsid w:val="001C3DA6"/>
    <w:rsid w:val="00201AF4"/>
    <w:rsid w:val="00211C10"/>
    <w:rsid w:val="00222BF3"/>
    <w:rsid w:val="00241946"/>
    <w:rsid w:val="00255F5F"/>
    <w:rsid w:val="00264770"/>
    <w:rsid w:val="00266700"/>
    <w:rsid w:val="00266C08"/>
    <w:rsid w:val="002766B9"/>
    <w:rsid w:val="00287F01"/>
    <w:rsid w:val="00296CC5"/>
    <w:rsid w:val="002B2764"/>
    <w:rsid w:val="002C4CAC"/>
    <w:rsid w:val="002C6E1F"/>
    <w:rsid w:val="00313BAF"/>
    <w:rsid w:val="00314A9A"/>
    <w:rsid w:val="00314F94"/>
    <w:rsid w:val="00320CBC"/>
    <w:rsid w:val="00323596"/>
    <w:rsid w:val="003621E3"/>
    <w:rsid w:val="003629E5"/>
    <w:rsid w:val="00383AE2"/>
    <w:rsid w:val="00384893"/>
    <w:rsid w:val="00391D48"/>
    <w:rsid w:val="003A30C9"/>
    <w:rsid w:val="003C5AE5"/>
    <w:rsid w:val="003C6F91"/>
    <w:rsid w:val="003D1CBA"/>
    <w:rsid w:val="003D2197"/>
    <w:rsid w:val="003D2750"/>
    <w:rsid w:val="003E04B8"/>
    <w:rsid w:val="003F128E"/>
    <w:rsid w:val="00401A76"/>
    <w:rsid w:val="00402830"/>
    <w:rsid w:val="004257C5"/>
    <w:rsid w:val="0043385C"/>
    <w:rsid w:val="00442E87"/>
    <w:rsid w:val="00455C9D"/>
    <w:rsid w:val="00456AF9"/>
    <w:rsid w:val="00483D45"/>
    <w:rsid w:val="00497F15"/>
    <w:rsid w:val="004B5CA2"/>
    <w:rsid w:val="004C1AAE"/>
    <w:rsid w:val="004E7D44"/>
    <w:rsid w:val="004F734E"/>
    <w:rsid w:val="00516442"/>
    <w:rsid w:val="0052097D"/>
    <w:rsid w:val="00546705"/>
    <w:rsid w:val="00547C76"/>
    <w:rsid w:val="005742F0"/>
    <w:rsid w:val="005B2CA6"/>
    <w:rsid w:val="005D7F4F"/>
    <w:rsid w:val="005F1730"/>
    <w:rsid w:val="005F4B25"/>
    <w:rsid w:val="00622F6F"/>
    <w:rsid w:val="00640AD6"/>
    <w:rsid w:val="00646499"/>
    <w:rsid w:val="0066314C"/>
    <w:rsid w:val="006721C3"/>
    <w:rsid w:val="0068247D"/>
    <w:rsid w:val="006A22E9"/>
    <w:rsid w:val="006A3B1E"/>
    <w:rsid w:val="006C1673"/>
    <w:rsid w:val="006C64F7"/>
    <w:rsid w:val="006F31E5"/>
    <w:rsid w:val="006F6DC3"/>
    <w:rsid w:val="007223A8"/>
    <w:rsid w:val="00723A56"/>
    <w:rsid w:val="00723D8F"/>
    <w:rsid w:val="007254DC"/>
    <w:rsid w:val="00727AE8"/>
    <w:rsid w:val="00771FC6"/>
    <w:rsid w:val="00773312"/>
    <w:rsid w:val="007738C4"/>
    <w:rsid w:val="00783137"/>
    <w:rsid w:val="007B1832"/>
    <w:rsid w:val="007E6455"/>
    <w:rsid w:val="00807F70"/>
    <w:rsid w:val="00836BEB"/>
    <w:rsid w:val="00836C43"/>
    <w:rsid w:val="00843006"/>
    <w:rsid w:val="00845B8C"/>
    <w:rsid w:val="00850EF5"/>
    <w:rsid w:val="00853312"/>
    <w:rsid w:val="00857844"/>
    <w:rsid w:val="008616EA"/>
    <w:rsid w:val="00867233"/>
    <w:rsid w:val="00877D40"/>
    <w:rsid w:val="008906AD"/>
    <w:rsid w:val="00891017"/>
    <w:rsid w:val="008A18E3"/>
    <w:rsid w:val="008A30A0"/>
    <w:rsid w:val="008A4770"/>
    <w:rsid w:val="008B4FD2"/>
    <w:rsid w:val="008B6480"/>
    <w:rsid w:val="008C5472"/>
    <w:rsid w:val="008D6A1D"/>
    <w:rsid w:val="008E14F9"/>
    <w:rsid w:val="008F5373"/>
    <w:rsid w:val="0090436B"/>
    <w:rsid w:val="00910366"/>
    <w:rsid w:val="00923C0D"/>
    <w:rsid w:val="00942104"/>
    <w:rsid w:val="009436CE"/>
    <w:rsid w:val="009450B3"/>
    <w:rsid w:val="00950913"/>
    <w:rsid w:val="0095779F"/>
    <w:rsid w:val="00964904"/>
    <w:rsid w:val="00974DB0"/>
    <w:rsid w:val="00977AB5"/>
    <w:rsid w:val="00984748"/>
    <w:rsid w:val="009869FA"/>
    <w:rsid w:val="00994265"/>
    <w:rsid w:val="00995B74"/>
    <w:rsid w:val="009A39BC"/>
    <w:rsid w:val="009A3DFF"/>
    <w:rsid w:val="009B24F1"/>
    <w:rsid w:val="009B468B"/>
    <w:rsid w:val="009B589C"/>
    <w:rsid w:val="009C7BDA"/>
    <w:rsid w:val="009D071A"/>
    <w:rsid w:val="009D3E6D"/>
    <w:rsid w:val="009F7060"/>
    <w:rsid w:val="00A03B4B"/>
    <w:rsid w:val="00A1015C"/>
    <w:rsid w:val="00A27570"/>
    <w:rsid w:val="00A27AB3"/>
    <w:rsid w:val="00A31B02"/>
    <w:rsid w:val="00A342E2"/>
    <w:rsid w:val="00A444DB"/>
    <w:rsid w:val="00A658E8"/>
    <w:rsid w:val="00AA2BB1"/>
    <w:rsid w:val="00AC6125"/>
    <w:rsid w:val="00AE73D8"/>
    <w:rsid w:val="00AF14D2"/>
    <w:rsid w:val="00AF3AA5"/>
    <w:rsid w:val="00B00026"/>
    <w:rsid w:val="00B431E2"/>
    <w:rsid w:val="00B43FB8"/>
    <w:rsid w:val="00B86DD0"/>
    <w:rsid w:val="00B879C2"/>
    <w:rsid w:val="00BA19BC"/>
    <w:rsid w:val="00BA3107"/>
    <w:rsid w:val="00BA3C57"/>
    <w:rsid w:val="00BA3D2C"/>
    <w:rsid w:val="00BB6AAF"/>
    <w:rsid w:val="00BD7F8E"/>
    <w:rsid w:val="00BE670A"/>
    <w:rsid w:val="00C007E0"/>
    <w:rsid w:val="00C14B48"/>
    <w:rsid w:val="00C15996"/>
    <w:rsid w:val="00C27A4D"/>
    <w:rsid w:val="00C30603"/>
    <w:rsid w:val="00C3254B"/>
    <w:rsid w:val="00C52BEC"/>
    <w:rsid w:val="00C5584C"/>
    <w:rsid w:val="00C56DEF"/>
    <w:rsid w:val="00C62970"/>
    <w:rsid w:val="00C62C26"/>
    <w:rsid w:val="00C9603C"/>
    <w:rsid w:val="00C962F8"/>
    <w:rsid w:val="00CB17A0"/>
    <w:rsid w:val="00CB4660"/>
    <w:rsid w:val="00CD5FBE"/>
    <w:rsid w:val="00CF3142"/>
    <w:rsid w:val="00D038A0"/>
    <w:rsid w:val="00D05952"/>
    <w:rsid w:val="00D07214"/>
    <w:rsid w:val="00D1172A"/>
    <w:rsid w:val="00D32325"/>
    <w:rsid w:val="00D44045"/>
    <w:rsid w:val="00D50BAA"/>
    <w:rsid w:val="00D54E49"/>
    <w:rsid w:val="00D63B3F"/>
    <w:rsid w:val="00D67FD4"/>
    <w:rsid w:val="00D820F3"/>
    <w:rsid w:val="00DA1DC6"/>
    <w:rsid w:val="00DC4ADF"/>
    <w:rsid w:val="00DE3EC4"/>
    <w:rsid w:val="00E00F74"/>
    <w:rsid w:val="00E06BA7"/>
    <w:rsid w:val="00E101D6"/>
    <w:rsid w:val="00E1348F"/>
    <w:rsid w:val="00E135E3"/>
    <w:rsid w:val="00E3027C"/>
    <w:rsid w:val="00E304E4"/>
    <w:rsid w:val="00E6393A"/>
    <w:rsid w:val="00E65100"/>
    <w:rsid w:val="00E73D32"/>
    <w:rsid w:val="00E837FF"/>
    <w:rsid w:val="00EA0700"/>
    <w:rsid w:val="00EA105D"/>
    <w:rsid w:val="00EB2006"/>
    <w:rsid w:val="00ED3411"/>
    <w:rsid w:val="00F1748B"/>
    <w:rsid w:val="00F220F1"/>
    <w:rsid w:val="00F25000"/>
    <w:rsid w:val="00F70F0B"/>
    <w:rsid w:val="00F76953"/>
    <w:rsid w:val="00FA1C4E"/>
    <w:rsid w:val="00FB1B8D"/>
    <w:rsid w:val="00FB48BB"/>
    <w:rsid w:val="00FC6465"/>
    <w:rsid w:val="00FD2FC5"/>
    <w:rsid w:val="00FE6BA3"/>
    <w:rsid w:val="00FF5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627C"/>
  <w15:docId w15:val="{CEF7A1D5-7B35-46EF-947B-8B5681D5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A30C9"/>
    <w:pPr>
      <w:keepNext/>
      <w:keepLines/>
      <w:spacing w:before="240" w:line="259" w:lineRule="auto"/>
      <w:outlineLvl w:val="0"/>
    </w:pPr>
    <w:rPr>
      <w:rFonts w:eastAsiaTheme="majorEastAsia" w:cstheme="majorBidi"/>
      <w:b/>
      <w:sz w:val="2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067F"/>
    <w:pPr>
      <w:spacing w:after="160" w:line="259"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867233"/>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867233"/>
    <w:rPr>
      <w:sz w:val="20"/>
      <w:szCs w:val="20"/>
    </w:rPr>
  </w:style>
  <w:style w:type="character" w:styleId="Odkaznapoznmkupodiarou">
    <w:name w:val="footnote reference"/>
    <w:basedOn w:val="Predvolenpsmoodseku"/>
    <w:uiPriority w:val="99"/>
    <w:semiHidden/>
    <w:unhideWhenUsed/>
    <w:rsid w:val="00867233"/>
    <w:rPr>
      <w:vertAlign w:val="superscript"/>
    </w:rPr>
  </w:style>
  <w:style w:type="character" w:customStyle="1" w:styleId="Nadpis1Char">
    <w:name w:val="Nadpis 1 Char"/>
    <w:basedOn w:val="Predvolenpsmoodseku"/>
    <w:link w:val="Nadpis1"/>
    <w:uiPriority w:val="9"/>
    <w:rsid w:val="003A30C9"/>
    <w:rPr>
      <w:rFonts w:ascii="Times New Roman" w:eastAsiaTheme="majorEastAsia" w:hAnsi="Times New Roman" w:cstheme="majorBidi"/>
      <w:b/>
      <w:szCs w:val="32"/>
    </w:rPr>
  </w:style>
  <w:style w:type="character" w:styleId="Odkaznakomentr">
    <w:name w:val="annotation reference"/>
    <w:basedOn w:val="Predvolenpsmoodseku"/>
    <w:uiPriority w:val="99"/>
    <w:semiHidden/>
    <w:unhideWhenUsed/>
    <w:rsid w:val="00F220F1"/>
    <w:rPr>
      <w:sz w:val="16"/>
      <w:szCs w:val="16"/>
    </w:rPr>
  </w:style>
  <w:style w:type="paragraph" w:styleId="Textkomentra">
    <w:name w:val="annotation text"/>
    <w:basedOn w:val="Normlny"/>
    <w:link w:val="TextkomentraChar"/>
    <w:uiPriority w:val="99"/>
    <w:semiHidden/>
    <w:unhideWhenUsed/>
    <w:rsid w:val="00F220F1"/>
    <w:pPr>
      <w:spacing w:after="16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F220F1"/>
    <w:rPr>
      <w:sz w:val="20"/>
      <w:szCs w:val="20"/>
    </w:rPr>
  </w:style>
  <w:style w:type="paragraph" w:styleId="Predmetkomentra">
    <w:name w:val="annotation subject"/>
    <w:basedOn w:val="Textkomentra"/>
    <w:next w:val="Textkomentra"/>
    <w:link w:val="PredmetkomentraChar"/>
    <w:uiPriority w:val="99"/>
    <w:semiHidden/>
    <w:unhideWhenUsed/>
    <w:rsid w:val="00F220F1"/>
    <w:rPr>
      <w:b/>
      <w:bCs/>
    </w:rPr>
  </w:style>
  <w:style w:type="character" w:customStyle="1" w:styleId="PredmetkomentraChar">
    <w:name w:val="Predmet komentára Char"/>
    <w:basedOn w:val="TextkomentraChar"/>
    <w:link w:val="Predmetkomentra"/>
    <w:uiPriority w:val="99"/>
    <w:semiHidden/>
    <w:rsid w:val="00F220F1"/>
    <w:rPr>
      <w:b/>
      <w:bCs/>
      <w:sz w:val="20"/>
      <w:szCs w:val="20"/>
    </w:rPr>
  </w:style>
  <w:style w:type="paragraph" w:styleId="Textbubliny">
    <w:name w:val="Balloon Text"/>
    <w:basedOn w:val="Normlny"/>
    <w:link w:val="TextbublinyChar"/>
    <w:uiPriority w:val="99"/>
    <w:semiHidden/>
    <w:unhideWhenUsed/>
    <w:rsid w:val="00F220F1"/>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F220F1"/>
    <w:rPr>
      <w:rFonts w:ascii="Segoe UI" w:hAnsi="Segoe UI" w:cs="Segoe UI"/>
      <w:sz w:val="18"/>
      <w:szCs w:val="18"/>
    </w:rPr>
  </w:style>
  <w:style w:type="paragraph" w:styleId="Hlavika">
    <w:name w:val="header"/>
    <w:basedOn w:val="Normlny"/>
    <w:link w:val="HlavikaChar"/>
    <w:uiPriority w:val="99"/>
    <w:unhideWhenUsed/>
    <w:rsid w:val="008F5373"/>
    <w:pPr>
      <w:tabs>
        <w:tab w:val="center" w:pos="4536"/>
        <w:tab w:val="right" w:pos="9072"/>
      </w:tabs>
    </w:pPr>
  </w:style>
  <w:style w:type="character" w:customStyle="1" w:styleId="HlavikaChar">
    <w:name w:val="Hlavička Char"/>
    <w:basedOn w:val="Predvolenpsmoodseku"/>
    <w:link w:val="Hlavika"/>
    <w:uiPriority w:val="99"/>
    <w:rsid w:val="008F537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F5373"/>
    <w:pPr>
      <w:tabs>
        <w:tab w:val="center" w:pos="4536"/>
        <w:tab w:val="right" w:pos="9072"/>
      </w:tabs>
    </w:pPr>
  </w:style>
  <w:style w:type="character" w:customStyle="1" w:styleId="PtaChar">
    <w:name w:val="Päta Char"/>
    <w:basedOn w:val="Predvolenpsmoodseku"/>
    <w:link w:val="Pta"/>
    <w:uiPriority w:val="99"/>
    <w:rsid w:val="008F5373"/>
    <w:rPr>
      <w:rFonts w:ascii="Times New Roman" w:eastAsia="Times New Roman" w:hAnsi="Times New Roman" w:cs="Times New Roman"/>
      <w:sz w:val="20"/>
      <w:szCs w:val="20"/>
      <w:lang w:eastAsia="sk-SK"/>
    </w:rPr>
  </w:style>
  <w:style w:type="paragraph" w:customStyle="1" w:styleId="ql-align-justify">
    <w:name w:val="ql-align-justify"/>
    <w:basedOn w:val="Normlny"/>
    <w:rsid w:val="008F5373"/>
    <w:rPr>
      <w:sz w:val="24"/>
      <w:szCs w:val="24"/>
      <w:lang w:val="en-US" w:eastAsia="en-US"/>
    </w:rPr>
  </w:style>
  <w:style w:type="paragraph" w:styleId="Bezriadkovania">
    <w:name w:val="No Spacing"/>
    <w:uiPriority w:val="1"/>
    <w:qFormat/>
    <w:rsid w:val="008F5373"/>
    <w:pPr>
      <w:spacing w:after="0" w:line="240" w:lineRule="auto"/>
    </w:pPr>
    <w:rPr>
      <w:rFonts w:ascii="Times New Roman" w:eastAsia="Times New Roman" w:hAnsi="Times New Roman" w:cs="Times New Roman"/>
      <w:sz w:val="20"/>
      <w:szCs w:val="20"/>
      <w:lang w:eastAsia="sk-SK"/>
    </w:rPr>
  </w:style>
  <w:style w:type="table" w:customStyle="1" w:styleId="Mriekatabuky2">
    <w:name w:val="Mriežka tabuľky2"/>
    <w:basedOn w:val="Normlnatabuka"/>
    <w:next w:val="Mriekatabuky"/>
    <w:uiPriority w:val="5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4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3254B"/>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lepsia-regulacia/regulacne-zatazenie/kalkulacka-nakladov-regula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3533-9EFA-4017-8A49-8AB1695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Benová Tímea</cp:lastModifiedBy>
  <cp:revision>5</cp:revision>
  <cp:lastPrinted>2022-11-09T09:37:00Z</cp:lastPrinted>
  <dcterms:created xsi:type="dcterms:W3CDTF">2022-11-04T05:57:00Z</dcterms:created>
  <dcterms:modified xsi:type="dcterms:W3CDTF">2022-11-09T09:37:00Z</dcterms:modified>
</cp:coreProperties>
</file>