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C5385F">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C5385F">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C5385F">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C5385F">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C5385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1834D2" w:rsidRDefault="002644DE" w:rsidP="002644DE">
            <w:pPr>
              <w:spacing w:after="0" w:line="240" w:lineRule="auto"/>
              <w:jc w:val="both"/>
              <w:rPr>
                <w:rFonts w:ascii="Times New Roman" w:eastAsia="Calibri" w:hAnsi="Times New Roman" w:cs="Times New Roman"/>
                <w:i/>
                <w:sz w:val="18"/>
                <w:szCs w:val="18"/>
                <w:lang w:eastAsia="sk-SK"/>
              </w:rPr>
            </w:pPr>
            <w:r w:rsidRPr="001834D2">
              <w:rPr>
                <w:rFonts w:ascii="Times New Roman" w:eastAsia="Calibri" w:hAnsi="Times New Roman" w:cs="Times New Roman"/>
                <w:b/>
                <w:i/>
                <w:sz w:val="18"/>
                <w:szCs w:val="18"/>
                <w:lang w:eastAsia="sk-SK"/>
              </w:rPr>
              <w:t xml:space="preserve">Popíšte </w:t>
            </w:r>
            <w:r w:rsidRPr="001834D2">
              <w:rPr>
                <w:rFonts w:ascii="Times New Roman" w:eastAsia="Calibri" w:hAnsi="Times New Roman" w:cs="Times New Roman"/>
                <w:i/>
                <w:sz w:val="18"/>
                <w:szCs w:val="18"/>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5F516B" w:rsidRDefault="000A1F04" w:rsidP="005F516B">
            <w:pPr>
              <w:shd w:val="clear" w:color="auto" w:fill="FFFFFF"/>
              <w:spacing w:before="100" w:beforeAutospacing="1" w:after="0" w:line="240" w:lineRule="auto"/>
              <w:jc w:val="both"/>
              <w:rPr>
                <w:rFonts w:ascii="Times New Roman" w:hAnsi="Times New Roman" w:cs="Times New Roman"/>
                <w:sz w:val="20"/>
                <w:szCs w:val="20"/>
              </w:rPr>
            </w:pPr>
            <w:r w:rsidRPr="001834D2">
              <w:rPr>
                <w:rFonts w:ascii="Times New Roman" w:hAnsi="Times New Roman" w:cs="Times New Roman"/>
                <w:sz w:val="20"/>
                <w:szCs w:val="20"/>
              </w:rPr>
              <w:t xml:space="preserve">Návrhom zákona, </w:t>
            </w:r>
            <w:r w:rsidR="001834D2" w:rsidRPr="001834D2">
              <w:rPr>
                <w:rFonts w:ascii="Times New Roman" w:hAnsi="Times New Roman" w:cs="Times New Roman"/>
                <w:bCs/>
                <w:color w:val="222222"/>
                <w:sz w:val="20"/>
                <w:szCs w:val="20"/>
                <w:lang w:eastAsia="sk-SK"/>
              </w:rPr>
              <w:t xml:space="preserve">ktorým sa dopĺňa zákon </w:t>
            </w:r>
            <w:r w:rsidR="001834D2" w:rsidRPr="001834D2">
              <w:rPr>
                <w:rFonts w:ascii="Times New Roman" w:hAnsi="Times New Roman" w:cs="Times New Roman"/>
                <w:bCs/>
                <w:color w:val="070707"/>
                <w:sz w:val="20"/>
                <w:szCs w:val="20"/>
                <w:lang w:eastAsia="sk-SK"/>
              </w:rPr>
              <w:t>č. 289/2008 Z. z. o používaní elektronickej registračnej pokladnice a o zmene a doplnení zákona Slovenskej národnej rady č. 511/1992 Zb. o správe daní a poplatkov a o zmenách v sústave územných finančných orgánov v znení neskorších predpisov</w:t>
            </w:r>
            <w:r w:rsidR="00647E0E">
              <w:rPr>
                <w:rFonts w:ascii="Times New Roman" w:hAnsi="Times New Roman" w:cs="Times New Roman"/>
                <w:bCs/>
                <w:color w:val="070707"/>
                <w:sz w:val="20"/>
                <w:szCs w:val="20"/>
                <w:lang w:eastAsia="sk-SK"/>
              </w:rPr>
              <w:t xml:space="preserve"> v znení neskorších predpisov</w:t>
            </w:r>
            <w:r w:rsidR="001834D2" w:rsidRPr="001834D2">
              <w:rPr>
                <w:rFonts w:ascii="Times New Roman" w:hAnsi="Times New Roman" w:cs="Times New Roman"/>
                <w:b/>
                <w:bCs/>
                <w:color w:val="070707"/>
                <w:sz w:val="20"/>
                <w:szCs w:val="20"/>
                <w:lang w:eastAsia="sk-SK"/>
              </w:rPr>
              <w:t xml:space="preserve"> </w:t>
            </w:r>
            <w:r w:rsidRPr="001834D2">
              <w:rPr>
                <w:rFonts w:ascii="Times New Roman" w:hAnsi="Times New Roman" w:cs="Times New Roman"/>
                <w:sz w:val="20"/>
                <w:szCs w:val="20"/>
              </w:rPr>
              <w:t xml:space="preserve">sa zavádza opatrenie, </w:t>
            </w:r>
            <w:r w:rsidR="005F516B">
              <w:rPr>
                <w:rFonts w:ascii="Times New Roman" w:hAnsi="Times New Roman" w:cs="Times New Roman"/>
                <w:sz w:val="20"/>
                <w:szCs w:val="20"/>
              </w:rPr>
              <w:t>ktorého cieľom je eliminácia krátenia prijatých tržieb, ktorá sa dosiahne verejnou kontrolou zo strany zákazníkov a</w:t>
            </w:r>
            <w:r w:rsidR="007E5077">
              <w:rPr>
                <w:rFonts w:ascii="Times New Roman" w:hAnsi="Times New Roman" w:cs="Times New Roman"/>
                <w:sz w:val="20"/>
                <w:szCs w:val="20"/>
              </w:rPr>
              <w:t> </w:t>
            </w:r>
            <w:r w:rsidR="00C17843">
              <w:rPr>
                <w:rFonts w:ascii="Times New Roman" w:hAnsi="Times New Roman" w:cs="Times New Roman"/>
                <w:sz w:val="20"/>
                <w:szCs w:val="20"/>
              </w:rPr>
              <w:t>zvýšením</w:t>
            </w:r>
            <w:r w:rsidR="007E5077">
              <w:rPr>
                <w:rFonts w:ascii="Times New Roman" w:hAnsi="Times New Roman" w:cs="Times New Roman"/>
                <w:sz w:val="20"/>
                <w:szCs w:val="20"/>
              </w:rPr>
              <w:t xml:space="preserve"> </w:t>
            </w:r>
            <w:r w:rsidR="00C17843">
              <w:rPr>
                <w:rFonts w:ascii="Times New Roman" w:hAnsi="Times New Roman" w:cs="Times New Roman"/>
                <w:sz w:val="20"/>
                <w:szCs w:val="20"/>
              </w:rPr>
              <w:t>motivácie</w:t>
            </w:r>
            <w:r w:rsidR="005F516B">
              <w:rPr>
                <w:rFonts w:ascii="Times New Roman" w:hAnsi="Times New Roman" w:cs="Times New Roman"/>
                <w:sz w:val="20"/>
                <w:szCs w:val="20"/>
              </w:rPr>
              <w:t xml:space="preserve"> podnikateľov dodržiavať ustanovenia zákona o používaní elektronickej registračnej pokladnice.</w:t>
            </w:r>
          </w:p>
          <w:p w:rsidR="005F516B" w:rsidRDefault="005F516B" w:rsidP="005F516B">
            <w:pPr>
              <w:shd w:val="clear" w:color="auto" w:fill="FFFFFF"/>
              <w:spacing w:before="100" w:beforeAutospacing="1"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0A1F04" w:rsidRPr="001834D2">
              <w:rPr>
                <w:rFonts w:ascii="Times New Roman" w:hAnsi="Times New Roman" w:cs="Times New Roman"/>
                <w:sz w:val="20"/>
                <w:szCs w:val="20"/>
              </w:rPr>
              <w:t>o splnení určitých vopred stanovených podmienok</w:t>
            </w:r>
            <w:r>
              <w:rPr>
                <w:rFonts w:ascii="Times New Roman" w:hAnsi="Times New Roman" w:cs="Times New Roman"/>
                <w:sz w:val="20"/>
                <w:szCs w:val="20"/>
              </w:rPr>
              <w:t xml:space="preserve"> sa bude</w:t>
            </w:r>
            <w:r w:rsidR="000A1F04" w:rsidRPr="001834D2">
              <w:rPr>
                <w:rFonts w:ascii="Times New Roman" w:hAnsi="Times New Roman" w:cs="Times New Roman"/>
                <w:sz w:val="20"/>
                <w:szCs w:val="20"/>
              </w:rPr>
              <w:t xml:space="preserve"> kompenzovať konečným spotrebiteľom vopred určených tovarov a služieb, t.j. fyzick</w:t>
            </w:r>
            <w:r>
              <w:rPr>
                <w:rFonts w:ascii="Times New Roman" w:hAnsi="Times New Roman" w:cs="Times New Roman"/>
                <w:sz w:val="20"/>
                <w:szCs w:val="20"/>
              </w:rPr>
              <w:t>ým osobám ako zákazníkom, určitá suma z výdavkov vynaložených</w:t>
            </w:r>
            <w:r w:rsidR="000A1F04" w:rsidRPr="001834D2">
              <w:rPr>
                <w:rFonts w:ascii="Times New Roman" w:hAnsi="Times New Roman" w:cs="Times New Roman"/>
                <w:sz w:val="20"/>
                <w:szCs w:val="20"/>
              </w:rPr>
              <w:t xml:space="preserve"> na ich poskytnutie. </w:t>
            </w:r>
          </w:p>
          <w:p w:rsidR="00B10037" w:rsidRPr="005F516B" w:rsidRDefault="000A1F04" w:rsidP="0092601B">
            <w:pPr>
              <w:shd w:val="clear" w:color="auto" w:fill="FFFFFF"/>
              <w:spacing w:before="100" w:beforeAutospacing="1" w:after="0" w:line="240" w:lineRule="auto"/>
              <w:jc w:val="both"/>
              <w:rPr>
                <w:rFonts w:ascii="Times New Roman" w:hAnsi="Times New Roman" w:cs="Times New Roman"/>
                <w:sz w:val="20"/>
                <w:szCs w:val="20"/>
              </w:rPr>
            </w:pPr>
            <w:r w:rsidRPr="001834D2">
              <w:rPr>
                <w:rFonts w:ascii="Times New Roman" w:hAnsi="Times New Roman" w:cs="Times New Roman"/>
                <w:sz w:val="20"/>
                <w:szCs w:val="20"/>
              </w:rPr>
              <w:t>Využitie navrhovaného opatrenia bude následne zodpovedať aj zníženiu výdavkov zákazníkov, ktorí budú môcť v tejto súvislosti využívať tovary a služby častejšie. Vopred určené tovary a služby sa tak stanú cenovo dostupnejšie aj pre rodiny</w:t>
            </w:r>
            <w:r w:rsidRPr="001059E7">
              <w:rPr>
                <w:rFonts w:ascii="Times New Roman" w:hAnsi="Times New Roman" w:cs="Times New Roman"/>
                <w:sz w:val="20"/>
                <w:szCs w:val="20"/>
              </w:rPr>
              <w:t>.</w:t>
            </w:r>
            <w:r w:rsidR="009B3580" w:rsidRPr="009B3580">
              <w:rPr>
                <w:rStyle w:val="awspan"/>
                <w:rFonts w:ascii="Times New Roman" w:hAnsi="Times New Roman" w:cs="Times New Roman"/>
                <w:color w:val="000000"/>
                <w:sz w:val="20"/>
                <w:szCs w:val="20"/>
              </w:rPr>
              <w:t xml:space="preserve"> </w:t>
            </w:r>
          </w:p>
        </w:tc>
      </w:tr>
      <w:tr w:rsidR="002644DE" w:rsidRPr="002644DE" w:rsidTr="00B548AE">
        <w:trPr>
          <w:trHeight w:val="739"/>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04261" w:rsidRPr="00C306B0" w:rsidRDefault="00204261" w:rsidP="00204261">
            <w:pPr>
              <w:spacing w:after="0" w:line="240" w:lineRule="auto"/>
              <w:rPr>
                <w:rFonts w:ascii="Times New Roman" w:eastAsia="Calibri" w:hAnsi="Times New Roman" w:cs="Times New Roman"/>
                <w:i/>
                <w:sz w:val="20"/>
                <w:szCs w:val="20"/>
                <w:lang w:eastAsia="sk-SK"/>
              </w:rPr>
            </w:pPr>
            <w:r w:rsidRPr="00C306B0">
              <w:rPr>
                <w:rFonts w:ascii="Times New Roman" w:eastAsia="Calibri" w:hAnsi="Times New Roman" w:cs="Times New Roman"/>
                <w:i/>
                <w:sz w:val="20"/>
                <w:szCs w:val="20"/>
                <w:lang w:eastAsia="sk-SK"/>
              </w:rPr>
              <w:t xml:space="preserve">Ovplyvnená skupina č. 1  </w:t>
            </w:r>
          </w:p>
          <w:p w:rsidR="002644DE" w:rsidRPr="00204261" w:rsidRDefault="00BA4002" w:rsidP="00122A4A">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sz w:val="20"/>
                <w:szCs w:val="20"/>
                <w:lang w:eastAsia="sk-SK"/>
              </w:rPr>
              <w:t xml:space="preserve">Fyzické osoby ako zákazníci pri spotrebe tovarov a služieb. </w:t>
            </w:r>
          </w:p>
        </w:tc>
      </w:tr>
      <w:tr w:rsidR="00204261" w:rsidRPr="002644DE" w:rsidTr="00C5385F">
        <w:trPr>
          <w:trHeight w:val="397"/>
          <w:jc w:val="center"/>
        </w:trPr>
        <w:tc>
          <w:tcPr>
            <w:tcW w:w="129" w:type="pct"/>
            <w:vMerge/>
            <w:tcBorders>
              <w:top w:val="single" w:sz="4" w:space="0" w:color="auto"/>
            </w:tcBorders>
            <w:shd w:val="clear" w:color="auto" w:fill="auto"/>
            <w:vAlign w:val="center"/>
          </w:tcPr>
          <w:p w:rsidR="00204261" w:rsidRPr="002644DE" w:rsidRDefault="00204261" w:rsidP="002644DE">
            <w:pPr>
              <w:spacing w:after="0" w:line="240" w:lineRule="auto"/>
              <w:jc w:val="center"/>
              <w:rPr>
                <w:rFonts w:ascii="Times New Roman" w:eastAsia="Calibri" w:hAnsi="Times New Roman" w:cs="Times New Roman"/>
                <w:i/>
                <w:sz w:val="18"/>
                <w:szCs w:val="18"/>
                <w:lang w:eastAsia="sk-SK"/>
              </w:rPr>
            </w:pPr>
          </w:p>
        </w:tc>
        <w:tc>
          <w:tcPr>
            <w:tcW w:w="1642" w:type="pct"/>
            <w:tcBorders>
              <w:top w:val="single" w:sz="4" w:space="0" w:color="auto"/>
            </w:tcBorders>
            <w:shd w:val="clear" w:color="auto" w:fill="auto"/>
          </w:tcPr>
          <w:p w:rsidR="00FB38E8" w:rsidRPr="00C306B0" w:rsidRDefault="00B548AE" w:rsidP="00FB38E8">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Ovplyvnená skupina č. 3</w:t>
            </w:r>
          </w:p>
          <w:p w:rsidR="00204261" w:rsidRPr="002644DE" w:rsidRDefault="00204261" w:rsidP="00B548AE">
            <w:pPr>
              <w:spacing w:after="0" w:line="240" w:lineRule="auto"/>
              <w:rPr>
                <w:rFonts w:ascii="Times New Roman" w:eastAsia="Calibri" w:hAnsi="Times New Roman" w:cs="Times New Roman"/>
                <w:b/>
                <w:i/>
                <w:sz w:val="20"/>
                <w:szCs w:val="20"/>
                <w:lang w:eastAsia="sk-SK"/>
              </w:rPr>
            </w:pPr>
          </w:p>
        </w:tc>
        <w:tc>
          <w:tcPr>
            <w:tcW w:w="3229" w:type="pct"/>
            <w:tcBorders>
              <w:top w:val="single" w:sz="4" w:space="0" w:color="auto"/>
            </w:tcBorders>
            <w:shd w:val="clear" w:color="auto" w:fill="auto"/>
          </w:tcPr>
          <w:p w:rsidR="00204261" w:rsidRPr="00C306B0" w:rsidRDefault="00B548AE" w:rsidP="00204261">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Ovplyvnená skupina č. 2</w:t>
            </w:r>
          </w:p>
          <w:p w:rsidR="00671B4B" w:rsidRPr="00B10037" w:rsidRDefault="00671B4B" w:rsidP="00B10037">
            <w:pPr>
              <w:spacing w:after="0" w:line="240" w:lineRule="auto"/>
              <w:rPr>
                <w:rFonts w:ascii="Times New Roman" w:eastAsia="Calibri" w:hAnsi="Times New Roman" w:cs="Times New Roman"/>
                <w:sz w:val="20"/>
                <w:szCs w:val="20"/>
                <w:lang w:eastAsia="sk-SK"/>
              </w:rPr>
            </w:pPr>
          </w:p>
        </w:tc>
      </w:tr>
      <w:tr w:rsidR="002644DE" w:rsidRPr="002644DE" w:rsidTr="00C5385F">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C5385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671B4B" w:rsidRPr="002644DE" w:rsidRDefault="00BA4002" w:rsidP="00793182">
            <w:pPr>
              <w:spacing w:after="0" w:line="240" w:lineRule="auto"/>
              <w:rPr>
                <w:rFonts w:ascii="Times New Roman" w:eastAsia="Calibri" w:hAnsi="Times New Roman" w:cs="Times New Roman"/>
                <w:sz w:val="20"/>
                <w:szCs w:val="20"/>
                <w:lang w:eastAsia="sk-SK"/>
              </w:rPr>
            </w:pPr>
            <w:r w:rsidRPr="000A7051">
              <w:rPr>
                <w:rFonts w:ascii="Times New Roman" w:eastAsia="Calibri" w:hAnsi="Times New Roman" w:cs="Times New Roman"/>
                <w:sz w:val="20"/>
                <w:szCs w:val="20"/>
                <w:lang w:eastAsia="sk-SK"/>
              </w:rPr>
              <w:t xml:space="preserve">Predpokladá sa </w:t>
            </w:r>
            <w:r>
              <w:rPr>
                <w:rFonts w:ascii="Times New Roman" w:eastAsia="Calibri" w:hAnsi="Times New Roman" w:cs="Times New Roman"/>
                <w:sz w:val="20"/>
                <w:szCs w:val="20"/>
                <w:lang w:eastAsia="sk-SK"/>
              </w:rPr>
              <w:t>kompenzovanie</w:t>
            </w:r>
            <w:r w:rsidRPr="000A7051">
              <w:rPr>
                <w:rFonts w:ascii="Times New Roman" w:eastAsia="Calibri" w:hAnsi="Times New Roman" w:cs="Times New Roman"/>
                <w:sz w:val="20"/>
                <w:szCs w:val="20"/>
                <w:lang w:eastAsia="sk-SK"/>
              </w:rPr>
              <w:t xml:space="preserve"> cien </w:t>
            </w:r>
            <w:r>
              <w:rPr>
                <w:rFonts w:ascii="Times New Roman" w:eastAsia="Calibri" w:hAnsi="Times New Roman" w:cs="Times New Roman"/>
                <w:sz w:val="20"/>
                <w:szCs w:val="20"/>
                <w:lang w:eastAsia="sk-SK"/>
              </w:rPr>
              <w:t>tovarov a</w:t>
            </w:r>
            <w:r w:rsidRPr="000A7051">
              <w:rPr>
                <w:rFonts w:ascii="Times New Roman" w:eastAsia="Calibri" w:hAnsi="Times New Roman" w:cs="Times New Roman"/>
                <w:sz w:val="20"/>
                <w:szCs w:val="20"/>
                <w:lang w:eastAsia="sk-SK"/>
              </w:rPr>
              <w:t xml:space="preserve"> služieb, čím sa </w:t>
            </w:r>
            <w:r>
              <w:rPr>
                <w:rFonts w:ascii="Times New Roman" w:eastAsia="Calibri" w:hAnsi="Times New Roman" w:cs="Times New Roman"/>
                <w:sz w:val="20"/>
                <w:szCs w:val="20"/>
                <w:lang w:eastAsia="sk-SK"/>
              </w:rPr>
              <w:t xml:space="preserve">zákazníkom, resp. návštevníkom </w:t>
            </w:r>
            <w:r w:rsidRPr="000A7051">
              <w:rPr>
                <w:rFonts w:ascii="Times New Roman" w:eastAsia="Calibri" w:hAnsi="Times New Roman" w:cs="Times New Roman"/>
                <w:sz w:val="20"/>
                <w:szCs w:val="20"/>
                <w:lang w:eastAsia="sk-SK"/>
              </w:rPr>
              <w:t>znížia výdavky.</w:t>
            </w:r>
            <w:r>
              <w:rPr>
                <w:rFonts w:ascii="Times New Roman" w:eastAsia="Calibri" w:hAnsi="Times New Roman" w:cs="Times New Roman"/>
                <w:sz w:val="20"/>
                <w:szCs w:val="20"/>
                <w:lang w:eastAsia="sk-SK"/>
              </w:rPr>
              <w:t xml:space="preserve"> </w:t>
            </w:r>
          </w:p>
        </w:tc>
      </w:tr>
      <w:tr w:rsidR="00671B4B" w:rsidRPr="002644DE" w:rsidTr="00BA4002">
        <w:trPr>
          <w:trHeight w:val="359"/>
          <w:jc w:val="center"/>
        </w:trPr>
        <w:tc>
          <w:tcPr>
            <w:tcW w:w="129" w:type="pct"/>
            <w:vMerge/>
            <w:tcBorders>
              <w:top w:val="dotted" w:sz="4" w:space="0" w:color="auto"/>
            </w:tcBorders>
            <w:shd w:val="clear" w:color="auto" w:fill="auto"/>
            <w:vAlign w:val="center"/>
          </w:tcPr>
          <w:p w:rsidR="00671B4B" w:rsidRPr="002644DE" w:rsidRDefault="00671B4B" w:rsidP="002644DE">
            <w:pPr>
              <w:spacing w:after="0" w:line="240" w:lineRule="auto"/>
              <w:jc w:val="center"/>
              <w:rPr>
                <w:rFonts w:ascii="Times New Roman" w:eastAsia="Calibri" w:hAnsi="Times New Roman" w:cs="Times New Roman"/>
                <w:i/>
                <w:sz w:val="18"/>
                <w:szCs w:val="18"/>
                <w:lang w:eastAsia="sk-SK"/>
              </w:rPr>
            </w:pPr>
          </w:p>
        </w:tc>
        <w:tc>
          <w:tcPr>
            <w:tcW w:w="1642" w:type="pct"/>
            <w:tcBorders>
              <w:top w:val="dotted" w:sz="4" w:space="0" w:color="auto"/>
            </w:tcBorders>
            <w:shd w:val="clear" w:color="auto" w:fill="auto"/>
          </w:tcPr>
          <w:p w:rsidR="00671B4B" w:rsidRDefault="00B548AE" w:rsidP="00671B4B">
            <w:pPr>
              <w:spacing w:after="0" w:line="240" w:lineRule="auto"/>
              <w:contextualSpacing/>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FB38E8" w:rsidRPr="002644DE" w:rsidRDefault="00FB38E8" w:rsidP="00B548AE">
            <w:pPr>
              <w:spacing w:after="0" w:line="240" w:lineRule="auto"/>
              <w:contextualSpacing/>
              <w:jc w:val="both"/>
              <w:rPr>
                <w:rFonts w:ascii="Times New Roman" w:eastAsia="Calibri" w:hAnsi="Times New Roman" w:cs="Times New Roman"/>
                <w:i/>
                <w:sz w:val="18"/>
                <w:szCs w:val="20"/>
                <w:lang w:eastAsia="sk-SK"/>
              </w:rPr>
            </w:pPr>
          </w:p>
        </w:tc>
        <w:tc>
          <w:tcPr>
            <w:tcW w:w="3229" w:type="pct"/>
            <w:tcBorders>
              <w:top w:val="dotted" w:sz="4" w:space="0" w:color="auto"/>
            </w:tcBorders>
            <w:shd w:val="clear" w:color="auto" w:fill="auto"/>
          </w:tcPr>
          <w:p w:rsidR="00445D37" w:rsidRDefault="00B548AE"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C5385F">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C5385F">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C5385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C5385F">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C5385F">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C5385F">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C5385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C5385F">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C5385F">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C5385F">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C5385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540F25" w:rsidRDefault="002644DE" w:rsidP="002644DE">
            <w:pPr>
              <w:spacing w:after="0" w:line="240" w:lineRule="auto"/>
              <w:jc w:val="both"/>
              <w:rPr>
                <w:rFonts w:ascii="Times New Roman" w:eastAsia="Calibri" w:hAnsi="Times New Roman" w:cs="Times New Roman"/>
                <w:i/>
                <w:sz w:val="20"/>
                <w:szCs w:val="20"/>
                <w:lang w:eastAsia="sk-SK"/>
              </w:rPr>
            </w:pPr>
            <w:r w:rsidRPr="00540F25">
              <w:rPr>
                <w:rFonts w:ascii="Times New Roman" w:eastAsia="Calibri" w:hAnsi="Times New Roman" w:cs="Times New Roman"/>
                <w:b/>
                <w:i/>
                <w:sz w:val="20"/>
                <w:szCs w:val="20"/>
                <w:lang w:eastAsia="sk-SK"/>
              </w:rPr>
              <w:t xml:space="preserve">Popíšte </w:t>
            </w:r>
            <w:r w:rsidRPr="00540F25">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8F0B87" w:rsidRPr="00540F25" w:rsidRDefault="008F0B87" w:rsidP="00BA4002">
            <w:pPr>
              <w:spacing w:after="0" w:line="240" w:lineRule="auto"/>
              <w:contextualSpacing/>
              <w:rPr>
                <w:rFonts w:ascii="Times New Roman" w:eastAsia="Calibri" w:hAnsi="Times New Roman" w:cs="Times New Roman"/>
                <w:sz w:val="20"/>
                <w:szCs w:val="20"/>
                <w:lang w:eastAsia="sk-SK"/>
              </w:rPr>
            </w:pPr>
          </w:p>
        </w:tc>
      </w:tr>
      <w:tr w:rsidR="002644DE" w:rsidRPr="002644DE" w:rsidTr="00C5385F">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540F25" w:rsidRPr="002644DE" w:rsidRDefault="00540F25" w:rsidP="002644DE">
            <w:pPr>
              <w:spacing w:after="0" w:line="240" w:lineRule="auto"/>
              <w:contextualSpacing/>
              <w:rPr>
                <w:rFonts w:ascii="Times New Roman" w:eastAsia="Calibri" w:hAnsi="Times New Roman" w:cs="Times New Roman"/>
                <w:i/>
                <w:sz w:val="20"/>
                <w:szCs w:val="20"/>
                <w:lang w:eastAsia="sk-SK"/>
              </w:rPr>
            </w:pPr>
          </w:p>
        </w:tc>
      </w:tr>
      <w:tr w:rsidR="002644DE" w:rsidRPr="002644DE" w:rsidTr="00C5385F">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Default="00540F25"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540F25" w:rsidRPr="002644DE" w:rsidRDefault="00540F25" w:rsidP="002644DE">
            <w:pPr>
              <w:spacing w:after="0" w:line="240" w:lineRule="auto"/>
              <w:rPr>
                <w:rFonts w:ascii="Times New Roman" w:eastAsia="Calibri" w:hAnsi="Times New Roman" w:cs="Times New Roman"/>
                <w:i/>
                <w:sz w:val="20"/>
                <w:szCs w:val="20"/>
                <w:lang w:eastAsia="sk-SK"/>
              </w:rPr>
            </w:pPr>
          </w:p>
        </w:tc>
        <w:tc>
          <w:tcPr>
            <w:tcW w:w="3229" w:type="pct"/>
            <w:tcBorders>
              <w:top w:val="dotted" w:sz="4" w:space="0" w:color="auto"/>
              <w:bottom w:val="single" w:sz="4" w:space="0" w:color="auto"/>
            </w:tcBorders>
            <w:shd w:val="clear" w:color="auto" w:fill="auto"/>
          </w:tcPr>
          <w:p w:rsidR="002644DE" w:rsidRDefault="00540F25"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3</w:t>
            </w:r>
          </w:p>
          <w:p w:rsidR="00F602F8" w:rsidRPr="002644DE" w:rsidRDefault="00F602F8" w:rsidP="002644DE">
            <w:pPr>
              <w:spacing w:after="0" w:line="240" w:lineRule="auto"/>
              <w:rPr>
                <w:rFonts w:ascii="Times New Roman" w:eastAsia="Calibri" w:hAnsi="Times New Roman" w:cs="Times New Roman"/>
                <w:sz w:val="20"/>
                <w:szCs w:val="20"/>
                <w:lang w:eastAsia="sk-SK"/>
              </w:rPr>
            </w:pPr>
          </w:p>
        </w:tc>
      </w:tr>
      <w:tr w:rsidR="002644DE" w:rsidRPr="002644DE" w:rsidTr="00C5385F">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C5385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6111EE" w:rsidRPr="002644DE" w:rsidRDefault="006111EE" w:rsidP="002644DE">
            <w:pPr>
              <w:spacing w:after="0" w:line="240" w:lineRule="auto"/>
              <w:rPr>
                <w:rFonts w:ascii="Times New Roman" w:eastAsia="Calibri" w:hAnsi="Times New Roman" w:cs="Times New Roman"/>
                <w:sz w:val="20"/>
                <w:szCs w:val="20"/>
                <w:lang w:eastAsia="sk-SK"/>
              </w:rPr>
            </w:pPr>
          </w:p>
        </w:tc>
      </w:tr>
      <w:tr w:rsidR="002644DE" w:rsidRPr="002644DE" w:rsidTr="00C5385F">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B548AE"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F602F8" w:rsidRPr="00B548AE" w:rsidRDefault="00636449" w:rsidP="00F602F8">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C5385F">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C5385F">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C5385F">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C5385F">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C5385F">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C5385F">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C5385F">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C5385F">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C5385F">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C5385F">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C5385F">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C5385F">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C5385F">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671B4B" w:rsidRPr="002644DE" w:rsidRDefault="00671B4B" w:rsidP="00671B4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Zavedením </w:t>
            </w:r>
            <w:r w:rsidRPr="001059E7">
              <w:rPr>
                <w:rFonts w:ascii="Times New Roman" w:hAnsi="Times New Roman" w:cs="Times New Roman"/>
                <w:sz w:val="20"/>
                <w:szCs w:val="20"/>
              </w:rPr>
              <w:t>opatreni</w:t>
            </w:r>
            <w:r>
              <w:rPr>
                <w:rFonts w:ascii="Times New Roman" w:hAnsi="Times New Roman" w:cs="Times New Roman"/>
                <w:sz w:val="20"/>
                <w:szCs w:val="20"/>
              </w:rPr>
              <w:t>a</w:t>
            </w:r>
            <w:r w:rsidRPr="001059E7">
              <w:rPr>
                <w:rFonts w:ascii="Times New Roman" w:hAnsi="Times New Roman" w:cs="Times New Roman"/>
                <w:sz w:val="20"/>
                <w:szCs w:val="20"/>
              </w:rPr>
              <w:t xml:space="preserve">, na základe ktorého možno po splnení určitých vopred stanovených podmienok kompenzovať konečným spotrebiteľom </w:t>
            </w:r>
            <w:r>
              <w:rPr>
                <w:rFonts w:ascii="Times New Roman" w:hAnsi="Times New Roman" w:cs="Times New Roman"/>
                <w:sz w:val="20"/>
                <w:szCs w:val="20"/>
              </w:rPr>
              <w:t>tovarov a služieb</w:t>
            </w:r>
            <w:r w:rsidRPr="001059E7">
              <w:rPr>
                <w:rFonts w:ascii="Times New Roman" w:hAnsi="Times New Roman" w:cs="Times New Roman"/>
                <w:sz w:val="20"/>
                <w:szCs w:val="20"/>
              </w:rPr>
              <w:t xml:space="preserve"> </w:t>
            </w:r>
            <w:r>
              <w:rPr>
                <w:rFonts w:ascii="Times New Roman" w:hAnsi="Times New Roman" w:cs="Times New Roman"/>
                <w:sz w:val="20"/>
                <w:szCs w:val="20"/>
              </w:rPr>
              <w:t>(</w:t>
            </w:r>
            <w:r w:rsidRPr="001059E7">
              <w:rPr>
                <w:rFonts w:ascii="Times New Roman" w:hAnsi="Times New Roman" w:cs="Times New Roman"/>
                <w:sz w:val="20"/>
                <w:szCs w:val="20"/>
              </w:rPr>
              <w:t>t.j. fyzickým osobám ako zákazníkom, určitú sumu z výdavkov vynaložených na ich poskytnutie</w:t>
            </w:r>
            <w:r>
              <w:rPr>
                <w:rFonts w:ascii="Times New Roman" w:hAnsi="Times New Roman" w:cs="Times New Roman"/>
                <w:sz w:val="20"/>
                <w:szCs w:val="20"/>
              </w:rPr>
              <w:t xml:space="preserve"> sa konkrétne tovary a služby), sa </w:t>
            </w:r>
            <w:r>
              <w:rPr>
                <w:rFonts w:ascii="Times New Roman" w:eastAsia="Calibri" w:hAnsi="Times New Roman" w:cs="Times New Roman"/>
                <w:sz w:val="20"/>
                <w:szCs w:val="20"/>
                <w:lang w:eastAsia="sk-SK"/>
              </w:rPr>
              <w:t>stanú tieto tovary a služby pre občanov cenovo dostupnejšie. Tým sa zlepší prístup k týmto tovarom a službám aj pre ľudí s nižšími príjmami, takže okruh ľudí, ktorí tieto tovary a služby konzumujú, im budú dostupnejšie (alebo sa zvýši frekvencia ich konzumovania). Okruh tovarov a služieb určí Nariadenie vlády SR.</w:t>
            </w: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C5385F">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C5385F">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C5385F"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t>Bez vplyvu.</w:t>
            </w:r>
          </w:p>
        </w:tc>
      </w:tr>
    </w:tbl>
    <w:p w:rsidR="002644DE" w:rsidRPr="002644DE" w:rsidRDefault="002644DE" w:rsidP="002644DE">
      <w:pPr>
        <w:sectPr w:rsidR="002644DE" w:rsidRPr="002644DE" w:rsidSect="00C5385F">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C5385F">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C5385F">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C5385F">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C5385F" w:rsidRDefault="00C5385F" w:rsidP="002644DE">
            <w:pPr>
              <w:rPr>
                <w:rFonts w:ascii="Times New Roman" w:eastAsia="Calibri" w:hAnsi="Times New Roman" w:cs="Times New Roman"/>
                <w:sz w:val="20"/>
              </w:rPr>
            </w:pPr>
            <w:r w:rsidRPr="00C5385F">
              <w:rPr>
                <w:rFonts w:ascii="Times New Roman" w:eastAsia="Calibri" w:hAnsi="Times New Roman" w:cs="Times New Roman"/>
                <w:sz w:val="20"/>
              </w:rPr>
              <w:t>Bez vplyvu.</w:t>
            </w:r>
          </w:p>
          <w:p w:rsidR="002644DE" w:rsidRPr="00C5385F" w:rsidRDefault="002644DE" w:rsidP="002644DE">
            <w:pPr>
              <w:spacing w:after="0" w:line="240" w:lineRule="auto"/>
              <w:rPr>
                <w:rFonts w:ascii="Times New Roman" w:eastAsia="Calibri" w:hAnsi="Times New Roman" w:cs="Times New Roman"/>
                <w:sz w:val="20"/>
              </w:rPr>
            </w:pPr>
          </w:p>
        </w:tc>
      </w:tr>
      <w:tr w:rsidR="002644DE" w:rsidRPr="002644DE" w:rsidTr="00C5385F">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C5385F">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C5385F"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rsidTr="00C5385F">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C5385F" w:rsidP="002644DE">
            <w:pPr>
              <w:spacing w:after="0" w:line="240" w:lineRule="auto"/>
              <w:jc w:val="both"/>
              <w:rPr>
                <w:rFonts w:ascii="Times New Roman" w:eastAsia="Calibri" w:hAnsi="Times New Roman" w:cs="Times New Roman"/>
                <w:i/>
                <w:sz w:val="18"/>
                <w:szCs w:val="18"/>
              </w:rPr>
            </w:pPr>
            <w:r w:rsidRPr="00C5385F">
              <w:rPr>
                <w:rFonts w:ascii="Times New Roman" w:eastAsia="Calibri" w:hAnsi="Times New Roman" w:cs="Times New Roman"/>
                <w:sz w:val="18"/>
                <w:szCs w:val="18"/>
              </w:rPr>
              <w:t>Bez vplyvu</w:t>
            </w:r>
            <w:r>
              <w:rPr>
                <w:rFonts w:ascii="Times New Roman" w:eastAsia="Calibri" w:hAnsi="Times New Roman" w:cs="Times New Roman"/>
                <w:i/>
                <w:sz w:val="18"/>
                <w:szCs w:val="18"/>
              </w:rPr>
              <w:t>.</w:t>
            </w:r>
          </w:p>
        </w:tc>
      </w:tr>
      <w:tr w:rsidR="002644DE" w:rsidRPr="002644DE" w:rsidTr="00C5385F">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C5385F" w:rsidRDefault="00C5385F" w:rsidP="002644DE">
            <w:pPr>
              <w:spacing w:after="0" w:line="240" w:lineRule="auto"/>
              <w:jc w:val="both"/>
              <w:rPr>
                <w:rFonts w:ascii="Times New Roman" w:eastAsia="Calibri" w:hAnsi="Times New Roman" w:cs="Times New Roman"/>
                <w:sz w:val="18"/>
                <w:szCs w:val="18"/>
              </w:rPr>
            </w:pPr>
            <w:r w:rsidRPr="00C5385F">
              <w:rPr>
                <w:rFonts w:ascii="Times New Roman" w:eastAsia="Calibri" w:hAnsi="Times New Roman" w:cs="Times New Roman"/>
                <w:sz w:val="18"/>
                <w:szCs w:val="18"/>
              </w:rPr>
              <w:t>Bez vplyvu.</w:t>
            </w:r>
          </w:p>
        </w:tc>
      </w:tr>
      <w:tr w:rsidR="002644DE" w:rsidRPr="002644DE" w:rsidTr="00C5385F">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C5385F"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C5385F">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C5385F">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C5385F">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C5385F">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C538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Nie.</w:t>
            </w:r>
          </w:p>
        </w:tc>
      </w:tr>
      <w:tr w:rsidR="002644DE" w:rsidRPr="002644DE" w:rsidTr="00C5385F">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C5385F">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C538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2644DE" w:rsidRPr="002644DE" w:rsidTr="00C5385F">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C5385F">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C538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2644DE" w:rsidRPr="002644DE" w:rsidTr="00C5385F">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C5385F">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C538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2644DE" w:rsidRPr="002644DE" w:rsidTr="00C5385F">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C5385F">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C538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r w:rsidR="002644DE" w:rsidRPr="002644DE" w:rsidTr="00C5385F">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C5385F">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C5385F"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Nie.</w:t>
            </w:r>
          </w:p>
        </w:tc>
      </w:tr>
    </w:tbl>
    <w:p w:rsidR="00C5385F" w:rsidRDefault="00C5385F" w:rsidP="00BC7226">
      <w:pPr>
        <w:spacing w:after="0" w:line="240" w:lineRule="auto"/>
        <w:outlineLvl w:val="0"/>
      </w:pPr>
    </w:p>
    <w:sectPr w:rsidR="00C5385F" w:rsidSect="00BC7226">
      <w:footnotePr>
        <w:numFmt w:val="chicago"/>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4A" w:rsidRDefault="0048444A" w:rsidP="002644DE">
      <w:pPr>
        <w:spacing w:after="0" w:line="240" w:lineRule="auto"/>
      </w:pPr>
      <w:r>
        <w:separator/>
      </w:r>
    </w:p>
  </w:endnote>
  <w:endnote w:type="continuationSeparator" w:id="0">
    <w:p w:rsidR="0048444A" w:rsidRDefault="0048444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C5385F" w:rsidRPr="001D6749" w:rsidRDefault="00C5385F">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2A3C07">
          <w:rPr>
            <w:rFonts w:ascii="Times New Roman" w:hAnsi="Times New Roman" w:cs="Times New Roman"/>
            <w:noProof/>
          </w:rPr>
          <w:t>2</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C5385F" w:rsidRPr="001D6749" w:rsidRDefault="00C5385F">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2A3C07">
          <w:rPr>
            <w:rFonts w:ascii="Times New Roman" w:hAnsi="Times New Roman" w:cs="Times New Roman"/>
            <w:noProof/>
          </w:rPr>
          <w:t>4</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4A" w:rsidRDefault="0048444A" w:rsidP="002644DE">
      <w:pPr>
        <w:spacing w:after="0" w:line="240" w:lineRule="auto"/>
      </w:pPr>
      <w:r>
        <w:separator/>
      </w:r>
    </w:p>
  </w:footnote>
  <w:footnote w:type="continuationSeparator" w:id="0">
    <w:p w:rsidR="0048444A" w:rsidRDefault="0048444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5F" w:rsidRPr="00CD4982" w:rsidRDefault="00C5385F" w:rsidP="00C5385F">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5F" w:rsidRPr="00CD4982" w:rsidRDefault="00C5385F"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C5385F" w:rsidRPr="00433C47" w:rsidRDefault="00C5385F"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B77988"/>
    <w:multiLevelType w:val="hybridMultilevel"/>
    <w:tmpl w:val="121AE7DE"/>
    <w:lvl w:ilvl="0" w:tplc="C35632B0">
      <w:numFmt w:val="bullet"/>
      <w:lvlText w:val="-"/>
      <w:lvlJc w:val="left"/>
      <w:pPr>
        <w:ind w:left="720" w:hanging="360"/>
      </w:pPr>
      <w:rPr>
        <w:rFonts w:ascii="Times New Roman" w:eastAsia="Calibri" w:hAnsi="Times New Roman" w:cs="Times New Roman"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2"/>
  </w:num>
  <w:num w:numId="5">
    <w:abstractNumId w:val="8"/>
  </w:num>
  <w:num w:numId="6">
    <w:abstractNumId w:val="9"/>
  </w:num>
  <w:num w:numId="7">
    <w:abstractNumId w:val="3"/>
  </w:num>
  <w:num w:numId="8">
    <w:abstractNumId w:val="6"/>
  </w:num>
  <w:num w:numId="9">
    <w:abstractNumId w:val="5"/>
  </w:num>
  <w:num w:numId="10">
    <w:abstractNumId w:val="0"/>
  </w:num>
  <w:num w:numId="11">
    <w:abstractNumId w:val="10"/>
  </w:num>
  <w:num w:numId="12">
    <w:abstractNumId w:val="1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0A1F04"/>
    <w:rsid w:val="00122A4A"/>
    <w:rsid w:val="001834D2"/>
    <w:rsid w:val="00204261"/>
    <w:rsid w:val="002644DE"/>
    <w:rsid w:val="002A3C07"/>
    <w:rsid w:val="0036415B"/>
    <w:rsid w:val="00382021"/>
    <w:rsid w:val="0040256B"/>
    <w:rsid w:val="00433C47"/>
    <w:rsid w:val="00445D37"/>
    <w:rsid w:val="0048444A"/>
    <w:rsid w:val="004C5631"/>
    <w:rsid w:val="00516C84"/>
    <w:rsid w:val="005314B0"/>
    <w:rsid w:val="00540F25"/>
    <w:rsid w:val="005F516B"/>
    <w:rsid w:val="006111EE"/>
    <w:rsid w:val="0061182F"/>
    <w:rsid w:val="0063270E"/>
    <w:rsid w:val="00636449"/>
    <w:rsid w:val="00646D66"/>
    <w:rsid w:val="00647E0E"/>
    <w:rsid w:val="00671B4B"/>
    <w:rsid w:val="006E0E0F"/>
    <w:rsid w:val="007123D1"/>
    <w:rsid w:val="00793182"/>
    <w:rsid w:val="007B36C5"/>
    <w:rsid w:val="007E5077"/>
    <w:rsid w:val="007E57E7"/>
    <w:rsid w:val="007F58AE"/>
    <w:rsid w:val="007F6319"/>
    <w:rsid w:val="00836F41"/>
    <w:rsid w:val="008801B5"/>
    <w:rsid w:val="008F0B87"/>
    <w:rsid w:val="0092601B"/>
    <w:rsid w:val="0095188C"/>
    <w:rsid w:val="00966F74"/>
    <w:rsid w:val="009B3580"/>
    <w:rsid w:val="009E09F7"/>
    <w:rsid w:val="00AB4BEE"/>
    <w:rsid w:val="00AD737E"/>
    <w:rsid w:val="00B10037"/>
    <w:rsid w:val="00B548AE"/>
    <w:rsid w:val="00BA4002"/>
    <w:rsid w:val="00BC7226"/>
    <w:rsid w:val="00BD141A"/>
    <w:rsid w:val="00C12519"/>
    <w:rsid w:val="00C17843"/>
    <w:rsid w:val="00C306B0"/>
    <w:rsid w:val="00C5385F"/>
    <w:rsid w:val="00C66B5B"/>
    <w:rsid w:val="00DB2D3B"/>
    <w:rsid w:val="00DD3CE8"/>
    <w:rsid w:val="00E85542"/>
    <w:rsid w:val="00F602F8"/>
    <w:rsid w:val="00FB3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C66B5B"/>
    <w:pPr>
      <w:ind w:left="720"/>
      <w:contextualSpacing/>
    </w:pPr>
  </w:style>
  <w:style w:type="character" w:customStyle="1" w:styleId="awspan">
    <w:name w:val="awspan"/>
    <w:basedOn w:val="Predvolenpsmoodseku"/>
    <w:rsid w:val="000A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9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11122</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Jurkovicova Barbora</dc:creator>
  <cp:keywords/>
  <dc:description/>
  <cp:lastModifiedBy>Jurkovicova Barbora</cp:lastModifiedBy>
  <cp:revision>2</cp:revision>
  <dcterms:created xsi:type="dcterms:W3CDTF">2022-11-02T08:18:00Z</dcterms:created>
  <dcterms:modified xsi:type="dcterms:W3CDTF">2022-11-02T08:18:00Z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