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A34B1" w:rsidRDefault="003A34B1">
      <w:pPr>
        <w:jc w:val="center"/>
        <w:divId w:val="1358505143"/>
        <w:rPr>
          <w:rFonts w:ascii="Times" w:hAnsi="Times" w:cs="Times"/>
          <w:sz w:val="25"/>
          <w:szCs w:val="25"/>
        </w:rPr>
      </w:pPr>
      <w:r>
        <w:rPr>
          <w:rFonts w:ascii="Times" w:hAnsi="Times" w:cs="Times"/>
          <w:sz w:val="25"/>
          <w:szCs w:val="25"/>
        </w:rPr>
        <w:t>Návrh poslanca Národnej rady Slovenskej republiky Jaroslava KARAHUTU na vydanie zákona, ktorým sa mení a dopĺňa zákon č. 414/2012 Z. z. o obchodovaní s emisnými kvótami a o zmene a doplnení niektorých zákonov v znení neskorších predpisov (tlač 1117)</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A34B1" w:rsidP="003A34B1">
            <w:pPr>
              <w:widowControl/>
              <w:spacing w:after="0" w:line="240" w:lineRule="auto"/>
              <w:rPr>
                <w:rFonts w:ascii="Times New Roman" w:hAnsi="Times New Roman" w:cs="Calibri"/>
                <w:sz w:val="20"/>
                <w:szCs w:val="20"/>
              </w:rPr>
            </w:pPr>
            <w:r>
              <w:rPr>
                <w:rFonts w:ascii="Times" w:hAnsi="Times" w:cs="Times"/>
                <w:sz w:val="25"/>
                <w:szCs w:val="25"/>
              </w:rPr>
              <w:t>12 / 5</w:t>
            </w:r>
          </w:p>
        </w:tc>
      </w:tr>
    </w:tbl>
    <w:p w:rsidR="00D710A5" w:rsidRPr="005A1161" w:rsidRDefault="00D710A5" w:rsidP="00D710A5">
      <w:pPr>
        <w:pStyle w:val="Zkladntext"/>
        <w:widowControl/>
        <w:jc w:val="both"/>
        <w:rPr>
          <w:b w:val="0"/>
          <w:bCs w:val="0"/>
          <w:color w:val="000000"/>
          <w:sz w:val="20"/>
          <w:szCs w:val="20"/>
        </w:rPr>
      </w:pPr>
    </w:p>
    <w:p w:rsidR="003A34B1" w:rsidRDefault="003A34B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8281"/>
        <w:gridCol w:w="446"/>
      </w:tblGrid>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Typ</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APZD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Pripomienka č. 1 – zásadná: K návrhu ako celku Text pripomienky: Požadujeme, aby vláda SR vyslovila súhlas s poslaneckým návrhom Jaroslava Karahutu (tlač 1117). Odôvodnenie: Aktuálne sa v medzirezortnom pripomienkovom konaní nachádzajú dva poslanecké návrhy na vydanie zákona, ktorým sa mení a dopĺňa zákon č. 414/2012 Z. z. o obchodovaní s emisnými kvótami a o zmene a doplnení niektorých zákonov v znení neskorších predpisov. Z uvedených dvoch poslaneckých návrhov APZD preferuje návrh poslanca Karahutu, ktorý naviac oproti návrhu poslancov Zemanovej a Viskupiča rieši spravodlivejšie prerozdelenie výnosov z dražieb kvót v rámci 4-och definovaných spôsobov použitia týchto výnosov. Odporúčanie MŽP SR vláde SR vysloviť nesúhlas s daným návrhom je pre APZD neakceptovateľné aj z nasledovných dôvodov: - § 18, ods. 4, písm. c) znižuje z 20% na 10% Toto ustanovenie rieši podporu činností na dosiahnutie cieľov štátnej environmentálnej politiky a na náklady spojené s odborným a administratívnym zabezpečením plnenia záväzkov SR v oblasti znižovania emisií skleníkových plynov. Tieto činnosti sú spojené s viac-menej fixnými nákladmi t. j., že zvyšovanie ceny CO2 nemá zásadný vplyv na výšku týchto nákladov. Aj po percentuálnom znížení distribúcie bude finančný balík pre tieto činnosti napriek tomu väčší ako v minulosti, keďže cena CO2 sa zvýšila takmer 4-násobne. - § 18, ods. 4, písm. b) zvyšuje z 25% na 35% Toto ustanovenie rieši financovanie schémy štátnej pomoci prevádzkam podľa § 26 ods. 3, v prípade ktorých sa predpokladá značné riziko úniku uhlíka v súvislosti s premietnutím nákladov kvót do cien elektrickej energie. V tomto prípade tieto náklady majú variabilný charakter a zvyšujú sa priamo úmerne so zvýšením ceny CO2. EK doporučuje 25% príjmov z dražieb kvót použiť na tento účel a väčšina štátov EU kde majú energeticky náročný priemysel akceptuje 25% hranicu. Na Slovensku je táto schéma podfinacovaná a touto zmenou by sa dosiahlo, že celkových príjmov z dražieb kvót by išlo na tento účel 70% x 35% = 24,5%, čím by sa dostal aj slovenský priemysel do rovnoprávneho konkurenčného postavenia v rámci európskeho priemyslu, a zlepšil by svoje nekonkurenčné postavenie aj voči ostatnému svetu kde nemajú náklady súvisiace s CO2.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Z</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Čl. I bodu 4</w:t>
            </w:r>
            <w:r>
              <w:rPr>
                <w:rFonts w:ascii="Times" w:hAnsi="Times" w:cs="Times"/>
                <w:sz w:val="25"/>
                <w:szCs w:val="25"/>
              </w:rPr>
              <w:br/>
              <w:t>V čl. I odporúčame vypustiť bod 4. Odôvodnenie: V súlade s článkom 3d bodom 4 smernice EP a Rady 2003/87/ES, ktorá je transponovaná do zákona č. 414/2012 Z. z. o obchodovaní s emisnými kvótami a o zmene a doplnení niektorých zákonov v znení neskorších predpisov (ďalej len „zákona č. 414/2012 Z. z.“), by sa mali príjmy z aukčného obchodovania s kvótami použiť aj na projekty v oblasti civilného letectva, konkrétne na financovanie výskumu a vývoja zameraného na zmiernenie a prispôsobenie sa zmene klímy. Oblasť civilného letectva je po kríze v súvislosti s pandémiou COVID-19 najviac negatívne zasiahnutým módom dopravy. Vypustením bodu 4 z predmetného návrhu sa zabezpečí ponechanie § 18 ods. 8 zákona č. 414/2012 Z. z., čím sa umožní štátu, zastúpeného Ministerstvom životného prostredia SR, meniť výšku % distribúcie použiteľného výnosu z dražieb kvót aj pre účely civilného letectva. Uvedené je v súlade s úmyslom Európskej Komisie znížiť emisie CO2 aj z leteckej dopravy prostredníctvom balíka FitFor 55. Zároveň upozorňujeme na nesúlad nesúhlasného stanoviska Ministerstva životného prostredia SR k predmetnému materiálu a súhlasného stanoviska k materiálu „Návrh poslancov NR SR A. Zemanovej a M. Viskupiča na vydanie zákona, ktorým sa mení a dopĺňa zákon č. 414/2012 Z. z. (LP/2022/621)“ s ohľadom na zhodu materiálov, ktorý sa týka vypustenia odseku 8 z § 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v rámci agendy rozpočtu Európskej únie stále prebiehajú rokovania k revízií príjmovej strany rozpočtu (vlastné príjmy rozpočtu EÚ) a očakáva sa schválenie balíka nových vlastných zdrojov, ktorý bol predstavený v decembri 2021, konkrétne ide o Návrh rozhodnutia Rady, ktorým sa mení rozhodnutie (EÚ, Euratom) 2020/2053 o systéme vlastných zdrojov Európskej únie, ktorý okrem iného zahŕňa aj nový vlastný zdroj založený na systéme obchodovania s emisiami (ETS), čo by pre krajiny Európskej únie znamenalo odvádzanie 25 % z výnosov získaných z aukcií emisných kvót (s vyňatím inovačného a modernizačného fondu) do rozpočtu Európskej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poslaneckom návrhu zákona sa navrhuje zmena výšky použiteľného výnosu z dražieb emisných kvót skleníkových plynov, ktoré sú príjmom Environmentálneho fondu a slúžia na financovanie environmentálnej politiky, a to z pôvodných 30 % na 70 %. Súčasne sa upravuje výška percentuálneho prerozdelenia použiteľného výnosu z dražieb kvót tak, aby 35 % (v súčasnosti 25 %) bolo použitých na financovanie schém štátnej pomoci v prípadoch, v ktorých sa predpokladá značné riziko úniku uhlíka v súvislosti s premietnutím nákladov kvót do cien elektrickej energie, a 10 % (v súčasnosti 20 %) bolo použitých na podporu činností na dosiahnutie cieľov štátnej environmentálnej politiky a na náklady spojené s odborným a administratívnym zabezpečením plnenia záväzkov Slovenskej republiky v oblasti znižovania emisií skleníkových plynov. V doložke vybraných vplyvov sa predpokladá negatívny vplyv návrhu zákona na rozpočet verejnej správy, pričom nie je uvedená jeho kvantifikácia a ani návrh na jeho krytie. Podľa § 33 ods. 1 zákona č. 523/2004 Z. z. o rozpočtových pravidlách verejnej správy a o zmene a doplnení niektorých zákonov v znení neskorších predpisov pri návrhoch zákonov predkladaných na rokovanie vlády Slovenskej republiky a Národnej rady Slovenskej republiky musia byť uvedené a zdôvodnené ich predpokladané finančné dôsledky na rozpočet verejnej správy na bežný rok a tri nasledujúce rozpočtové roky a uvedený návrh na úhradu zvýšených výdavkov alebo úbytku príjmov. Vzhľadom na uvedené je potrebné do predkladacej správy doplniť kvantifikáciu negatívnych vplyvov vyplývajúcich z návrhu zákona na rozpočet verejnej správy spolu s uvedením návrhu ich krytia, pretože návrh zákona by mal veľmi významný negatívny nekrytý vplyv na rozpočet verejnej správy, s čím Ministerstvo financií SR nesúhlasí. Vzhľadom na vyššie uvedené súhlasíme s návrhom Ministerstva životného prostredia SR uvedeným v predkladacej správe odporučiť vláde Slovenskej republiky vysloviť nesúhlas s predloženým poslaneckým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Z</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nemeniť podiel použiteľného podielu z výnosov z emisných kvót a podiel z výnosov určený na kompenzácie. Vo všeobecnej časti dôvodovej správy sa uvádza ako dôvod navrhovanej právnej úpravy zvýšenie kompenzácií súčasných cien elektrickej energie, avšak predložený návrh nie je vhodným spôsobom riešenia tohto problému. Nárast kompenzácií na 24,5 % by zvýšili kompenzácie na približne 50 mil. eur ročne (pri predpoklade výnosov na úrovni roku 2021). Táto suma by bola rozdelená medzi približne desiatku firiem. Finančné ťažkosti týchto firiem spôsobené vysokými cenami energií pravdepodobne výrazne presahujú sumu, ktorú by tieto firmy získali ako kompenzáciu. Podotýkame, že návrh by mal tiež veľmi významne negatívny vplyv na rozpočet verejnej správy, a to nielen kvôli nárastu kompenzácií, ale aj kvôli nárastu použiteľného podielu až na vyše 100 mil. eur ročne pri predpoklade výnosov z minulosti.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Z</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K analýzam vplyvov</w:t>
            </w:r>
            <w:r>
              <w:rPr>
                <w:rFonts w:ascii="Times" w:hAnsi="Times" w:cs="Times"/>
                <w:sz w:val="25"/>
                <w:szCs w:val="25"/>
              </w:rPr>
              <w:br/>
              <w:t>Odporúčame predkladateľovi, alebo samotnému MŽP SR, vypracovať analýzu vplyvov na rozpočet verejnej správy, analýzu vplyvov na podnikateľské prostredie a analýzu vplyvov na životné prostredie, kde podrobnejšie popíše a zdôvodní tieto vplyvy navrhovaného materiálu. Odôvodnenie: Podľa Jednotnej metodiky na posudzovanie vybraných vplyvov, v prípade, že predkladateľ vyznačí pozitívny, negatívny, alebo pozitívno-negatívny vplyvov na jednu z vybraných oblastí, je povinný vypracovať aj príslušnú analýzu vplyvov, v tomto prípade vplyvov na podnikateľské prostredie (podľa bodu 4.5.)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vyplniť aktuálne účinný formulár doložky vo všetkých jeho častiach: 2. Definovanie problému, 3. Ciele a výsledný stav, 4. Dotknuté subjekty, 5. Alternatívne riešenia (treba uviesť minimálne nulový variant), 8. Preskúmanie (treba uviesť na základe akých kritérií a kedy bude materiál vyhodnocovaný, či splnil svoju účelnosť), 9. Vybrané vplyvy materiálu (vrátane označenia vplyvov na rozpočet VÚC a obcí) a 12. Zdroje. Formulár je možné nájsť na nasledovnom odkaze: https://www.mhsr.sk/uploads/files/qqhdtNNW.docx?csrt=4893159915069139498. Odôvodnenie: Priložená doložka vybraných vplyvov nespĺňa formálne a obsahové náležitosti podľa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 18 ods. 4 písm. c)</w:t>
            </w:r>
            <w:r>
              <w:rPr>
                <w:rFonts w:ascii="Times" w:hAnsi="Times" w:cs="Times"/>
                <w:sz w:val="25"/>
                <w:szCs w:val="25"/>
              </w:rPr>
              <w:br/>
              <w:t>Navrhujeme upraviť znenie § 18 ods. 4 písm. c) takto: V § 18 ods. 4 písm. c) sa slová „politiky a na náklady“ nahrádzajú slovami „politiky vrátane zabezpečenia udržateľného využívanie ekosystémových služieb v zmysle osobitných predpisov16aa) a na náklady vecne príslušného rezortu16ab)“. Poznámky pod čiarou k odkazom 16aa a 16ab znejú: „16aa) Napríklad vyhláška Ministerstva pôdohospodárstva a rozvoja vidieka Slovenskej republiky č. 226/2017 Z. z. o poskytovaní podpory v lesnom hospodárstve na plnenie mimoprodukčných funkcií lesov v znení neskorších predpisov. 16ab) Zákon č. 575/2001 Z.z. o organizácii činnosti vlády a organizácii ústrednej štátnej správy v znení neskorších predpisov.“ Odôvodnenie: Vo vzťahu k doplneniu úpravy ekosystémových služieb: Jedným z titulov, ktorý je financovaný prostredníctvom finančných prostriedkov z výnosov získaných z dražieb emisných kvót na základe § 18, ods. 4, písm. c) zákona č. 414/2012 Z. z. je podpora činností na dosiahnutie cieľov štátnej environmentálnej politiky. Jedným z cieľov štátnej environmentálnej politiky v zmysle „Stratégie environmentálnej politiky Slovenskej republiky do roku 2030“ je udržateľné využívanie ekosystémových služieb. MPRV SR má podporu zabezpečenia udržateľného využívanie ekosystémových služieb poskytovaných lesmi prostredníctvom vyššie uvedenej vyhlášky. Nastavenie systému financovania v tejto oblasti tak zníži nárok na štátny rozpočet. Výška štátneho rozpočtu z kapitoly MPRV SR predstavuje 6 mil. eur v roku 2022, pričom nárok na úhradu (na základe predložených žiadostí) predstavuje približne 12 mil. eur. Vo vzťahu k doplneniu úpravy nákladov spojených s odborným a administratívnym zabezpečením plnenia záväzkov SR v oblasti znižovania emisií skleníkových plynov: Platnú úpravu navrhujeme doplniť pre jednoznačnosť, aby boli financované náklady na tieto aktivity, ktoré zabezpečuje MPRV SR aj iné rezorty podľa ich vecnej príslušnosti. MPRV SR je v tejto oblasti gestorom v rámci sektora LULUCF (sektor využívania pôdy, zmien vo využívaní pôdy a lesné hospodárstvo). Odborné a administratívne zabezpečenie v tejto oblasti je realizované z prostriedkov štátneho rozpočtu kapitoly MPRV SR, pričom financovanie by malo byť realizované prostredníctvom Environmentálneho fondu z výnosov získaných z dražieb emisných kvót (na základe § 18 ods. 4 písm. c) zákona č. 414/2012 Z. z.). Výsledkom tejto administratívnej činnosti sú napr. aj projekcie emisií/záchytov skleníkových plynov zo sektora LULUCF. Takéto nastavenie systému financovania zníži nárok na štátny rozpočet. Výška štátneho rozpočtu z kapitoly MPRV SR predstavuje v roku 2022 viac ako 150 tis. eur. Výška týchto prostriedkov by mohla byť poskytovaná príslušným rezortom na základe dohody s MŽP SR v roku, ktorý predchádza roku, v ktorom ich MPRV SR použije.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Z</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 18 ods. 7 vo vzťahu k účelu podľa § 18 ods. 4 písm. d)</w:t>
            </w:r>
            <w:r>
              <w:rPr>
                <w:rFonts w:ascii="Times" w:hAnsi="Times" w:cs="Times"/>
                <w:sz w:val="25"/>
                <w:szCs w:val="25"/>
              </w:rPr>
              <w:br/>
              <w:t>Vo vzťahu k účelu podľa § 18 ods. 4 písm. d) navrhujeme doplniť nový novelizačný bod, ktorým by sa novelizovala citácia v poznámke pod čiarou k odkazu 16b v § 18 ods. 4 písm. d) takto: znenie poznámky: „16b) § 4 ods. 1 písm. i) až l), n), p), r), s), ae) a an) zákona č. 587/2004 Z. z. o Environmentálnom fonde a o zmene a doplnení niektorých zákonov v znení neskorších predpisov.“. Odôvodnenie: § 18 ods. 4. písm. d) zákona č. 414/2012 Z. z. ustanovuje, že 20 % použiteľného výnosu z dražieb emisných kvót v rámci Environmentálneho fondu sa určuje na aktivity definované v odkaze 16b, t. j. na niektoré vybrané aktivity definované v § 4 ods. 1 zákona č. 587/2004 Z. z. o Environmentálnom fonde a o zmene a doplnení niektorých zákonov v znení neskorších predpisov. Žiadame o doplnenie aktivít súvisiacich s lesným hospodárstvom, ktoré sú definované v § 4 ods. 1 zákona č. 587/2004 Z. z. o Environmentálnom fonde a o zmene a doplnení niektorých zákonov v znení neskorších predpisov. Lesného hospodárstvo je jednou z oblastí národného hospodárstva, ktoré dokáže emisie viazať (napr. sektor LULUCF je v súčasnosti jediným sektorom s negatívnymi emisiami, t. j. záchyty emisií v tomto sektore sú zatiaľ výrazne prevyšujúcimi) a lesy tvoria viac než 40 % výmery SR. Je preto dôležité, aby financie získané z výnosu z dražieb emisných kvót boli smerované aj do lesného hospodárstva. Ide konkrétne o tieto aktivity: - podpora obhospodarovania lesov poškodených imisiami s plochami s extrémnym emisným zaťažením alebo s vysokým emisným zaťažením (písm. r); - úhrada zvýšených nákladov na ochranu lesov pred šírením škodlivých činiteľov na základe rozhodnutia ministra (písm. s); - podpora manažmentu lesov zaradených do pásiem ohrozenia pod vplyvom imisií podľa osobitného predpisu a na podporu projektov zameraných na úsporu a záchyt emisií skleníkových plynov v oblasti poľnohospodárstva a lesníctva (písm. ae); - úhrada zvýšených nákladov spojených s prírode blízkym hospodárením v lesoch v treťom až piatom stupni ochrany (písm. an).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Z</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 18 ods. 7 vo vzťahu k účelom podľa § 18 ods. 4 písm. a) a d)</w:t>
            </w:r>
            <w:r>
              <w:rPr>
                <w:rFonts w:ascii="Times" w:hAnsi="Times" w:cs="Times"/>
                <w:sz w:val="25"/>
                <w:szCs w:val="25"/>
              </w:rPr>
              <w:br/>
              <w:t>Odporúčame doplniť novelizačný bod, na základe ktorého sa odstráni duplicita súvisiaca s použitím časti výnosov z dražieb emisných kvót na financovanie projektov reálne dosiahnuteľných a merateľných úspor emisií skleníkových plynov. Odôvodnenie: Použitie výnosov z dražieb emisných kvót v rámci Environmentálneho fondu sa určuje na aktivity definované v § 18 ods. 4 zákona č. 414/2012 Z. z. Jedným z titulov je financovanie projektov reálne dosiahnuteľných a merateľných úspor emisií skleníkových plynov. Tento titul je v zákone uvedený dvakrát: - v rámci viacerých aktivít uvedených v § 18, ods. 4, písm. a), - v rámci viacerých aktivít uvedených v § 18, ods. 4, písm. d) odkazom 16b na § 4 ods. 1 písm. i) zákona č. 587/2004 Z. z. o Environmentálnom fonde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Navrhujeme v návrhu uznesenia vlády Slovenskej republiky uviesť meno predkladateľa.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K doložke vybraných vplyvov: Doložka vybraných vplyvov nie je vypracovaná v súlade s novým znením Jednotnej metodiky na posudzovanie vybraných vplyvov účinným odo dňa 10. 06. 2022. Predkladanú doložku vybraných vplyvov odporúčame dopracovať podľa platného znenia a zároveň odporúčame uviesť detailnú špecifikáciu vplyvov na rozpočet verejnej správy, na zamestnanosť a financovanie návrhu, a to na bežný rok a tri nasledujúce rozpočtové roky.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jc w:val="center"/>
              <w:rPr>
                <w:rFonts w:ascii="Times" w:hAnsi="Times" w:cs="Times"/>
                <w:b/>
                <w:bCs/>
                <w:sz w:val="25"/>
                <w:szCs w:val="25"/>
              </w:rPr>
            </w:pPr>
            <w:r>
              <w:rPr>
                <w:rFonts w:ascii="Times" w:hAnsi="Times" w:cs="Times"/>
                <w:b/>
                <w:bCs/>
                <w:sz w:val="25"/>
                <w:szCs w:val="25"/>
              </w:rPr>
              <w:t>O</w:t>
            </w: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r w:rsidR="003A34B1">
        <w:trPr>
          <w:divId w:val="757291640"/>
          <w:jc w:val="center"/>
        </w:trPr>
        <w:tc>
          <w:tcPr>
            <w:tcW w:w="1500" w:type="pct"/>
            <w:tcBorders>
              <w:top w:val="outset" w:sz="6" w:space="0" w:color="000000"/>
              <w:left w:val="outset" w:sz="6" w:space="0" w:color="000000"/>
              <w:bottom w:val="outset" w:sz="6" w:space="0" w:color="000000"/>
              <w:right w:val="outset" w:sz="6" w:space="0" w:color="000000"/>
            </w:tcBorders>
            <w:hideMark/>
          </w:tcPr>
          <w:p w:rsidR="003A34B1" w:rsidRDefault="003A34B1">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34B1" w:rsidRDefault="003A34B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4B1"/>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980B8-23FA-4ADE-9CCE-4703141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1640">
      <w:bodyDiv w:val="1"/>
      <w:marLeft w:val="0"/>
      <w:marRight w:val="0"/>
      <w:marTop w:val="0"/>
      <w:marBottom w:val="0"/>
      <w:divBdr>
        <w:top w:val="none" w:sz="0" w:space="0" w:color="auto"/>
        <w:left w:val="none" w:sz="0" w:space="0" w:color="auto"/>
        <w:bottom w:val="none" w:sz="0" w:space="0" w:color="auto"/>
        <w:right w:val="none" w:sz="0" w:space="0" w:color="auto"/>
      </w:divBdr>
    </w:div>
    <w:div w:id="1358505143">
      <w:bodyDiv w:val="1"/>
      <w:marLeft w:val="0"/>
      <w:marRight w:val="0"/>
      <w:marTop w:val="0"/>
      <w:marBottom w:val="0"/>
      <w:divBdr>
        <w:top w:val="none" w:sz="0" w:space="0" w:color="auto"/>
        <w:left w:val="none" w:sz="0" w:space="0" w:color="auto"/>
        <w:bottom w:val="none" w:sz="0" w:space="0" w:color="auto"/>
        <w:right w:val="none" w:sz="0" w:space="0" w:color="auto"/>
      </w:divBdr>
    </w:div>
    <w:div w:id="1607158451">
      <w:bodyDiv w:val="1"/>
      <w:marLeft w:val="0"/>
      <w:marRight w:val="0"/>
      <w:marTop w:val="0"/>
      <w:marBottom w:val="0"/>
      <w:divBdr>
        <w:top w:val="none" w:sz="0" w:space="0" w:color="auto"/>
        <w:left w:val="none" w:sz="0" w:space="0" w:color="auto"/>
        <w:bottom w:val="none" w:sz="0" w:space="0" w:color="auto"/>
        <w:right w:val="none" w:sz="0" w:space="0" w:color="auto"/>
      </w:divBdr>
      <w:divsChild>
        <w:div w:id="110827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1.2022 4:10:18"/>
    <f:field ref="objchangedby" par="" text="Fscclone"/>
    <f:field ref="objmodifiedat" par="" text="5.11.2022 4:10:2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E57294-D307-45C1-83E3-68F127B2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2411</Words>
  <Characters>13749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2022-11-05T03:10:00Z</dcterms:created>
  <dcterms:modified xsi:type="dcterms:W3CDTF">2022-11-05T03:10:00Z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Správa o účasti verejnosti nebola vypracovaná.</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Laura Cao Tienová</vt:lpwstr>
  </property>
  <property name="FSC#SKEDITIONSLOVLEX@103.510:zodppredkladatel" pid="11" fmtid="{D5CDD505-2E9C-101B-9397-08002B2CF9AE}">
    <vt:lpwstr>Ján Budaj</vt:lpwstr>
  </property>
  <property name="FSC#SKEDITIONSLOVLEX@103.510:dalsipredkladatel" pid="12" fmtid="{D5CDD505-2E9C-101B-9397-08002B2CF9AE}">
    <vt:lpwstr/>
  </property>
  <property name="FSC#SKEDITIONSLOVLEX@103.510:nazovpredpis" pid="13" fmtid="{D5CDD505-2E9C-101B-9397-08002B2CF9AE}">
    <vt:lpwstr> Návrh poslanca Národnej rady Slovenskej republiky Jaroslava KARAHUTU na vydanie zákona, ktorým sa mení a dopĺňa zákon č. 414/2012 Z. z. o obchodovaní s emisnými kvótami a o zmene a doplnení niektorých zákonov v znení neskorších predpisov (tlač 1117)</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NR SR v znení neskorších predpisov</vt:lpwstr>
  </property>
  <property name="FSC#SKEDITIONSLOVLEX@103.510:plnynazovpredpis" pid="22" fmtid="{D5CDD505-2E9C-101B-9397-08002B2CF9AE}">
    <vt:lpwstr> Návrh poslanca Národnej rady Slovenskej republiky Jaroslava KARAHUTU na vydanie zákona, ktorým sa mení a dopĺňa zákon č. 414/2012 Z. z. o obchodovaní s emisnými kvótami a o zmene a doplnení niektorých zákonov v znení neskorších predpisov (tlač 1117)</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12553/2022-1.15</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LP/2022/697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Bezpredmetné.</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predsedovi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Ján Budaj</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&lt;p&gt;Podľa § 70 ods. 2 zákona Národnej rady Slovenskej republiky č. 350/1996 Z. z. o&amp;nbsp;rokovacom poriadku Národnej rady Slovenskej republiky v&amp;nbsp;znení zákona č. 399/2015 Z. z. predkladá Ministerstvo životného prostredia Slovenskej republiky (ďalej len „ministerstvo“) na medzirezortné pripomienkové konanie návrh poslanca Jaroslava KARAHUTU na vydanie zákona, ktorým sa mení a dopĺňa zákon č.&amp;nbsp; 414/2012 Z. z. o obchodovaní s emisnými kvótami a o zmene a doplnení niektorých zákonov v znení neskorších predpisov (tlač 1117) (ďalej len „návrh zákona“).&lt;/p&gt;&lt;p&gt;&amp;nbsp;&lt;/p&gt;&lt;p&gt;&lt;strong&gt;Všeobecne&lt;/strong&gt;&lt;/p&gt;&lt;p&gt;&amp;nbsp;&lt;/p&gt;&lt;p&gt;Dôvodom predloženia návrhu zákona je podľa predkladateľa zvyšujúca sa cena elektrickej energie a potreba zabezpečenia kompenzácie slovenského priemyslu v súvislosti s neprimeranými nákladmi, ktoré sú spôsobené obchodovaním s&amp;nbsp;emisnými kvótami.&lt;/p&gt;&lt;p&gt;&amp;nbsp;&lt;/p&gt;&lt;p&gt;&lt;strong&gt;Stanovisko &lt;/strong&gt;&lt;/p&gt;&lt;p&gt;Navrhované zmeny zákona č.&amp;nbsp; 414/2012 Z. z. o obchodovaní s emisnými kvótami a o zmene a doplnení niektorých zákonov v znení neskorších predpisov je nevyhnutné vnímať z&amp;nbsp;pohľadu viacerých atribútov. V&amp;nbsp;prvom rade sú to zmeny percentuálnej distribúcie výnosu z dražieb emisných kvót v § 18 ods. 4 písm. b) a c) a úprava v § 18 ods. 7, ako aj&amp;nbsp;vypustenie odseku 8, navrhované za účelom kompenzácie slovenského priemyslu v súvislosti s neprimeranými nákladmi, ktoré sú spôsobené obchodovaním s&amp;nbsp;emisnými kvótami, ktorý je deklarovaný v&amp;nbsp;dôvodovej správe. Mechanizmus poskytovania kompenzácií nepriamych nákladov na emisie CO&lt;sub&gt;2 &lt;/sub&gt;nie je určený na riešenie aktuálneho problému nárastu cien energií, vrátane fosílnych palív. Naopak, týmto mechanizmom sa motivujú len niektoré veľké priemyselné podniky, aby na svoje výrobné procesy využívali elektrickú energiu a&amp;nbsp;nie fosílne palivá a&amp;nbsp; sa netýka celého priemyslu. Naviac, pokiaľ nie je prijatá schéma štátnej pomoci pre nepriame kompenzácie, ministerstvo potrebuje flexibilitu pri nakladaní s&amp;nbsp;prostriedkami Environmentálneho fondu. Problémom sa javí aj skutočnosť, že v súčasnosti prebieha prijímanie novej schémy štátnej pomoci na nepriame kompenzácie a zatiaľ nie je zrejmé, ako bude podpora v&amp;nbsp;rámci tohto mechanizmu presne zadefinovaná. Preto v&amp;nbsp;tomto štádiu je nevyhnutné, aby boli odseky 4 a&amp;nbsp; 8 ponechané v&amp;nbsp;pôvodnom znení a&amp;nbsp;ministerstvo malo dostatočnú flexibilitu na tvorbu štátnej environmentálnej a&amp;nbsp;klimatickej politiky. Naviac znenie odsekov 4 a&amp;nbsp; 8 má dopady aj na iné štátne politiky a&amp;nbsp;jeho zmenami nebude možné zabezpečiť plnenie napríklad uznesenia vlády Slovenskej republiky k financovaniu budovania verejných vodovodov a verejných kanalizácií, ktorým sa zakladá povinnosť uvoľniť v rozpočte Environmentálneho fondu každoročne sumu 50 mil. Eur na predmetný účel, ktorý spadá práve pod § 18 ods. 4 písm. c).&lt;/p&gt;&lt;p&gt;&amp;nbsp;&lt;/p&gt;&lt;p&gt;Navrhované úpravy budú mať dopady na zabezpečovanie financovania podpory realizovanej zo strany Environmentálneho fondu pri rešpektovaní v súčasnosti platných právnych predpisov. Zároveň je nutné upozorniť, že vypustením § 18 ods. 8 vzniká riziko, že Ministerstvo životného prostredia Slovenskej republiky a&amp;nbsp;následne ani Environmentálny fond nebudú schopní financovať ani zámery vyplývajúce z&amp;nbsp;platných právnych predpisov prijatých v priebehu prebiehajúceho rozpočtového roka.&lt;/p&gt;&lt;p&gt;&amp;nbsp;&lt;/p&gt;&lt;p&gt;Obdobne je žiaduce vnímať aj návrh na zmenu &amp;nbsp;§ 18 ods. 7. Navýšenie percenta použiteľnej časti z ročného výnosu z predaja kvót formou dražby bude v konečnom dôsledku znamenať navýšeniu disponibilných prostriedkov na kompenzácie nepriamych nákladov na emisie CO&lt;sub&gt;2&lt;/sub&gt; aj s navrhovanou úpravou v § 18 ods. 4 písm. b), a tým menšiu časť z výnosu na iné definované účely.&lt;/p&gt;&lt;p&gt;&amp;nbsp;&lt;/p&gt;&lt;p&gt;V&amp;nbsp;tejto súvislosti je nevyhnutné upozorniť na skutočnosť, že&amp;nbsp; prebieha príprava novelizácie smernice Európskeho parlamentu a&amp;nbsp;Rady 2003/87/ES z&amp;nbsp;13. októbra 2003 o&amp;nbsp;vytvorení systému obchodovania s&amp;nbsp;emisnými kvótami skleníkových plynov v&amp;nbsp;Spoločenstve a&amp;nbsp;ktorou sa mení a&amp;nbsp;dopĺňa smernica Rady 96/61/ES, čo následne vyvolá povinnosť členských štátov transponovať tieto zmeny v&amp;nbsp;priebehu budúceho kalendárneho roka. V&amp;nbsp;prípade Slovenskej republiky to bude transpozícia práve vo vzťahu k zákonu č. 414/2012 Z. z. o&amp;nbsp;obchodovaní s&amp;nbsp;emisnými kvótami a o zmene a doplnení niektorých zákonov v znení neskorších predpisov. Uvedená smernica bude riešiť aj využitie výnosov z&amp;nbsp;dražby kvót na národnej úrovni, pričom podľa aktuálne navrhnutého znenia si členské štáty určia použitie celých príjmov z&amp;nbsp;obchodovania s kvótami formou dražby. &amp;nbsp;Slovenská republika sa nevyhne transpozičným úpravám práve v § 18.&lt;/p&gt;&lt;p&gt;&lt;u&gt;K navrhovanému zneniu § 18 ods. 4 písm. b)&lt;/u&gt;&lt;/p&gt;&lt;p&gt;K návrhu na navýšenie percenta (z 25% na 35%) a&amp;nbsp;k jeho zdôvodneniu v dôvodovej správe je nutné upozorniť, že mechanizmus poskytovania kompenzácií nepriamych nákladov na emisie CO&lt;sub&gt;2 &lt;/sub&gt;nie je určený na riešenie aktuálneho problému nárastu cien energií, vrátane fosílnych palív. Naopak, týmto mechanizmom sa motivujú veľké priemyselné podniky, aby na svoje výrobné procesy využívali elektrickú energiu a&amp;nbsp;nie fosílne palivá a&amp;nbsp;vôbec sa netýka celého priemyslu, ale len vybraných cca 10 odvetní náročných na spotrebu elektriny. Konkrétne sa jedná o&amp;nbsp;mechanizmu, kde členské štáty EÚ môžu poskytnúť štátnu pomoc niektorým priemyselným odvetviam s veľkou spotrebou elektriny kompenzáciu nepriamych nákladov na emisie CO&lt;sub&gt;2&lt;/sub&gt;, t. j. nákladov vyplývajúcich zo zahrnutia nákladov na nákup emisných kvót na strane výrobcov elektriny, ktorí tieto náklady prenášajú do cien elektriny a na odberateľov. Problémom je, že momentálne v&amp;nbsp;tomto mechanizme nemôžme pokračovať tak ako v&amp;nbsp;minulosti, prebieha prijímanie novej schémy štátnej podpory a&amp;nbsp;v&amp;nbsp;tejto fáze ani presne nevieme ako bude tento mechanizmus vyzerať a&amp;nbsp;koľko priemyselných podnikov bude mať oň záujem. Pravidlá kompenzácie sa totižto zmenili a&amp;nbsp;firmy budú musieť splniť jedno z&amp;nbsp;troch daných kritérií na to, aby boli oprávnení na poskytnutie kompenzácie. Toto sa môže ukázať ako limitujúci faktor pre veľa firiem. Naviac tieto firmy budú kompenzované za spotrebu elektriny spätne a nemôžu byť podnikom v&amp;nbsp;ťažkostiach. Na druhej strane kompenzácie zvýšených cien elektriny, ktoré sa bude týkať celého priemyslu vrátane stratových priemyselných firiem sa bude realizovať prostredníctvom inej štátnej podpory, ktorú má v&amp;nbsp;kompetencii Ministerstvo hospodárstva Slovenskej republiky.&lt;/p&gt;&lt;p&gt;&amp;nbsp;&lt;/p&gt;&lt;p&gt;Ministerstvo životného prostredia Slovenskej republiky pripravilo podpory pre priemysel prostredníctvom schém štátnej pomoci z&amp;nbsp;iných dostupných finančných mechanizmov, ktoré pochádzajú väčšinou z&amp;nbsp;výnosov z&amp;nbsp;obchodovania kvót formou dražby (viac ako 1 miliarda z&amp;nbsp;dvoch schém financovaných z&amp;nbsp;Modernizačného fondu a&amp;nbsp;z&amp;nbsp;Plánu obnovy a odolnosti), ktoré majú podstatne väčší motivačný potenciál ako podpora určená na kompenzácie nepriamych nákladov a&amp;nbsp;zároveň s&amp;nbsp;väčším efektom na dekarbonizáciu slovenského priemyslu a&amp;nbsp;na dosahovanie úspor emisií skleníkových plynov.&lt;/p&gt;&lt;p&gt;&lt;u&gt;K navrhovanému zneniu § 18 ods. 4 písm. c)&lt;/u&gt;&lt;/p&gt;&lt;p&gt;V rámci uvedeného ustanovenia sú poskytované finančné prostriedky na financovanie budovania verejných vodovodov a kanalizácií a taktiež na financovanie národných parkov. Zníženie percenta z 20% na 10% by znamenalo, že nebude možné dosiahnuť požadovanú výšku stanovenú platným uznesením vlády Slovenskej republiky k financovaniu budovania verejných vodovodov a kanalizácií a zároveň k doložke vplyvov na rozpočet verejnej správy k&amp;nbsp;ostatnej novele zákona č. 543/2002 Z. z. o ochrane prírody a&amp;nbsp;krajiny v&amp;nbsp;znení neskorších predpisov (6/2022 Z. z.).&lt;/p&gt;&lt;p&gt;&lt;u&gt;K navrhovanému zneniu § 18 ods. 7&lt;/u&gt;&lt;/p&gt;&lt;p&gt;Aktuálne je na rokovanie Národnej rady Slovenskej republiky predložený vládny návrh zákona, ktorým sa mení a dopĺňa zákon č.&amp;nbsp; 414/2012 Z. z. o obchodovaní s emisnými kvótami a o zmene a doplnení niektorých zákonov v znení neskorších predpisov (PT 1235). Navýšenie percenta použiteľného výnosu z dražieb (v § 18 ods. 7) bolo v&amp;nbsp;rámci legislatívneho procesu k&amp;nbsp;uvedenému vládnemu návrhu zákona viackrát navrhnuté zo strany Ministerstva životného prostredia Slovenskej republiky. Ako je vyššie uvedené, zákon č. 414/2012 Z. z. o obchodovaní s emisnými kvótami a o zmene a doplnení niektorých zákonov v znení neskorších predpisov sa bude v budúcom kalendárnom roku novelizovať z dôvodu aproximácii zmien v&amp;nbsp;smernici Európskeho parlamentu a&amp;nbsp;Rady 2003/87/ES z&amp;nbsp;13. októbra 2003 o&amp;nbsp;vytvorení systému obchodovania s&amp;nbsp;emisnými kvótami skleníkových plynov v&amp;nbsp;Spoločenstve a&amp;nbsp;ktorou sa mení a&amp;nbsp;dopĺňa smernica Rady 96/61/ES. Uvedená smernica bude riešiť aj využitie výnosov z&amp;nbsp;dražby na národnej úrovni. Podľa aktuálne navrhnutého znenia si členské štáty určia použitie celých príjmov z&amp;nbsp;obchodovania s kvótami formou dražby.&lt;/p&gt;&lt;p&gt;&lt;u&gt;K navrhovanému zneniu § 18 ods. 8&lt;/u&gt;&lt;/p&gt;&lt;p&gt;Ponechanie možnosti v odôvodnených prípadoch meniť výšku percentuálnej distribúcie použiteľného výnosu z dražieb kvót je potrebné z dôvodu možných legislatívnych zmien v oblasti environmentálnej podpory v priebehu rozpočtového roka s dopadom na zdroje plynúce z príjmov z obchodovania s emisnými kvótami a aj pre prípad, keď dochádza v odôvodnených prípadoch k zmene v stratégii štátnej environmentálnej politiky.&lt;/p&gt;&lt;p&gt;Pokiaľ nie je prijatá schéma štátnej pomoci pre nepriame kompenzácie, ministerstvo potrebuje flexibilitu pri tom ako nakladať s&amp;nbsp;prostriedkami Environmentálneho fondu. V súčasnosti nie je možné &amp;nbsp;v&amp;nbsp;tomto kompenzačnom mechanizme pokračovať tak ako v&amp;nbsp;minulosti, pretože prebieha prijímanie novej schémy štátnej podpory a&amp;nbsp;v&amp;nbsp;tejto fáze prípravy nie je zrejmé, ako bude tento mechanizmus vyzerať a&amp;nbsp;koľko priemyselných podnikov bude mať oň záujem. Pravidlá kompenzácie sa totižto radikálne zmenili a&amp;nbsp;firmy budú musieť splniť jedno z&amp;nbsp;troch daných kritérií na to, aby im boli udelené kompenzácie. Toto sa môže ukázať ako limitujúci faktor pre veľa firiem. Preto v&amp;nbsp;tomto štádiu pokladáme za nevyhnutné, aby sa odsek 8 v&amp;nbsp;znení ponechal a&amp;nbsp;vytváralo dostatočnú flexibilitu na tvorbu štátnej environmentálnej a&amp;nbsp;klimatickej politiky.&lt;/p&gt;&lt;p&gt;&amp;nbsp;&lt;/p&gt;&lt;p&gt;&lt;strong&gt;Záver&lt;/strong&gt;&lt;/p&gt;&lt;p&gt;&amp;nbsp;&lt;/p&gt;Ministerstvo odporúča vláde Slovenskej republiky vysloviť s&amp;nbsp;návrhom zákona &lt;strong&gt;nesúhlas&lt;/strong&gt;.</vt:lpwstr>
  </property>
  <property name="FSC#COOSYSTEM@1.1:Container" pid="149" fmtid="{D5CDD505-2E9C-101B-9397-08002B2CF9AE}">
    <vt:lpwstr>COO.2145.1000.3.5299500</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5. 11. 2022</vt:lpwstr>
  </property>
</Properties>
</file>