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4D38B3" w:rsidP="004D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38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republiky, ktorým sa vydáva zoznam obcí, v ktorých občania Slovenskej republiky patriaci k národnostnej menšine tvoria najmenej 15 % obyvateľstva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4D38B3" w:rsidP="004D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38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 (Úrad splnomocnenca vlády Slovenskej republiky pre národnostné menšiny)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4D38B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C1510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30.6.2022 – 8.7.2022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D38B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9A0D5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</w:t>
            </w:r>
            <w:r w:rsidR="004D38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4D38B3" w:rsidP="00F24F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D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Predkladaný návrh reaguje na vyh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lásené výsledky S</w:t>
            </w:r>
            <w:r w:rsidR="00F24F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čítania obyvateľov, domov a bytov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2021, z ktorých vyplýva zvýšenie počtu ,,menšinových obcí“ v zmysle zákona č. 184/1999 Z. z. o používaní jazykov národnostných menšín v znení neskorších predpisov a taktiež na novelizáciu uvedeného zákona, v zmysle ktorého v súčasnosti majú </w:t>
            </w:r>
            <w:r w:rsidRPr="00292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občania Slovenskej republiky, ktorí sú osobami patriacimi k národnostnej menšine</w:t>
            </w:r>
            <w:r w:rsidR="008771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 w:rsidRPr="00292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majú trvalý pobyt v danej obci</w:t>
            </w:r>
            <w:r w:rsidR="00A072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Pr="00292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podľa dvoch po sebe nasledujúcich sčítaniach obyvateľov </w:t>
            </w:r>
            <w:r w:rsidR="00A07228" w:rsidRPr="00A072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tvoria </w:t>
            </w:r>
            <w:r w:rsidRPr="00292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obci najmenej 15 % obyvateľov</w:t>
            </w:r>
            <w:r w:rsidR="00A072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292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právo v tejto obci používať v úradnom styku jazyk menšiny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Na uvedené je potrebné reagovať vydaním nového nariade</w:t>
            </w:r>
            <w:r w:rsidR="00C151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nia vlády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</w:t>
            </w:r>
            <w:r w:rsidRPr="00164D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torým sa vydáva zoznam obcí</w:t>
            </w:r>
            <w:r w:rsidRPr="00292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v ktorých občania Slovenskej republiky patriaci k národnostnej menšine tvoria najmenej 15 % obyvateľstva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4D38B3">
        <w:trPr>
          <w:trHeight w:val="443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4D38B3" w:rsidP="00F2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38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Zabezpečiť vykonateľnosť zákona č. 184/1999 Z. z. o používaní jazykov národnostných menšín v znení neskorších predpisov.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4D38B3" w:rsidP="003A2F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64D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Občania Slovenskej republiky, ktorí sú príslušníkmi národnostnej menšiny, orgány miestnej samosprávy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orgány štátnej správy</w:t>
            </w:r>
            <w:r w:rsidRPr="00164D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dotknutých obciach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4D38B3" w:rsidRDefault="004D38B3" w:rsidP="006C3C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5B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Ustanovenia zákona č. 184/1999 Z. z. o používaní jazykov národnostných menšín v znení neskorších predpisov</w:t>
            </w:r>
            <w:r w:rsidR="008D679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„zákon č. 184</w:t>
            </w:r>
            <w:r w:rsidR="00C151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/1999 Z. z.</w:t>
            </w:r>
            <w:r w:rsidR="008D679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“)</w:t>
            </w:r>
            <w:r w:rsidRPr="00F65B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by neboli vykonateľné, čo by zmarilo výkon práv garantovaných príslušníkom národnostných menšín Ústavou Slovenskej r</w:t>
            </w:r>
            <w:r w:rsidR="006C3C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epubliky </w:t>
            </w:r>
            <w:r w:rsidR="003A2F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</w:t>
            </w:r>
            <w:r w:rsidR="006C3C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C3CB7" w:rsidRPr="006C3C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uplatnenie nulového variantu znemožňuje prá</w:t>
            </w:r>
            <w:r w:rsidR="006C3C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vny predpis vyššej </w:t>
            </w:r>
            <w:r w:rsidR="006C3CB7" w:rsidRPr="006C3C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sily</w:t>
            </w:r>
            <w:r w:rsidR="006C3C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(zákon č. 184/1999</w:t>
            </w:r>
            <w:r w:rsidR="00C151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Z. z.</w:t>
            </w:r>
            <w:r w:rsidR="006C3C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:rsidR="00431727" w:rsidRPr="006C3CB7" w:rsidRDefault="00431727" w:rsidP="008D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zmysle Plánu legislatívnych úloh vlády Slovenskej republiky na rok 2022 sa mala predložiť novela nariadenia vlády SR č. 221/1999 Z. z., </w:t>
            </w:r>
            <w:r w:rsidRPr="00431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vydáva zoznam obcí, v ktorých občania Slovenskej republiky patriaci </w:t>
            </w:r>
            <w:r w:rsidR="003A2F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</w:t>
            </w:r>
            <w:r w:rsidRPr="00431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národnostnej menšine tvoria najmenej 20 % obyvateľstva v znení nariadenia vlády Slovens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kej republiky </w:t>
            </w:r>
            <w:r w:rsidR="003A2F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534/2011 Z. z. Z dôvodu </w:t>
            </w:r>
            <w:r w:rsidRPr="00431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zvýšenia prehľadnosti právneho predpisu, </w:t>
            </w:r>
            <w:r w:rsidR="003A2F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všeobecnej zrozumiteľnosti</w:t>
            </w:r>
            <w:r w:rsidRPr="00431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taktiež </w:t>
            </w:r>
            <w:r w:rsidR="008D679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</w:t>
            </w:r>
            <w:r w:rsidRPr="00431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dôvodu potreby zmeny názvu nariadenia v súvislosti so znížením percentuálneho kritéria, ktoré priniesla novela zákona č. 184/1999 </w:t>
            </w:r>
            <w:r w:rsidR="00C151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Z. z. </w:t>
            </w:r>
            <w:r w:rsidRPr="00431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(zákon č. 204/2011 Z. z. ktorým sa mení a dopĺňa zákon č. 184/1999 Z. z. o používaní jazykov národnostných menšín v znení zákona č. 318/2009 Z. z. a ktorým sa 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nia a dopĺňajú niektoré zákony) sa však materiál predkladá ako nové nariadenie, ktoré v § 2 obsahuje </w:t>
            </w:r>
            <w:r w:rsidRPr="004317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zrušovacie ustanovenie vo vzťahu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aktuálne platném</w:t>
            </w:r>
            <w:r w:rsidR="00A072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 a účinnému nariadeniu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1E638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E6383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B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  <w:bookmarkStart w:id="0" w:name="_GoBack"/>
            <w:bookmarkEnd w:id="0"/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771DB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:rsidR="008771DB" w:rsidRPr="000E2CB4" w:rsidRDefault="008771DB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2C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Nejde o transpozíciu práva EÚ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7B2F5C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B2F5C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7B2F5C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7B2F5C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7B2F5C" w:rsidRDefault="007B2F5C" w:rsidP="00D966A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nariadenia bude vykonávané každé dva roky po nadobudnutí jeho účinnosti, pričom sa budú zohľadňovať praktické skúsenosti jeho adresátov. Prieskum sa uskutoční prostredníctvom zisťovania, ktoré ÚSVNM pravidelne realizuje v zmysle § 7a ods. 2 zákona č. 184/1999 Z. z. o používaní jazykov národnostných menšín v znení neskorších predpisov, v zmysle ktorého: ,,</w:t>
            </w:r>
            <w:r w:rsidRPr="007B2F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predkladá vláde Slovenskej republiky raz za dva roky správu o stave používania jazykov menšín na území Slovenskej republiky.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“ V rámci prípravy tejto správy ÚSVNM na základe komunikácie s dotknutými obcami zisťuje mieru dodržiavania jazykových práv príslušníkov národnostných menšín (napr.: počet tabúľ označujúcich začiatok a koniec obce/časti obce v jazyku národnostnej menšiny, označenie verejných budov v jazyku národnostnej menšiny atď.)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4D38B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4D38B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B5793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F25CB2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F25CB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4D38B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4D38B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4D38B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4D38B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4D38B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B2F5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B2F5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4D38B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4D38B3" w:rsidRDefault="004C6831" w:rsidP="004D38B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4D38B3" w:rsidRPr="00B043B4" w:rsidRDefault="004D38B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11C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Petra Palková, Úrad splnomocnenca vlády Slovenskej republiky pre národnostné menšiny, </w:t>
            </w:r>
            <w:hyperlink r:id="rId9" w:history="1">
              <w:r w:rsidRPr="000E2990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petra.palkova@vlada,gov.sk</w:t>
              </w:r>
            </w:hyperlink>
            <w:r w:rsidRPr="00911C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911C53">
              <w:rPr>
                <w:rFonts w:ascii="Times New Roman" w:eastAsiaTheme="minorEastAsia" w:hAnsi="Times New Roman" w:cs="Times New Roman"/>
                <w:noProof/>
                <w:sz w:val="20"/>
                <w:lang w:eastAsia="sk-SK"/>
              </w:rPr>
              <w:t>+421 2 209 25 968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D38B3" w:rsidRDefault="001B23B7" w:rsidP="004D38B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1E6383">
              <w:rPr>
                <w:rFonts w:ascii="Times New Roman" w:eastAsia="Calibri" w:hAnsi="Times New Roman" w:cs="Times New Roman"/>
                <w:b/>
              </w:rPr>
              <w:t>137/2022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E638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E638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E638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E6383" w:rsidRPr="00B043B4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E6383" w:rsidRPr="007B2F5C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1E6383" w:rsidRPr="007B2F5C" w:rsidRDefault="001E6383" w:rsidP="001E63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odporúča predkladateľovi materiálu doplniť chýbajúci údaj v časti 8. Preskúmanie účelnosti – doplniť časovú lehotu (rok) a kritériá,  podľa ktorých je možné zhodnotiť, ako boli dosiahnuté stanovené ciele materiálu po stanovení základného rámca a spoločných princípoch či postupoch.  </w:t>
            </w:r>
          </w:p>
          <w:p w:rsidR="001E6383" w:rsidRPr="007B2F5C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Odôvodnenie:</w:t>
            </w:r>
          </w:p>
          <w:p w:rsidR="001E6383" w:rsidRDefault="001E6383" w:rsidP="001E63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Uvedené časti je potrebné uviesť v zmysle opäť aktualizovanej  Jednotnej metodiky na posudzovanie vybraných vplyvov, účinnej od 10.6.2022.</w:t>
            </w:r>
          </w:p>
          <w:p w:rsidR="001E6383" w:rsidRDefault="001E6383" w:rsidP="001E6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E6383" w:rsidRPr="007B2F5C" w:rsidRDefault="001E6383" w:rsidP="001E63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81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predkladateľa: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Pripomienka bola akceptovaná. Doložka bola upravená v zmysle pripomienky.</w:t>
            </w:r>
          </w:p>
          <w:p w:rsidR="001E6383" w:rsidRPr="007B2F5C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E6383" w:rsidRPr="007B2F5C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:rsidR="001E6383" w:rsidRPr="007B2F5C" w:rsidRDefault="001E6383" w:rsidP="001E63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doložke vybraných vplyvov je uvedený negatívny, rozpočtovo zabezpečený vplyv na rozpočet verejnej správy. V analýze vplyvov na rozpočet verejnej správy sú kvantifikované výdavky na realizáciu nariadenia na rok 2023 celkovo v sume 235 tis. eur (z toho MV SR, MPSVR SR, MF SR a MZ SR po 1 000 eur, obce 51 000 eur a VÚC 180 000 eur) a v ďalších rokoch v sume 8 800 eur každoročne (z toho MV SR, MPSVR SR, MF SR a MZ SR po 200 eur a obce 8 000 eur). V bode 2.1.1. Financovanie návrhu je uvedené, že opatrenia vyplývajúce z predkladaného návrhu budú financované v rámci rozpočtov dotknutých subjektov verejnej správy na príslušný rozpočtový rok, čo Komisia berie na vedomie.</w:t>
            </w:r>
          </w:p>
          <w:p w:rsidR="001E6383" w:rsidRPr="007B2F5C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E6383" w:rsidRPr="007B2F5C" w:rsidRDefault="001E6383" w:rsidP="001E63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príslušných tabuľkách analýzy vplyvov na rozpočet je potrebné uvádzať údaje za bežný rok a tri nasledujúce rozpočtové roky v súlade s Jednotnou metodikou na posudzovanie vybraných vplyvov. Je teda potrebné doplniť aj rok 2022, aby bolo jednoznačné, že v roku 2022 nevzniknú zvýšené výdavky na rozpočet verejnej správy vzhľadom na účinnosť návrhu od 1.1.2023.</w:t>
            </w:r>
          </w:p>
          <w:p w:rsidR="001E6383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E6383" w:rsidRDefault="001E6383" w:rsidP="001E6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E6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predkladateľa:</w:t>
            </w:r>
            <w:r w:rsidRPr="001E638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mienka bola akceptovaná. Analýza vplyvov na rozpočet verejnej správy</w:t>
            </w:r>
            <w:r w:rsidRPr="001E638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bola upravená v zmysle pripomienky.</w:t>
            </w:r>
          </w:p>
          <w:p w:rsidR="001E6383" w:rsidRPr="007B2F5C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E6383" w:rsidRPr="007B2F5C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procesy služieb vo verejnej správe</w:t>
            </w:r>
          </w:p>
          <w:p w:rsidR="001E6383" w:rsidRDefault="001E6383" w:rsidP="001E63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F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navrhuje predkladateľovi v doložke vybraných vplyvov vyznačiť negatívny vplyv v časti Vplyvy na procesy služieb vo verejnej správe, keďže pre orgány verejnej správy so sídlom v dotknutých obciach vyplývajú z predkladaného návrhu nové povinnosti, ktoré predkladateľ definoval v bode 7.3.2 v Analýze vplyvov na služby verejnej správy pre občana.</w:t>
            </w:r>
          </w:p>
          <w:p w:rsidR="001E6383" w:rsidRDefault="001E6383" w:rsidP="001E6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1E6383" w:rsidP="001E63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81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predkladateľa: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Pripomienka bola akceptovaná. Doložka bola upravená v zmysle pripomienky.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E638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E638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E638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7B2F5C" w:rsidRDefault="001B23B7" w:rsidP="001E638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E6383" w:rsidRPr="001E6383" w:rsidRDefault="001E6383" w:rsidP="001E638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1E6383"/>
    <w:sectPr w:rsidR="00274130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64" w:rsidRDefault="00237864" w:rsidP="001B23B7">
      <w:pPr>
        <w:spacing w:after="0" w:line="240" w:lineRule="auto"/>
      </w:pPr>
      <w:r>
        <w:separator/>
      </w:r>
    </w:p>
  </w:endnote>
  <w:endnote w:type="continuationSeparator" w:id="0">
    <w:p w:rsidR="00237864" w:rsidRDefault="0023786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3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64" w:rsidRDefault="00237864" w:rsidP="001B23B7">
      <w:pPr>
        <w:spacing w:after="0" w:line="240" w:lineRule="auto"/>
      </w:pPr>
      <w:r>
        <w:separator/>
      </w:r>
    </w:p>
  </w:footnote>
  <w:footnote w:type="continuationSeparator" w:id="0">
    <w:p w:rsidR="00237864" w:rsidRDefault="00237864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B37FB"/>
    <w:rsid w:val="000C73EB"/>
    <w:rsid w:val="000D348F"/>
    <w:rsid w:val="000E2CB4"/>
    <w:rsid w:val="000F2BE9"/>
    <w:rsid w:val="001B23B7"/>
    <w:rsid w:val="001E3562"/>
    <w:rsid w:val="001E6383"/>
    <w:rsid w:val="00202ADF"/>
    <w:rsid w:val="00203EE3"/>
    <w:rsid w:val="0023360B"/>
    <w:rsid w:val="00237864"/>
    <w:rsid w:val="00243652"/>
    <w:rsid w:val="003145AE"/>
    <w:rsid w:val="003A057B"/>
    <w:rsid w:val="003A2FC1"/>
    <w:rsid w:val="00431727"/>
    <w:rsid w:val="0049476D"/>
    <w:rsid w:val="004A4383"/>
    <w:rsid w:val="004C6831"/>
    <w:rsid w:val="004D38B3"/>
    <w:rsid w:val="00591EC6"/>
    <w:rsid w:val="006C3CB7"/>
    <w:rsid w:val="006F678E"/>
    <w:rsid w:val="006F6B62"/>
    <w:rsid w:val="00720322"/>
    <w:rsid w:val="0075197E"/>
    <w:rsid w:val="00761208"/>
    <w:rsid w:val="007B2F5C"/>
    <w:rsid w:val="007B40C1"/>
    <w:rsid w:val="00865E81"/>
    <w:rsid w:val="008771DB"/>
    <w:rsid w:val="008801B5"/>
    <w:rsid w:val="008B222D"/>
    <w:rsid w:val="008C79B7"/>
    <w:rsid w:val="008D6797"/>
    <w:rsid w:val="009431E3"/>
    <w:rsid w:val="009475F5"/>
    <w:rsid w:val="009717F5"/>
    <w:rsid w:val="009A0D5F"/>
    <w:rsid w:val="009C424C"/>
    <w:rsid w:val="009E09F7"/>
    <w:rsid w:val="009F4832"/>
    <w:rsid w:val="00A07228"/>
    <w:rsid w:val="00A340BB"/>
    <w:rsid w:val="00AC30D6"/>
    <w:rsid w:val="00B547F5"/>
    <w:rsid w:val="00B5793E"/>
    <w:rsid w:val="00B8171F"/>
    <w:rsid w:val="00B84F87"/>
    <w:rsid w:val="00BA2BF4"/>
    <w:rsid w:val="00C15109"/>
    <w:rsid w:val="00CE6AAE"/>
    <w:rsid w:val="00CF1A25"/>
    <w:rsid w:val="00D2313B"/>
    <w:rsid w:val="00D42B09"/>
    <w:rsid w:val="00D50F1E"/>
    <w:rsid w:val="00D966AE"/>
    <w:rsid w:val="00DF357C"/>
    <w:rsid w:val="00ED1AC0"/>
    <w:rsid w:val="00EE7D1E"/>
    <w:rsid w:val="00F24F6F"/>
    <w:rsid w:val="00F25CB2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B0FB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D3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tra.palkova@vlada,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D960FC-FF10-4434-A75F-AB298922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Palková Petra</cp:lastModifiedBy>
  <cp:revision>8</cp:revision>
  <cp:lastPrinted>2022-07-11T13:24:00Z</cp:lastPrinted>
  <dcterms:created xsi:type="dcterms:W3CDTF">2022-06-23T11:33:00Z</dcterms:created>
  <dcterms:modified xsi:type="dcterms:W3CDTF">2022-07-12T07:52:00Z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