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CF5" w:rsidRPr="00D91093" w:rsidRDefault="00012CF5" w:rsidP="00012CF5">
      <w:pPr>
        <w:jc w:val="center"/>
        <w:rPr>
          <w:b/>
          <w:sz w:val="28"/>
          <w:szCs w:val="28"/>
        </w:rPr>
      </w:pPr>
      <w:r w:rsidRPr="00D91093">
        <w:rPr>
          <w:b/>
          <w:sz w:val="28"/>
          <w:szCs w:val="28"/>
        </w:rPr>
        <w:t>Doložka vybraných vplyvov</w:t>
      </w:r>
    </w:p>
    <w:p w:rsidR="00012CF5" w:rsidRPr="00D91093" w:rsidRDefault="00012CF5" w:rsidP="00012CF5">
      <w:pPr>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012CF5" w:rsidRPr="00D91093" w:rsidTr="00FC4111">
        <w:tc>
          <w:tcPr>
            <w:tcW w:w="9180" w:type="dxa"/>
            <w:gridSpan w:val="11"/>
            <w:tcBorders>
              <w:bottom w:val="single" w:sz="4" w:space="0" w:color="FFFFFF"/>
            </w:tcBorders>
            <w:shd w:val="clear" w:color="auto" w:fill="E2E2E2"/>
          </w:tcPr>
          <w:p w:rsidR="00012CF5" w:rsidRPr="00D91093" w:rsidRDefault="00012CF5" w:rsidP="00012CF5">
            <w:pPr>
              <w:numPr>
                <w:ilvl w:val="0"/>
                <w:numId w:val="1"/>
              </w:numPr>
              <w:ind w:left="426"/>
              <w:contextualSpacing/>
              <w:rPr>
                <w:rFonts w:eastAsia="Calibri"/>
                <w:b/>
              </w:rPr>
            </w:pPr>
            <w:r w:rsidRPr="00D91093">
              <w:rPr>
                <w:rFonts w:eastAsia="Calibri"/>
                <w:b/>
              </w:rPr>
              <w:t>Základné údaje</w:t>
            </w:r>
          </w:p>
        </w:tc>
      </w:tr>
      <w:tr w:rsidR="00012CF5" w:rsidRPr="00D91093" w:rsidTr="00FC4111">
        <w:tc>
          <w:tcPr>
            <w:tcW w:w="9180" w:type="dxa"/>
            <w:gridSpan w:val="11"/>
            <w:tcBorders>
              <w:bottom w:val="single" w:sz="4" w:space="0" w:color="FFFFFF"/>
            </w:tcBorders>
            <w:shd w:val="clear" w:color="auto" w:fill="E2E2E2"/>
          </w:tcPr>
          <w:p w:rsidR="00012CF5" w:rsidRPr="00D91093" w:rsidRDefault="00012CF5" w:rsidP="00FC4111">
            <w:pPr>
              <w:ind w:left="142"/>
              <w:contextualSpacing/>
              <w:rPr>
                <w:rFonts w:eastAsia="Calibri"/>
                <w:b/>
              </w:rPr>
            </w:pPr>
            <w:r w:rsidRPr="00D91093">
              <w:rPr>
                <w:rFonts w:eastAsia="Calibri"/>
                <w:b/>
              </w:rPr>
              <w:t>Názov materiálu</w:t>
            </w:r>
          </w:p>
        </w:tc>
      </w:tr>
      <w:tr w:rsidR="00012CF5" w:rsidRPr="00D91093" w:rsidTr="00FC4111">
        <w:tc>
          <w:tcPr>
            <w:tcW w:w="9180" w:type="dxa"/>
            <w:gridSpan w:val="11"/>
            <w:tcBorders>
              <w:top w:val="single" w:sz="4" w:space="0" w:color="FFFFFF"/>
              <w:bottom w:val="single" w:sz="4" w:space="0" w:color="auto"/>
            </w:tcBorders>
          </w:tcPr>
          <w:p w:rsidR="00012CF5" w:rsidRPr="00D91093" w:rsidRDefault="00012CF5" w:rsidP="00FC4111">
            <w:pPr>
              <w:rPr>
                <w:sz w:val="20"/>
                <w:szCs w:val="20"/>
              </w:rPr>
            </w:pPr>
            <w:r w:rsidRPr="00D91093">
              <w:rPr>
                <w:sz w:val="20"/>
                <w:szCs w:val="20"/>
              </w:rPr>
              <w:t>Návrh zákona, ktorým sa</w:t>
            </w:r>
            <w:r w:rsidR="002A740B">
              <w:rPr>
                <w:sz w:val="20"/>
                <w:szCs w:val="20"/>
              </w:rPr>
              <w:t xml:space="preserve"> mení a</w:t>
            </w:r>
            <w:r w:rsidRPr="00D91093">
              <w:rPr>
                <w:sz w:val="20"/>
                <w:szCs w:val="20"/>
              </w:rPr>
              <w:t xml:space="preserve"> dopĺňa zákon č. 110/2004 Z. z. o fungovaní Bezpečnostnej rady Slovenskej republiky v čase mieru v znení neskorších predpisov</w:t>
            </w:r>
          </w:p>
        </w:tc>
      </w:tr>
      <w:tr w:rsidR="00012CF5" w:rsidRPr="00D91093" w:rsidTr="00FC4111">
        <w:tc>
          <w:tcPr>
            <w:tcW w:w="9180" w:type="dxa"/>
            <w:gridSpan w:val="11"/>
            <w:tcBorders>
              <w:top w:val="single" w:sz="4" w:space="0" w:color="auto"/>
              <w:left w:val="single" w:sz="4" w:space="0" w:color="auto"/>
              <w:bottom w:val="single" w:sz="4" w:space="0" w:color="FFFFFF"/>
            </w:tcBorders>
            <w:shd w:val="clear" w:color="auto" w:fill="E2E2E2"/>
          </w:tcPr>
          <w:p w:rsidR="00012CF5" w:rsidRPr="00D91093" w:rsidRDefault="00012CF5" w:rsidP="00FC4111">
            <w:pPr>
              <w:ind w:left="142"/>
              <w:contextualSpacing/>
              <w:rPr>
                <w:rFonts w:eastAsia="Calibri"/>
                <w:b/>
              </w:rPr>
            </w:pPr>
            <w:r w:rsidRPr="00D91093">
              <w:rPr>
                <w:rFonts w:eastAsia="Calibri"/>
                <w:b/>
              </w:rPr>
              <w:t>Predkladateľ (a spolupredkladateľ)</w:t>
            </w:r>
          </w:p>
        </w:tc>
      </w:tr>
      <w:tr w:rsidR="00012CF5" w:rsidRPr="00D91093" w:rsidTr="00FC4111">
        <w:tc>
          <w:tcPr>
            <w:tcW w:w="9180" w:type="dxa"/>
            <w:gridSpan w:val="11"/>
            <w:tcBorders>
              <w:top w:val="single" w:sz="4" w:space="0" w:color="FFFFFF"/>
              <w:left w:val="single" w:sz="4" w:space="0" w:color="auto"/>
              <w:bottom w:val="single" w:sz="4" w:space="0" w:color="auto"/>
            </w:tcBorders>
            <w:shd w:val="clear" w:color="auto" w:fill="FFFFFF"/>
          </w:tcPr>
          <w:p w:rsidR="00012CF5" w:rsidRPr="00D91093" w:rsidRDefault="00012CF5" w:rsidP="00FC4111">
            <w:pPr>
              <w:rPr>
                <w:sz w:val="20"/>
                <w:szCs w:val="20"/>
              </w:rPr>
            </w:pPr>
            <w:r w:rsidRPr="00D91093">
              <w:rPr>
                <w:rFonts w:ascii="Times" w:hAnsi="Times" w:cs="Times"/>
                <w:sz w:val="20"/>
                <w:szCs w:val="20"/>
              </w:rPr>
              <w:t>Ministerstvo obrany Slovenskej republiky</w:t>
            </w:r>
          </w:p>
          <w:p w:rsidR="00012CF5" w:rsidRPr="00D91093" w:rsidRDefault="00012CF5" w:rsidP="00FC4111">
            <w:pPr>
              <w:rPr>
                <w:sz w:val="20"/>
                <w:szCs w:val="20"/>
              </w:rPr>
            </w:pPr>
          </w:p>
        </w:tc>
      </w:tr>
      <w:tr w:rsidR="00012CF5" w:rsidRPr="00D91093" w:rsidTr="00FC4111">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012CF5" w:rsidRPr="00D91093" w:rsidRDefault="00012CF5" w:rsidP="00FC4111">
            <w:pPr>
              <w:ind w:left="142"/>
              <w:contextualSpacing/>
              <w:rPr>
                <w:rFonts w:eastAsia="Calibri"/>
                <w:b/>
              </w:rPr>
            </w:pPr>
            <w:r w:rsidRPr="00D91093">
              <w:rPr>
                <w:rFonts w:eastAsia="Calibri"/>
                <w:b/>
              </w:rPr>
              <w:t>Charakter predkladaného materiálu</w:t>
            </w:r>
          </w:p>
        </w:tc>
        <w:sdt>
          <w:sdtPr>
            <w:rPr>
              <w:sz w:val="20"/>
              <w:szCs w:val="20"/>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12CF5" w:rsidRPr="00D91093" w:rsidRDefault="00012CF5" w:rsidP="00FC4111">
                <w:pPr>
                  <w:jc w:val="center"/>
                  <w:rPr>
                    <w:sz w:val="20"/>
                    <w:szCs w:val="20"/>
                  </w:rPr>
                </w:pPr>
                <w:r w:rsidRPr="00D91093">
                  <w:rPr>
                    <w:rFonts w:ascii="MS Gothic" w:eastAsia="MS Gothic" w:hAnsi="MS Gothic"/>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012CF5" w:rsidRPr="00D91093" w:rsidRDefault="00012CF5" w:rsidP="00FC4111">
            <w:pPr>
              <w:rPr>
                <w:sz w:val="20"/>
                <w:szCs w:val="20"/>
              </w:rPr>
            </w:pPr>
            <w:r w:rsidRPr="00D91093">
              <w:rPr>
                <w:sz w:val="20"/>
                <w:szCs w:val="20"/>
              </w:rPr>
              <w:t>Materiál nelegislatívnej povahy</w:t>
            </w:r>
          </w:p>
        </w:tc>
      </w:tr>
      <w:tr w:rsidR="00012CF5" w:rsidRPr="00D91093" w:rsidTr="00FC4111">
        <w:tc>
          <w:tcPr>
            <w:tcW w:w="4212" w:type="dxa"/>
            <w:gridSpan w:val="2"/>
            <w:vMerge/>
            <w:tcBorders>
              <w:top w:val="nil"/>
              <w:left w:val="single" w:sz="4" w:space="0" w:color="auto"/>
              <w:bottom w:val="single" w:sz="4" w:space="0" w:color="FFFFFF"/>
            </w:tcBorders>
            <w:shd w:val="clear" w:color="auto" w:fill="E2E2E2"/>
          </w:tcPr>
          <w:p w:rsidR="00012CF5" w:rsidRPr="00D91093" w:rsidRDefault="00012CF5" w:rsidP="00FC4111">
            <w:pPr>
              <w:rPr>
                <w:sz w:val="20"/>
                <w:szCs w:val="20"/>
              </w:rPr>
            </w:pPr>
          </w:p>
        </w:tc>
        <w:sdt>
          <w:sdtPr>
            <w:rPr>
              <w:sz w:val="20"/>
              <w:szCs w:val="20"/>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12CF5" w:rsidRPr="00D91093" w:rsidRDefault="00012CF5" w:rsidP="00FC4111">
                <w:pPr>
                  <w:jc w:val="center"/>
                  <w:rPr>
                    <w:sz w:val="20"/>
                    <w:szCs w:val="20"/>
                  </w:rPr>
                </w:pPr>
                <w:r w:rsidRPr="00D91093">
                  <w:rPr>
                    <w:rFonts w:ascii="MS Gothic" w:eastAsia="MS Gothic" w:hAnsi="MS Gothic"/>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012CF5" w:rsidRPr="00D91093" w:rsidRDefault="00012CF5" w:rsidP="00FC4111">
            <w:pPr>
              <w:ind w:left="175" w:hanging="175"/>
              <w:rPr>
                <w:sz w:val="20"/>
                <w:szCs w:val="20"/>
              </w:rPr>
            </w:pPr>
            <w:r w:rsidRPr="00D91093">
              <w:rPr>
                <w:sz w:val="20"/>
                <w:szCs w:val="20"/>
              </w:rPr>
              <w:t>Materiál legislatívnej povahy</w:t>
            </w:r>
          </w:p>
        </w:tc>
      </w:tr>
      <w:tr w:rsidR="00012CF5" w:rsidRPr="00D91093" w:rsidTr="00FC4111">
        <w:tc>
          <w:tcPr>
            <w:tcW w:w="4212" w:type="dxa"/>
            <w:gridSpan w:val="2"/>
            <w:vMerge/>
            <w:tcBorders>
              <w:top w:val="nil"/>
              <w:left w:val="single" w:sz="4" w:space="0" w:color="auto"/>
              <w:bottom w:val="single" w:sz="4" w:space="0" w:color="auto"/>
            </w:tcBorders>
            <w:shd w:val="clear" w:color="auto" w:fill="E2E2E2"/>
          </w:tcPr>
          <w:p w:rsidR="00012CF5" w:rsidRPr="00D91093" w:rsidRDefault="00012CF5" w:rsidP="00FC4111">
            <w:pPr>
              <w:rPr>
                <w:sz w:val="20"/>
                <w:szCs w:val="20"/>
              </w:rPr>
            </w:pPr>
          </w:p>
        </w:tc>
        <w:sdt>
          <w:sdtPr>
            <w:rPr>
              <w:sz w:val="20"/>
              <w:szCs w:val="20"/>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012CF5" w:rsidRPr="00D91093" w:rsidRDefault="00012CF5" w:rsidP="00FC4111">
                <w:pPr>
                  <w:jc w:val="center"/>
                  <w:rPr>
                    <w:sz w:val="20"/>
                    <w:szCs w:val="20"/>
                  </w:rPr>
                </w:pPr>
                <w:r w:rsidRPr="00D91093">
                  <w:rPr>
                    <w:rFonts w:ascii="MS Gothic" w:eastAsia="MS Gothic" w:hAnsi="MS Gothic"/>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012CF5" w:rsidRPr="00D91093" w:rsidRDefault="00012CF5" w:rsidP="00FC4111">
            <w:pPr>
              <w:rPr>
                <w:sz w:val="20"/>
                <w:szCs w:val="20"/>
              </w:rPr>
            </w:pPr>
            <w:r w:rsidRPr="00D91093">
              <w:rPr>
                <w:sz w:val="20"/>
                <w:szCs w:val="20"/>
              </w:rPr>
              <w:t>Transpozícia práva EÚ</w:t>
            </w:r>
          </w:p>
        </w:tc>
      </w:tr>
      <w:tr w:rsidR="00012CF5" w:rsidRPr="00D91093" w:rsidTr="00FC4111">
        <w:tc>
          <w:tcPr>
            <w:tcW w:w="9180" w:type="dxa"/>
            <w:gridSpan w:val="11"/>
            <w:tcBorders>
              <w:top w:val="single" w:sz="4" w:space="0" w:color="auto"/>
              <w:left w:val="single" w:sz="4" w:space="0" w:color="auto"/>
              <w:bottom w:val="single" w:sz="4" w:space="0" w:color="FFFFFF"/>
            </w:tcBorders>
            <w:shd w:val="clear" w:color="auto" w:fill="FFFFFF"/>
          </w:tcPr>
          <w:p w:rsidR="00012CF5" w:rsidRPr="00D91093" w:rsidRDefault="00012CF5" w:rsidP="00FC4111">
            <w:pPr>
              <w:rPr>
                <w:sz w:val="20"/>
                <w:szCs w:val="20"/>
              </w:rPr>
            </w:pPr>
          </w:p>
          <w:p w:rsidR="00012CF5" w:rsidRPr="00D91093" w:rsidRDefault="00012CF5" w:rsidP="00FC4111">
            <w:pPr>
              <w:rPr>
                <w:sz w:val="20"/>
                <w:szCs w:val="20"/>
              </w:rPr>
            </w:pPr>
          </w:p>
        </w:tc>
      </w:tr>
      <w:tr w:rsidR="00012CF5" w:rsidRPr="00D91093" w:rsidTr="00FC4111">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012CF5" w:rsidRPr="00D91093" w:rsidRDefault="00012CF5" w:rsidP="00FC4111">
            <w:pPr>
              <w:ind w:left="142"/>
              <w:contextualSpacing/>
              <w:rPr>
                <w:rFonts w:eastAsia="Calibri"/>
                <w:b/>
              </w:rPr>
            </w:pPr>
            <w:r w:rsidRPr="00D91093">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012CF5" w:rsidRPr="00D91093" w:rsidRDefault="00012CF5" w:rsidP="00FC4111">
            <w:pPr>
              <w:rPr>
                <w:i/>
                <w:sz w:val="20"/>
                <w:szCs w:val="20"/>
              </w:rPr>
            </w:pPr>
          </w:p>
        </w:tc>
      </w:tr>
      <w:tr w:rsidR="00012CF5" w:rsidRPr="00D91093" w:rsidTr="00FC4111">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12CF5" w:rsidRPr="00D91093" w:rsidRDefault="00012CF5" w:rsidP="00FC4111">
            <w:pPr>
              <w:ind w:left="142"/>
              <w:contextualSpacing/>
              <w:rPr>
                <w:rFonts w:eastAsia="Calibri"/>
                <w:b/>
              </w:rPr>
            </w:pPr>
            <w:r w:rsidRPr="00D91093">
              <w:rPr>
                <w:rFonts w:eastAsia="Calibri"/>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012CF5" w:rsidRPr="00D91093" w:rsidRDefault="003023D0" w:rsidP="00FC4111">
            <w:pPr>
              <w:rPr>
                <w:i/>
                <w:sz w:val="20"/>
                <w:szCs w:val="20"/>
              </w:rPr>
            </w:pPr>
            <w:r>
              <w:rPr>
                <w:i/>
                <w:sz w:val="20"/>
                <w:szCs w:val="20"/>
              </w:rPr>
              <w:t>október</w:t>
            </w:r>
            <w:r w:rsidR="00012CF5" w:rsidRPr="00D91093">
              <w:rPr>
                <w:i/>
                <w:sz w:val="20"/>
                <w:szCs w:val="20"/>
              </w:rPr>
              <w:t xml:space="preserve"> 2022</w:t>
            </w:r>
          </w:p>
        </w:tc>
      </w:tr>
      <w:tr w:rsidR="00012CF5" w:rsidRPr="00D91093" w:rsidTr="00FC4111">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12CF5" w:rsidRPr="00D91093" w:rsidRDefault="00012CF5" w:rsidP="00FC4111">
            <w:pPr>
              <w:ind w:left="142"/>
              <w:contextualSpacing/>
              <w:rPr>
                <w:rFonts w:ascii="Calibri" w:eastAsia="Calibri" w:hAnsi="Calibri"/>
                <w:b/>
              </w:rPr>
            </w:pPr>
            <w:r w:rsidRPr="00D91093">
              <w:rPr>
                <w:rFonts w:eastAsia="Calibri"/>
                <w:b/>
              </w:rPr>
              <w:t>Predpokladaný termín začiatku a ukončenia ZP**</w:t>
            </w:r>
            <w:r w:rsidRPr="00D91093">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012CF5" w:rsidRPr="00D91093" w:rsidRDefault="00012CF5" w:rsidP="00FC4111">
            <w:pPr>
              <w:rPr>
                <w:i/>
                <w:sz w:val="20"/>
                <w:szCs w:val="20"/>
              </w:rPr>
            </w:pPr>
          </w:p>
        </w:tc>
      </w:tr>
      <w:tr w:rsidR="00012CF5" w:rsidRPr="00D91093" w:rsidTr="00FC4111">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012CF5" w:rsidRPr="00D91093" w:rsidRDefault="00012CF5" w:rsidP="00FC4111">
            <w:pPr>
              <w:ind w:left="142"/>
              <w:contextualSpacing/>
              <w:jc w:val="both"/>
              <w:rPr>
                <w:rFonts w:eastAsia="Calibri"/>
                <w:b/>
              </w:rPr>
            </w:pPr>
            <w:r w:rsidRPr="00D91093">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012CF5" w:rsidRPr="00D91093" w:rsidRDefault="00416DB3" w:rsidP="00FC4111">
            <w:pPr>
              <w:rPr>
                <w:i/>
                <w:sz w:val="20"/>
                <w:szCs w:val="20"/>
              </w:rPr>
            </w:pPr>
            <w:r>
              <w:rPr>
                <w:i/>
                <w:sz w:val="20"/>
                <w:szCs w:val="20"/>
              </w:rPr>
              <w:t>december</w:t>
            </w:r>
            <w:r w:rsidR="00012CF5" w:rsidRPr="00D91093">
              <w:rPr>
                <w:i/>
                <w:sz w:val="20"/>
                <w:szCs w:val="20"/>
              </w:rPr>
              <w:t xml:space="preserve"> 2022</w:t>
            </w:r>
          </w:p>
        </w:tc>
      </w:tr>
      <w:tr w:rsidR="00012CF5" w:rsidRPr="00D91093" w:rsidTr="00FC4111">
        <w:tc>
          <w:tcPr>
            <w:tcW w:w="9180" w:type="dxa"/>
            <w:gridSpan w:val="11"/>
            <w:tcBorders>
              <w:top w:val="single" w:sz="4" w:space="0" w:color="auto"/>
              <w:left w:val="nil"/>
              <w:bottom w:val="single" w:sz="4" w:space="0" w:color="auto"/>
              <w:right w:val="nil"/>
            </w:tcBorders>
            <w:shd w:val="clear" w:color="auto" w:fill="FFFFFF"/>
          </w:tcPr>
          <w:p w:rsidR="00012CF5" w:rsidRPr="00D91093" w:rsidRDefault="00012CF5" w:rsidP="00FC4111">
            <w:pPr>
              <w:rPr>
                <w:sz w:val="20"/>
                <w:szCs w:val="20"/>
              </w:rPr>
            </w:pPr>
          </w:p>
        </w:tc>
      </w:tr>
      <w:tr w:rsidR="00012CF5" w:rsidRPr="00D91093" w:rsidTr="00FC4111">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12CF5" w:rsidRPr="00D91093" w:rsidRDefault="00012CF5" w:rsidP="00012CF5">
            <w:pPr>
              <w:numPr>
                <w:ilvl w:val="0"/>
                <w:numId w:val="1"/>
              </w:numPr>
              <w:ind w:left="426"/>
              <w:contextualSpacing/>
              <w:rPr>
                <w:rFonts w:eastAsia="Calibri"/>
                <w:b/>
              </w:rPr>
            </w:pPr>
            <w:r w:rsidRPr="00D91093">
              <w:rPr>
                <w:rFonts w:eastAsia="Calibri"/>
                <w:b/>
              </w:rPr>
              <w:t>Definovanie problému</w:t>
            </w:r>
          </w:p>
        </w:tc>
      </w:tr>
      <w:tr w:rsidR="00012CF5" w:rsidRPr="00D91093" w:rsidTr="00FC4111">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012CF5" w:rsidRPr="00D91093" w:rsidRDefault="00012CF5" w:rsidP="00FC4111">
            <w:pPr>
              <w:widowControl w:val="0"/>
              <w:jc w:val="both"/>
              <w:rPr>
                <w:rFonts w:ascii="Times" w:hAnsi="Times" w:cs="Times"/>
                <w:sz w:val="20"/>
              </w:rPr>
            </w:pPr>
            <w:r w:rsidRPr="00D91093">
              <w:rPr>
                <w:rFonts w:ascii="Times" w:hAnsi="Times" w:cs="Times"/>
                <w:sz w:val="20"/>
              </w:rPr>
              <w:t xml:space="preserve">Zákon č. 110/2004 Z. z. o fungovaní Bezpečnostnej rady Slovenskej republiky v čase mieru v znení neskorších predpisov nedostatočne reflektuje dynamický vývoj medzinárodného bezpečnostného prostredia v oblasti hybridných hrozieb, neodráža potreby súčasného stavu a požadovanú schopnosť zodpovedných orgánov reagovať na hybridné hrozby. Bezpečnostná rada Slovenskej republiky v súčasnosti nedisponuje stálym pracovným výborom, ktorý by sa špecializoval na problematiku hybridných hrozieb a ktorý by mal v pôsobnosti koordinovať plánovanie opatrení zameraných na zachovanie bezpečnosti a budovanie odolnosti Slovenskej republiky voči pôsobeniu hybridných hrozieb. </w:t>
            </w:r>
            <w:bookmarkStart w:id="0" w:name="_GoBack"/>
            <w:bookmarkEnd w:id="0"/>
          </w:p>
          <w:p w:rsidR="00012CF5" w:rsidRPr="00D91093" w:rsidRDefault="009C19AB" w:rsidP="00FC4111">
            <w:pPr>
              <w:jc w:val="both"/>
              <w:rPr>
                <w:b/>
                <w:sz w:val="20"/>
                <w:szCs w:val="20"/>
              </w:rPr>
            </w:pPr>
            <w:r w:rsidRPr="009C19AB">
              <w:rPr>
                <w:rFonts w:ascii="Times" w:hAnsi="Times" w:cs="Times"/>
                <w:sz w:val="20"/>
                <w:szCs w:val="20"/>
              </w:rPr>
              <w:t>V Slovenskej republike je dlhodobo zaznamenávaný nárast hybridného pôsobenia Ruskej fe</w:t>
            </w:r>
            <w:r>
              <w:rPr>
                <w:rFonts w:ascii="Times" w:hAnsi="Times" w:cs="Times"/>
                <w:sz w:val="20"/>
                <w:szCs w:val="20"/>
              </w:rPr>
              <w:t>derácie, ako aj ďalších aktérov</w:t>
            </w:r>
            <w:r w:rsidR="00012CF5" w:rsidRPr="00D91093">
              <w:rPr>
                <w:rFonts w:ascii="Times" w:hAnsi="Times" w:cs="Times"/>
                <w:sz w:val="20"/>
                <w:szCs w:val="20"/>
              </w:rPr>
              <w:t>. Ruská invázia na Ukrajinu navyše zviditeľnila zraniteľnosti Slovenskej republiky voči hybridným hrozbám. Cudzie mocnosti využívajú široké spektrum nástrojov hybridného pôsobenia od diplomacie cez pôsobenie cudzích spravodajských služieb až po šírenie strategickej propagandy, ktorej cieľom je manipulovať verejnou mienkou, vplývať na predstaviteľov štátu a jeho inštitúcie, oslabiť alebo inak poškodiť záujmy Slovenskej republiky, či narušiť vnútornú kohéziu organizácií EÚ a NATO.</w:t>
            </w:r>
          </w:p>
        </w:tc>
      </w:tr>
      <w:tr w:rsidR="00012CF5" w:rsidRPr="00D91093" w:rsidTr="00FC4111">
        <w:tc>
          <w:tcPr>
            <w:tcW w:w="9180" w:type="dxa"/>
            <w:gridSpan w:val="11"/>
            <w:tcBorders>
              <w:top w:val="single" w:sz="4" w:space="0" w:color="auto"/>
              <w:left w:val="single" w:sz="4" w:space="0" w:color="auto"/>
              <w:bottom w:val="nil"/>
              <w:right w:val="single" w:sz="4" w:space="0" w:color="auto"/>
            </w:tcBorders>
            <w:shd w:val="clear" w:color="auto" w:fill="E2E2E2"/>
          </w:tcPr>
          <w:p w:rsidR="00012CF5" w:rsidRPr="00D91093" w:rsidRDefault="00012CF5" w:rsidP="00012CF5">
            <w:pPr>
              <w:numPr>
                <w:ilvl w:val="0"/>
                <w:numId w:val="1"/>
              </w:numPr>
              <w:ind w:left="426"/>
              <w:contextualSpacing/>
              <w:rPr>
                <w:rFonts w:eastAsia="Calibri"/>
                <w:b/>
              </w:rPr>
            </w:pPr>
            <w:r w:rsidRPr="00D91093">
              <w:rPr>
                <w:rFonts w:eastAsia="Calibri"/>
                <w:b/>
              </w:rPr>
              <w:t>Ciele a výsledný stav</w:t>
            </w:r>
          </w:p>
        </w:tc>
      </w:tr>
      <w:tr w:rsidR="00012CF5" w:rsidRPr="00D91093" w:rsidTr="00FC4111">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012CF5" w:rsidRPr="00D91093" w:rsidRDefault="00012CF5" w:rsidP="00FC4111">
            <w:pPr>
              <w:jc w:val="both"/>
              <w:rPr>
                <w:rFonts w:ascii="Times" w:hAnsi="Times" w:cs="Times"/>
                <w:sz w:val="20"/>
              </w:rPr>
            </w:pPr>
            <w:r w:rsidRPr="00D91093">
              <w:rPr>
                <w:rFonts w:ascii="Times" w:hAnsi="Times" w:cs="Times"/>
                <w:sz w:val="20"/>
              </w:rPr>
              <w:t>Návrhom zákona sa realizuje úloha Z.1 novelizovať zákon č. 110/2004 Z. z. o fungovaní Bezpečnostnej rady Slovenskej republiky v čase mieru v znení neskorších predpisov, ktorá pre Ministerstvo obrany Slovenskej republiky vyplýva z Akčného plánu koordinácie boja proti hybridným hrozbám na roky 2022 - 2024, schváleného uznesením vlády Slovenskej republiky č. 235 z 30. marca 2022. Hlavným poslaním nového výboru Bezpečnostnej rady Slovenskej republiky bude podieľať sa na koordinácii činností zameraných na vyhodnocovanie bezpečnostnej situácie doma a v zahraničí, koordinovanie opatrení na riešenie hybridného pôsobenia proti záujmom Slovenskej republiky a podieľať sa na tvorbe relevantných politík v oblasti boja  proti hybridným hrozbám</w:t>
            </w:r>
            <w:r w:rsidR="008F43EF">
              <w:rPr>
                <w:rFonts w:ascii="Times" w:hAnsi="Times" w:cs="Times"/>
                <w:sz w:val="20"/>
              </w:rPr>
              <w:t xml:space="preserve"> </w:t>
            </w:r>
            <w:r w:rsidR="008F43EF" w:rsidRPr="008F43EF">
              <w:rPr>
                <w:rFonts w:ascii="Times" w:hAnsi="Times" w:cs="Times"/>
                <w:sz w:val="20"/>
              </w:rPr>
              <w:t>s tým, že vykonávaním činností v oblasti koordinácie medzirezortnej a medzinárodnej spolupráce v oblasti hybridných hrozieb nový výbor Bezpečnostnej rady Slovenskej republiky nebude zasahovať do vymedzenia úloh a pôsobnosti Situačného centra Slovenskej republiky, Národného bezpečnostného analytického centra a výboru Bezpečnostnej rady Slovenskej republiky pre koordináciu spravodajských služieb</w:t>
            </w:r>
            <w:r w:rsidRPr="00D91093">
              <w:rPr>
                <w:rFonts w:ascii="Times" w:hAnsi="Times" w:cs="Times"/>
                <w:sz w:val="20"/>
              </w:rPr>
              <w:t>.</w:t>
            </w:r>
          </w:p>
        </w:tc>
      </w:tr>
      <w:tr w:rsidR="00012CF5" w:rsidRPr="00D91093" w:rsidTr="00FC4111">
        <w:tc>
          <w:tcPr>
            <w:tcW w:w="9180" w:type="dxa"/>
            <w:gridSpan w:val="11"/>
            <w:tcBorders>
              <w:top w:val="single" w:sz="4" w:space="0" w:color="auto"/>
              <w:left w:val="single" w:sz="4" w:space="0" w:color="auto"/>
              <w:bottom w:val="nil"/>
              <w:right w:val="single" w:sz="4" w:space="0" w:color="auto"/>
            </w:tcBorders>
            <w:shd w:val="clear" w:color="auto" w:fill="E2E2E2"/>
          </w:tcPr>
          <w:p w:rsidR="00012CF5" w:rsidRPr="00D91093" w:rsidRDefault="00012CF5" w:rsidP="00012CF5">
            <w:pPr>
              <w:numPr>
                <w:ilvl w:val="0"/>
                <w:numId w:val="1"/>
              </w:numPr>
              <w:ind w:left="426"/>
              <w:contextualSpacing/>
              <w:rPr>
                <w:rFonts w:eastAsia="Calibri"/>
                <w:b/>
              </w:rPr>
            </w:pPr>
            <w:r w:rsidRPr="00D91093">
              <w:rPr>
                <w:rFonts w:eastAsia="Calibri"/>
                <w:b/>
              </w:rPr>
              <w:t>Dotknuté subjekty</w:t>
            </w:r>
          </w:p>
        </w:tc>
      </w:tr>
      <w:tr w:rsidR="00012CF5" w:rsidRPr="00D91093" w:rsidTr="00FC4111">
        <w:tc>
          <w:tcPr>
            <w:tcW w:w="9180" w:type="dxa"/>
            <w:gridSpan w:val="11"/>
            <w:tcBorders>
              <w:top w:val="nil"/>
              <w:left w:val="single" w:sz="4" w:space="0" w:color="auto"/>
              <w:bottom w:val="single" w:sz="4" w:space="0" w:color="auto"/>
              <w:right w:val="single" w:sz="4" w:space="0" w:color="auto"/>
            </w:tcBorders>
            <w:shd w:val="clear" w:color="auto" w:fill="FFFFFF"/>
          </w:tcPr>
          <w:p w:rsidR="00012CF5" w:rsidRPr="00D91093" w:rsidRDefault="00012CF5" w:rsidP="00FC4111">
            <w:pPr>
              <w:rPr>
                <w:rFonts w:ascii="Times" w:hAnsi="Times" w:cs="Times"/>
                <w:sz w:val="20"/>
                <w:szCs w:val="20"/>
              </w:rPr>
            </w:pPr>
            <w:r w:rsidRPr="00D91093">
              <w:rPr>
                <w:rFonts w:ascii="Times" w:hAnsi="Times" w:cs="Times"/>
                <w:sz w:val="20"/>
                <w:szCs w:val="20"/>
              </w:rPr>
              <w:t xml:space="preserve">ústredné orgány štátnej správy, SIS </w:t>
            </w:r>
          </w:p>
        </w:tc>
      </w:tr>
      <w:tr w:rsidR="00012CF5" w:rsidRPr="00D91093" w:rsidTr="00FC4111">
        <w:tc>
          <w:tcPr>
            <w:tcW w:w="9180" w:type="dxa"/>
            <w:gridSpan w:val="11"/>
            <w:tcBorders>
              <w:top w:val="single" w:sz="4" w:space="0" w:color="auto"/>
              <w:left w:val="single" w:sz="4" w:space="0" w:color="auto"/>
              <w:bottom w:val="nil"/>
              <w:right w:val="single" w:sz="4" w:space="0" w:color="auto"/>
            </w:tcBorders>
            <w:shd w:val="clear" w:color="auto" w:fill="E2E2E2"/>
          </w:tcPr>
          <w:p w:rsidR="00012CF5" w:rsidRPr="00D91093" w:rsidRDefault="00012CF5" w:rsidP="00012CF5">
            <w:pPr>
              <w:numPr>
                <w:ilvl w:val="0"/>
                <w:numId w:val="1"/>
              </w:numPr>
              <w:ind w:left="426"/>
              <w:contextualSpacing/>
              <w:rPr>
                <w:rFonts w:eastAsia="Calibri"/>
                <w:b/>
              </w:rPr>
            </w:pPr>
            <w:r w:rsidRPr="00D91093">
              <w:rPr>
                <w:rFonts w:eastAsia="Calibri"/>
                <w:b/>
              </w:rPr>
              <w:t>Alternatívne riešenia</w:t>
            </w:r>
          </w:p>
        </w:tc>
      </w:tr>
      <w:tr w:rsidR="00012CF5" w:rsidRPr="00D91093" w:rsidTr="00FC4111">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012CF5" w:rsidRPr="00D91093" w:rsidRDefault="00012CF5" w:rsidP="00FC4111">
            <w:pPr>
              <w:jc w:val="both"/>
              <w:rPr>
                <w:sz w:val="20"/>
                <w:szCs w:val="20"/>
              </w:rPr>
            </w:pPr>
            <w:r w:rsidRPr="00D91093">
              <w:rPr>
                <w:sz w:val="20"/>
                <w:szCs w:val="20"/>
              </w:rPr>
              <w:t xml:space="preserve">Vzhľadom na úlohu vyplývajúcu z Akčného plánu koordinácie boja proti hybridným hrozbám na roky 2022 – 2024 schváleného uznesením vlády Slovenskej republiky č. 235/2022 sa pri riešení uvedenej problematiky uvažovalo iba s prijatím navrhovanej právnej úpravy. </w:t>
            </w:r>
          </w:p>
          <w:p w:rsidR="00012CF5" w:rsidRPr="00D91093" w:rsidRDefault="00012CF5" w:rsidP="00FC4111">
            <w:pPr>
              <w:jc w:val="both"/>
              <w:rPr>
                <w:sz w:val="20"/>
                <w:szCs w:val="20"/>
              </w:rPr>
            </w:pPr>
          </w:p>
          <w:p w:rsidR="00012CF5" w:rsidRPr="00D91093" w:rsidRDefault="00012CF5" w:rsidP="00FC4111">
            <w:pPr>
              <w:jc w:val="both"/>
              <w:rPr>
                <w:sz w:val="20"/>
                <w:szCs w:val="20"/>
              </w:rPr>
            </w:pPr>
            <w:r w:rsidRPr="00D91093">
              <w:rPr>
                <w:sz w:val="20"/>
                <w:szCs w:val="20"/>
              </w:rPr>
              <w:t>Nulový variant (neprijatie novej právnej úpravy) by mohol viesť k nasledujúcim dôsledkom:</w:t>
            </w:r>
          </w:p>
          <w:p w:rsidR="00012CF5" w:rsidRPr="00D91093" w:rsidRDefault="00012CF5" w:rsidP="00FC4111">
            <w:pPr>
              <w:jc w:val="both"/>
              <w:rPr>
                <w:sz w:val="20"/>
                <w:szCs w:val="20"/>
              </w:rPr>
            </w:pPr>
            <w:r w:rsidRPr="00D91093">
              <w:rPr>
                <w:sz w:val="20"/>
                <w:szCs w:val="20"/>
              </w:rPr>
              <w:lastRenderedPageBreak/>
              <w:t>- oslabená reakcia štátu na podvratné činnosti, ktoré vykonávajú cudzie mocnosti prostredníctvom využitia širokého spektra nástrojov hybridného pôsobenia, ktorých cieľom je manipulovať verejnou mienkou, vplývať na predstaviteľov štátu a jeho inštitúcie, oslabiť alebo inak poškodiť záujmy Slovenskej republiky, či narušiť vnútornú kohéziu Európskej únie a Severoatlantickej aliancie,</w:t>
            </w:r>
          </w:p>
          <w:p w:rsidR="00012CF5" w:rsidRPr="00D91093" w:rsidRDefault="00012CF5" w:rsidP="00FC4111">
            <w:pPr>
              <w:jc w:val="both"/>
              <w:rPr>
                <w:sz w:val="20"/>
                <w:szCs w:val="20"/>
              </w:rPr>
            </w:pPr>
          </w:p>
          <w:p w:rsidR="00012CF5" w:rsidRPr="00D91093" w:rsidRDefault="00012CF5" w:rsidP="00FC4111">
            <w:pPr>
              <w:jc w:val="both"/>
              <w:rPr>
                <w:i/>
                <w:sz w:val="20"/>
                <w:szCs w:val="20"/>
              </w:rPr>
            </w:pPr>
            <w:r w:rsidRPr="00D91093">
              <w:rPr>
                <w:sz w:val="20"/>
                <w:szCs w:val="20"/>
              </w:rPr>
              <w:t>- nedostatočná koordinácia z dôvodu absencie orgánu, ktorý by sa výhradne špecializoval na problematiku hybridných hrozieb a ktorý by dokázal pružne reagovať na dynamický vývoj medzinárodného bezpečnostného prostredia v oblasti hybridných hrozieb.</w:t>
            </w:r>
          </w:p>
        </w:tc>
      </w:tr>
      <w:tr w:rsidR="00012CF5" w:rsidRPr="00D91093" w:rsidTr="00FC4111">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12CF5" w:rsidRPr="00D91093" w:rsidRDefault="00012CF5" w:rsidP="00012CF5">
            <w:pPr>
              <w:numPr>
                <w:ilvl w:val="0"/>
                <w:numId w:val="1"/>
              </w:numPr>
              <w:ind w:left="426"/>
              <w:contextualSpacing/>
              <w:rPr>
                <w:rFonts w:eastAsia="Calibri"/>
                <w:b/>
              </w:rPr>
            </w:pPr>
            <w:r w:rsidRPr="00D91093">
              <w:rPr>
                <w:rFonts w:eastAsia="Calibri"/>
                <w:b/>
              </w:rPr>
              <w:lastRenderedPageBreak/>
              <w:t>Vykonávacie predpisy</w:t>
            </w:r>
          </w:p>
        </w:tc>
      </w:tr>
      <w:tr w:rsidR="00012CF5" w:rsidRPr="00D91093" w:rsidTr="00FC4111">
        <w:tc>
          <w:tcPr>
            <w:tcW w:w="6203" w:type="dxa"/>
            <w:gridSpan w:val="7"/>
            <w:tcBorders>
              <w:top w:val="single" w:sz="4" w:space="0" w:color="FFFFFF"/>
              <w:left w:val="single" w:sz="4" w:space="0" w:color="auto"/>
              <w:bottom w:val="nil"/>
              <w:right w:val="nil"/>
            </w:tcBorders>
            <w:shd w:val="clear" w:color="auto" w:fill="FFFFFF"/>
          </w:tcPr>
          <w:p w:rsidR="00012CF5" w:rsidRPr="00D91093" w:rsidRDefault="00012CF5" w:rsidP="00FC4111">
            <w:pPr>
              <w:rPr>
                <w:i/>
                <w:sz w:val="20"/>
                <w:szCs w:val="20"/>
              </w:rPr>
            </w:pPr>
            <w:r w:rsidRPr="00D91093">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012CF5" w:rsidRPr="00D91093" w:rsidRDefault="003E7225" w:rsidP="00FC4111">
            <w:pPr>
              <w:jc w:val="center"/>
              <w:rPr>
                <w:b/>
                <w:sz w:val="20"/>
                <w:szCs w:val="20"/>
              </w:rPr>
            </w:pPr>
            <w:sdt>
              <w:sdtPr>
                <w:rPr>
                  <w:b/>
                  <w:sz w:val="20"/>
                  <w:szCs w:val="20"/>
                </w:rPr>
                <w:id w:val="1929613764"/>
                <w14:checkbox>
                  <w14:checked w14:val="0"/>
                  <w14:checkedState w14:val="2612" w14:font="MS Gothic"/>
                  <w14:uncheckedState w14:val="2610" w14:font="MS Gothic"/>
                </w14:checkbox>
              </w:sdtPr>
              <w:sdtEndPr/>
              <w:sdtContent>
                <w:r w:rsidR="00012CF5" w:rsidRPr="00D91093">
                  <w:rPr>
                    <w:rFonts w:ascii="MS Gothic" w:eastAsia="MS Gothic" w:hAnsi="MS Gothic"/>
                    <w:b/>
                    <w:sz w:val="20"/>
                    <w:szCs w:val="20"/>
                  </w:rPr>
                  <w:t>☐</w:t>
                </w:r>
              </w:sdtContent>
            </w:sdt>
            <w:r w:rsidR="00012CF5" w:rsidRPr="00D91093">
              <w:rPr>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012CF5" w:rsidRPr="00D91093" w:rsidRDefault="003E7225" w:rsidP="00FC4111">
            <w:pPr>
              <w:jc w:val="center"/>
              <w:rPr>
                <w:b/>
                <w:sz w:val="20"/>
                <w:szCs w:val="20"/>
              </w:rPr>
            </w:pPr>
            <w:sdt>
              <w:sdtPr>
                <w:rPr>
                  <w:b/>
                  <w:sz w:val="20"/>
                  <w:szCs w:val="20"/>
                </w:rPr>
                <w:id w:val="-1594626508"/>
                <w14:checkbox>
                  <w14:checked w14:val="1"/>
                  <w14:checkedState w14:val="2612" w14:font="MS Gothic"/>
                  <w14:uncheckedState w14:val="2610" w14:font="MS Gothic"/>
                </w14:checkbox>
              </w:sdtPr>
              <w:sdtEndPr/>
              <w:sdtContent>
                <w:r w:rsidR="00012CF5" w:rsidRPr="00D91093">
                  <w:rPr>
                    <w:rFonts w:ascii="MS Gothic" w:eastAsia="MS Gothic" w:hAnsi="MS Gothic"/>
                    <w:b/>
                    <w:sz w:val="20"/>
                    <w:szCs w:val="20"/>
                  </w:rPr>
                  <w:t>☒</w:t>
                </w:r>
              </w:sdtContent>
            </w:sdt>
            <w:r w:rsidR="00012CF5" w:rsidRPr="00D91093">
              <w:rPr>
                <w:b/>
                <w:sz w:val="20"/>
                <w:szCs w:val="20"/>
              </w:rPr>
              <w:t xml:space="preserve">  Nie</w:t>
            </w:r>
          </w:p>
        </w:tc>
      </w:tr>
      <w:tr w:rsidR="00012CF5" w:rsidRPr="00D91093" w:rsidTr="00FC4111">
        <w:tc>
          <w:tcPr>
            <w:tcW w:w="9180" w:type="dxa"/>
            <w:gridSpan w:val="11"/>
            <w:tcBorders>
              <w:top w:val="nil"/>
              <w:left w:val="single" w:sz="4" w:space="0" w:color="auto"/>
              <w:bottom w:val="single" w:sz="4" w:space="0" w:color="auto"/>
              <w:right w:val="single" w:sz="4" w:space="0" w:color="auto"/>
            </w:tcBorders>
            <w:shd w:val="clear" w:color="auto" w:fill="FFFFFF"/>
          </w:tcPr>
          <w:p w:rsidR="00012CF5" w:rsidRPr="00D91093" w:rsidRDefault="00012CF5" w:rsidP="00FC4111">
            <w:pPr>
              <w:rPr>
                <w:i/>
                <w:sz w:val="20"/>
                <w:szCs w:val="20"/>
              </w:rPr>
            </w:pPr>
            <w:r w:rsidRPr="00D91093">
              <w:rPr>
                <w:i/>
                <w:sz w:val="20"/>
                <w:szCs w:val="20"/>
              </w:rPr>
              <w:t>Ak áno, uveďte ktoré oblasti budú nimi upravené, resp. ktorých vykonávacích predpisov sa zmena dotkne:</w:t>
            </w:r>
          </w:p>
          <w:p w:rsidR="00012CF5" w:rsidRPr="00D91093" w:rsidRDefault="00012CF5" w:rsidP="00FC4111">
            <w:pPr>
              <w:rPr>
                <w:sz w:val="20"/>
                <w:szCs w:val="20"/>
              </w:rPr>
            </w:pPr>
          </w:p>
        </w:tc>
      </w:tr>
      <w:tr w:rsidR="00012CF5" w:rsidRPr="00D91093" w:rsidTr="00FC4111">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12CF5" w:rsidRPr="00D91093" w:rsidRDefault="00012CF5" w:rsidP="00012CF5">
            <w:pPr>
              <w:numPr>
                <w:ilvl w:val="0"/>
                <w:numId w:val="1"/>
              </w:numPr>
              <w:ind w:left="426"/>
              <w:contextualSpacing/>
              <w:rPr>
                <w:rFonts w:eastAsia="Calibri"/>
                <w:b/>
              </w:rPr>
            </w:pPr>
            <w:r w:rsidRPr="00D91093">
              <w:rPr>
                <w:rFonts w:eastAsia="Calibri"/>
                <w:b/>
              </w:rPr>
              <w:t xml:space="preserve">Transpozícia práva EÚ </w:t>
            </w:r>
          </w:p>
        </w:tc>
      </w:tr>
      <w:tr w:rsidR="00012CF5" w:rsidRPr="00D91093" w:rsidTr="00FC4111">
        <w:trPr>
          <w:trHeight w:val="157"/>
        </w:trPr>
        <w:tc>
          <w:tcPr>
            <w:tcW w:w="9180" w:type="dxa"/>
            <w:gridSpan w:val="11"/>
            <w:tcBorders>
              <w:top w:val="nil"/>
              <w:left w:val="single" w:sz="4" w:space="0" w:color="000000"/>
              <w:bottom w:val="nil"/>
              <w:right w:val="single" w:sz="4" w:space="0" w:color="auto"/>
            </w:tcBorders>
            <w:shd w:val="clear" w:color="auto" w:fill="FFFFFF"/>
          </w:tcPr>
          <w:p w:rsidR="00012CF5" w:rsidRPr="00D91093" w:rsidRDefault="00012CF5" w:rsidP="00FC4111">
            <w:pPr>
              <w:jc w:val="both"/>
              <w:rPr>
                <w:i/>
                <w:sz w:val="20"/>
                <w:szCs w:val="20"/>
              </w:rPr>
            </w:pPr>
            <w:r w:rsidRPr="00D91093">
              <w:rPr>
                <w:rFonts w:ascii="Times" w:hAnsi="Times" w:cs="Times"/>
                <w:bCs/>
                <w:sz w:val="20"/>
                <w:szCs w:val="20"/>
              </w:rPr>
              <w:t>Navrhovaná právna úprava nie je transpozíciou práva Európskej únie.</w:t>
            </w:r>
          </w:p>
        </w:tc>
      </w:tr>
      <w:tr w:rsidR="00012CF5" w:rsidRPr="00D91093" w:rsidTr="00FC4111">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012CF5" w:rsidRPr="00D91093" w:rsidRDefault="00012CF5" w:rsidP="00FC4111">
            <w:pPr>
              <w:jc w:val="center"/>
              <w:rPr>
                <w:sz w:val="20"/>
                <w:szCs w:val="20"/>
              </w:rPr>
            </w:pPr>
          </w:p>
        </w:tc>
      </w:tr>
      <w:tr w:rsidR="00012CF5" w:rsidRPr="00D91093" w:rsidTr="00FC4111">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012CF5" w:rsidRPr="00D91093" w:rsidRDefault="00012CF5" w:rsidP="00012CF5">
            <w:pPr>
              <w:numPr>
                <w:ilvl w:val="0"/>
                <w:numId w:val="1"/>
              </w:numPr>
              <w:ind w:left="426"/>
              <w:contextualSpacing/>
              <w:rPr>
                <w:rFonts w:eastAsia="Calibri"/>
                <w:b/>
              </w:rPr>
            </w:pPr>
            <w:r w:rsidRPr="00D91093">
              <w:rPr>
                <w:rFonts w:eastAsia="Calibri"/>
                <w:b/>
              </w:rPr>
              <w:t>Preskúmanie účelnosti</w:t>
            </w:r>
          </w:p>
        </w:tc>
      </w:tr>
      <w:tr w:rsidR="00012CF5" w:rsidRPr="00D91093" w:rsidTr="00FC4111">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012CF5" w:rsidRPr="00D91093" w:rsidRDefault="00012CF5" w:rsidP="00F82124">
            <w:pPr>
              <w:jc w:val="both"/>
              <w:rPr>
                <w:i/>
                <w:sz w:val="20"/>
                <w:szCs w:val="20"/>
              </w:rPr>
            </w:pPr>
            <w:r w:rsidRPr="00D91093">
              <w:rPr>
                <w:sz w:val="20"/>
                <w:szCs w:val="20"/>
              </w:rPr>
              <w:t>Preskúmanie účelnosti zákona sa zrealizuje v roku 2024 na základe získaných poznatkov z aplikačnej praxe v</w:t>
            </w:r>
            <w:r w:rsidR="00F82124">
              <w:rPr>
                <w:sz w:val="20"/>
                <w:szCs w:val="20"/>
              </w:rPr>
              <w:t> </w:t>
            </w:r>
            <w:r w:rsidRPr="00D91093">
              <w:rPr>
                <w:sz w:val="20"/>
                <w:szCs w:val="20"/>
              </w:rPr>
              <w:t>oblasti hybridných hrozieb.</w:t>
            </w:r>
          </w:p>
        </w:tc>
      </w:tr>
      <w:tr w:rsidR="00012CF5" w:rsidRPr="00D91093" w:rsidTr="00FC4111">
        <w:tc>
          <w:tcPr>
            <w:tcW w:w="9180" w:type="dxa"/>
            <w:gridSpan w:val="11"/>
            <w:tcBorders>
              <w:top w:val="nil"/>
              <w:left w:val="nil"/>
              <w:bottom w:val="single" w:sz="4" w:space="0" w:color="auto"/>
              <w:right w:val="nil"/>
            </w:tcBorders>
            <w:shd w:val="clear" w:color="auto" w:fill="FFFFFF"/>
          </w:tcPr>
          <w:p w:rsidR="00012CF5" w:rsidRPr="00D91093" w:rsidRDefault="00012CF5" w:rsidP="00FC4111">
            <w:pPr>
              <w:rPr>
                <w:b/>
                <w:sz w:val="20"/>
                <w:szCs w:val="20"/>
              </w:rPr>
            </w:pPr>
          </w:p>
          <w:p w:rsidR="00012CF5" w:rsidRPr="00D91093" w:rsidRDefault="00012CF5" w:rsidP="00FC4111">
            <w:pPr>
              <w:ind w:left="142" w:hanging="142"/>
              <w:rPr>
                <w:sz w:val="20"/>
                <w:szCs w:val="20"/>
              </w:rPr>
            </w:pPr>
            <w:r w:rsidRPr="00D91093">
              <w:rPr>
                <w:sz w:val="20"/>
                <w:szCs w:val="20"/>
              </w:rPr>
              <w:t xml:space="preserve">* vyplniť iba v prípade, ak materiál nie je zahrnutý do Plánu práce vlády Slovenskej republiky alebo Plánu        legislatívnych úloh vlády Slovenskej republiky. </w:t>
            </w:r>
          </w:p>
          <w:p w:rsidR="00012CF5" w:rsidRPr="00D91093" w:rsidRDefault="00012CF5" w:rsidP="00FC4111">
            <w:pPr>
              <w:rPr>
                <w:sz w:val="20"/>
                <w:szCs w:val="20"/>
              </w:rPr>
            </w:pPr>
            <w:r w:rsidRPr="00D91093">
              <w:rPr>
                <w:sz w:val="20"/>
                <w:szCs w:val="20"/>
              </w:rPr>
              <w:t>** vyplniť iba v prípade, ak sa záverečné posúdenie vybraných vplyvov uskutočnilo v zmysle bodu 9.1. jednotnej metodiky.</w:t>
            </w:r>
          </w:p>
          <w:p w:rsidR="00012CF5" w:rsidRPr="00D91093" w:rsidRDefault="00012CF5" w:rsidP="00FC4111">
            <w:pPr>
              <w:rPr>
                <w:b/>
                <w:sz w:val="20"/>
                <w:szCs w:val="20"/>
              </w:rPr>
            </w:pPr>
          </w:p>
        </w:tc>
      </w:tr>
      <w:tr w:rsidR="00012CF5" w:rsidRPr="00D91093" w:rsidTr="00FC4111">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012CF5" w:rsidRPr="00D91093" w:rsidRDefault="00012CF5" w:rsidP="00012CF5">
            <w:pPr>
              <w:numPr>
                <w:ilvl w:val="0"/>
                <w:numId w:val="1"/>
              </w:numPr>
              <w:ind w:left="426"/>
              <w:contextualSpacing/>
              <w:rPr>
                <w:rFonts w:eastAsia="Calibri"/>
                <w:b/>
              </w:rPr>
            </w:pPr>
            <w:r w:rsidRPr="00D91093">
              <w:rPr>
                <w:rFonts w:eastAsia="Calibri"/>
                <w:b/>
              </w:rPr>
              <w:t>Vybrané vplyvy  materiálu</w:t>
            </w:r>
          </w:p>
        </w:tc>
      </w:tr>
      <w:tr w:rsidR="00012CF5" w:rsidRPr="00D91093" w:rsidTr="00FC4111">
        <w:tc>
          <w:tcPr>
            <w:tcW w:w="3812" w:type="dxa"/>
            <w:tcBorders>
              <w:top w:val="single" w:sz="4" w:space="0" w:color="auto"/>
              <w:left w:val="single" w:sz="4" w:space="0" w:color="auto"/>
              <w:bottom w:val="nil"/>
              <w:right w:val="single" w:sz="4" w:space="0" w:color="auto"/>
            </w:tcBorders>
            <w:shd w:val="clear" w:color="auto" w:fill="E2E2E2"/>
          </w:tcPr>
          <w:p w:rsidR="00012CF5" w:rsidRPr="00D91093" w:rsidRDefault="00012CF5" w:rsidP="00FC4111">
            <w:pPr>
              <w:rPr>
                <w:b/>
                <w:sz w:val="20"/>
                <w:szCs w:val="20"/>
              </w:rPr>
            </w:pPr>
            <w:r w:rsidRPr="00D91093">
              <w:rPr>
                <w:b/>
                <w:sz w:val="20"/>
                <w:szCs w:val="20"/>
              </w:rPr>
              <w:t>Vplyvy na rozpočet verejnej správy</w:t>
            </w:r>
          </w:p>
        </w:tc>
        <w:sdt>
          <w:sdtPr>
            <w:rPr>
              <w:b/>
              <w:sz w:val="20"/>
              <w:szCs w:val="20"/>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312" w:type="dxa"/>
            <w:gridSpan w:val="2"/>
            <w:tcBorders>
              <w:top w:val="single" w:sz="4" w:space="0" w:color="auto"/>
              <w:left w:val="nil"/>
              <w:bottom w:val="dotted" w:sz="4" w:space="0" w:color="auto"/>
              <w:right w:val="nil"/>
            </w:tcBorders>
          </w:tcPr>
          <w:p w:rsidR="00012CF5" w:rsidRPr="00D91093" w:rsidRDefault="00012CF5" w:rsidP="00FC4111">
            <w:pPr>
              <w:rPr>
                <w:b/>
                <w:sz w:val="20"/>
                <w:szCs w:val="20"/>
              </w:rPr>
            </w:pPr>
            <w:r w:rsidRPr="00D91093">
              <w:rPr>
                <w:b/>
                <w:sz w:val="20"/>
                <w:szCs w:val="20"/>
              </w:rPr>
              <w:t>Pozitívne</w:t>
            </w:r>
          </w:p>
        </w:tc>
        <w:sdt>
          <w:sdtPr>
            <w:rPr>
              <w:b/>
              <w:sz w:val="20"/>
              <w:szCs w:val="20"/>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133" w:type="dxa"/>
            <w:tcBorders>
              <w:top w:val="single" w:sz="4" w:space="0" w:color="auto"/>
              <w:left w:val="nil"/>
              <w:bottom w:val="dotted" w:sz="4" w:space="0" w:color="auto"/>
              <w:right w:val="nil"/>
            </w:tcBorders>
          </w:tcPr>
          <w:p w:rsidR="00012CF5" w:rsidRPr="00D91093" w:rsidRDefault="00012CF5" w:rsidP="00FC4111">
            <w:pPr>
              <w:rPr>
                <w:b/>
                <w:sz w:val="20"/>
                <w:szCs w:val="20"/>
              </w:rPr>
            </w:pPr>
            <w:r w:rsidRPr="00D91093">
              <w:rPr>
                <w:b/>
                <w:sz w:val="20"/>
                <w:szCs w:val="20"/>
              </w:rPr>
              <w:t>Žiadne</w:t>
            </w:r>
          </w:p>
        </w:tc>
        <w:sdt>
          <w:sdtPr>
            <w:rPr>
              <w:b/>
              <w:sz w:val="20"/>
              <w:szCs w:val="20"/>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012CF5" w:rsidRPr="00D91093" w:rsidRDefault="00012CF5" w:rsidP="00FC4111">
                <w:pPr>
                  <w:ind w:left="-107" w:right="-108"/>
                  <w:jc w:val="center"/>
                  <w:rPr>
                    <w:b/>
                    <w:sz w:val="20"/>
                    <w:szCs w:val="20"/>
                  </w:rPr>
                </w:pPr>
                <w:r w:rsidRPr="00D91093">
                  <w:rPr>
                    <w:rFonts w:ascii="MS Gothic" w:eastAsia="MS Gothic" w:hAnsi="MS Gothic"/>
                    <w:b/>
                    <w:sz w:val="20"/>
                    <w:szCs w:val="20"/>
                  </w:rPr>
                  <w:t>☐</w:t>
                </w:r>
              </w:p>
            </w:tc>
          </w:sdtContent>
        </w:sdt>
        <w:tc>
          <w:tcPr>
            <w:tcW w:w="1297" w:type="dxa"/>
            <w:tcBorders>
              <w:top w:val="single" w:sz="4" w:space="0" w:color="auto"/>
              <w:left w:val="nil"/>
              <w:bottom w:val="dotted" w:sz="4" w:space="0" w:color="auto"/>
              <w:right w:val="single" w:sz="4" w:space="0" w:color="auto"/>
            </w:tcBorders>
          </w:tcPr>
          <w:p w:rsidR="00012CF5" w:rsidRPr="00D91093" w:rsidRDefault="00012CF5" w:rsidP="00FC4111">
            <w:pPr>
              <w:ind w:left="34"/>
              <w:rPr>
                <w:b/>
                <w:sz w:val="20"/>
                <w:szCs w:val="20"/>
              </w:rPr>
            </w:pPr>
            <w:r w:rsidRPr="00D91093">
              <w:rPr>
                <w:b/>
                <w:sz w:val="20"/>
                <w:szCs w:val="20"/>
              </w:rPr>
              <w:t>Negatívne</w:t>
            </w:r>
          </w:p>
        </w:tc>
      </w:tr>
      <w:tr w:rsidR="00012CF5" w:rsidRPr="00D91093" w:rsidTr="00FC4111">
        <w:tc>
          <w:tcPr>
            <w:tcW w:w="3812" w:type="dxa"/>
            <w:tcBorders>
              <w:top w:val="nil"/>
              <w:left w:val="single" w:sz="4" w:space="0" w:color="auto"/>
              <w:bottom w:val="nil"/>
              <w:right w:val="single" w:sz="4" w:space="0" w:color="auto"/>
            </w:tcBorders>
            <w:shd w:val="clear" w:color="auto" w:fill="E2E2E2"/>
          </w:tcPr>
          <w:p w:rsidR="00012CF5" w:rsidRPr="00D91093" w:rsidRDefault="00012CF5" w:rsidP="00FC4111">
            <w:pPr>
              <w:rPr>
                <w:sz w:val="20"/>
                <w:szCs w:val="20"/>
              </w:rPr>
            </w:pPr>
            <w:r w:rsidRPr="00D91093">
              <w:rPr>
                <w:sz w:val="20"/>
                <w:szCs w:val="20"/>
              </w:rPr>
              <w:t xml:space="preserve">    z toho rozpočtovo zabezpečené vplyvy,         </w:t>
            </w:r>
          </w:p>
          <w:p w:rsidR="00012CF5" w:rsidRPr="00D91093" w:rsidRDefault="00012CF5" w:rsidP="00FC4111">
            <w:pPr>
              <w:rPr>
                <w:sz w:val="20"/>
                <w:szCs w:val="20"/>
              </w:rPr>
            </w:pPr>
            <w:r w:rsidRPr="00D91093">
              <w:rPr>
                <w:sz w:val="20"/>
                <w:szCs w:val="20"/>
              </w:rPr>
              <w:t xml:space="preserve">    v prípade identifikovaného negatívneho </w:t>
            </w:r>
          </w:p>
          <w:p w:rsidR="00012CF5" w:rsidRPr="00D91093" w:rsidRDefault="00012CF5" w:rsidP="00FC4111">
            <w:pPr>
              <w:rPr>
                <w:sz w:val="20"/>
                <w:szCs w:val="20"/>
              </w:rPr>
            </w:pPr>
            <w:r w:rsidRPr="00D91093">
              <w:rPr>
                <w:sz w:val="20"/>
                <w:szCs w:val="20"/>
              </w:rPr>
              <w:t xml:space="preserve">    vplyvu</w:t>
            </w:r>
          </w:p>
        </w:tc>
        <w:sdt>
          <w:sdtPr>
            <w:rPr>
              <w:sz w:val="20"/>
              <w:szCs w:val="20"/>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012CF5" w:rsidRPr="00D91093" w:rsidRDefault="00012CF5" w:rsidP="00FC4111">
                <w:pPr>
                  <w:jc w:val="center"/>
                  <w:rPr>
                    <w:sz w:val="20"/>
                    <w:szCs w:val="20"/>
                  </w:rPr>
                </w:pPr>
                <w:r w:rsidRPr="00D91093">
                  <w:rPr>
                    <w:rFonts w:ascii="MS Gothic" w:eastAsia="MS Gothic" w:hAnsi="MS Gothic"/>
                    <w:sz w:val="20"/>
                    <w:szCs w:val="20"/>
                  </w:rPr>
                  <w:t>☐</w:t>
                </w:r>
              </w:p>
            </w:tc>
          </w:sdtContent>
        </w:sdt>
        <w:tc>
          <w:tcPr>
            <w:tcW w:w="1312" w:type="dxa"/>
            <w:gridSpan w:val="2"/>
            <w:tcBorders>
              <w:top w:val="dotted" w:sz="4" w:space="0" w:color="auto"/>
              <w:left w:val="nil"/>
              <w:bottom w:val="dotted" w:sz="4" w:space="0" w:color="auto"/>
              <w:right w:val="nil"/>
            </w:tcBorders>
            <w:vAlign w:val="center"/>
          </w:tcPr>
          <w:p w:rsidR="00012CF5" w:rsidRPr="00D91093" w:rsidRDefault="00012CF5" w:rsidP="00FC4111">
            <w:pPr>
              <w:rPr>
                <w:sz w:val="20"/>
                <w:szCs w:val="20"/>
              </w:rPr>
            </w:pPr>
            <w:r w:rsidRPr="00D91093">
              <w:rPr>
                <w:sz w:val="20"/>
                <w:szCs w:val="20"/>
              </w:rPr>
              <w:t>Áno</w:t>
            </w:r>
          </w:p>
        </w:tc>
        <w:sdt>
          <w:sdtPr>
            <w:rPr>
              <w:sz w:val="20"/>
              <w:szCs w:val="20"/>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012CF5" w:rsidRPr="00D91093" w:rsidRDefault="00012CF5" w:rsidP="00FC4111">
                <w:pPr>
                  <w:jc w:val="center"/>
                  <w:rPr>
                    <w:sz w:val="20"/>
                    <w:szCs w:val="20"/>
                  </w:rPr>
                </w:pPr>
                <w:r w:rsidRPr="00D91093">
                  <w:rPr>
                    <w:rFonts w:ascii="MS Gothic" w:eastAsia="MS Gothic" w:hAnsi="MS Gothic"/>
                    <w:sz w:val="20"/>
                    <w:szCs w:val="20"/>
                  </w:rPr>
                  <w:t>☐</w:t>
                </w:r>
              </w:p>
            </w:tc>
          </w:sdtContent>
        </w:sdt>
        <w:tc>
          <w:tcPr>
            <w:tcW w:w="1133" w:type="dxa"/>
            <w:tcBorders>
              <w:top w:val="dotted" w:sz="4" w:space="0" w:color="auto"/>
              <w:left w:val="nil"/>
              <w:bottom w:val="dotted" w:sz="4" w:space="0" w:color="auto"/>
              <w:right w:val="nil"/>
            </w:tcBorders>
            <w:vAlign w:val="center"/>
          </w:tcPr>
          <w:p w:rsidR="00012CF5" w:rsidRPr="00D91093" w:rsidRDefault="00012CF5" w:rsidP="00FC4111">
            <w:pPr>
              <w:rPr>
                <w:sz w:val="20"/>
                <w:szCs w:val="20"/>
              </w:rPr>
            </w:pPr>
            <w:r w:rsidRPr="00D91093">
              <w:rPr>
                <w:sz w:val="20"/>
                <w:szCs w:val="20"/>
              </w:rPr>
              <w:t>Nie</w:t>
            </w:r>
          </w:p>
        </w:tc>
        <w:sdt>
          <w:sdtPr>
            <w:rPr>
              <w:sz w:val="20"/>
              <w:szCs w:val="20"/>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012CF5" w:rsidRPr="00D91093" w:rsidRDefault="00012CF5" w:rsidP="00FC4111">
                <w:pPr>
                  <w:ind w:left="-107" w:right="-108"/>
                  <w:jc w:val="center"/>
                  <w:rPr>
                    <w:sz w:val="20"/>
                    <w:szCs w:val="20"/>
                  </w:rPr>
                </w:pPr>
                <w:r w:rsidRPr="00D91093">
                  <w:rPr>
                    <w:rFonts w:ascii="MS Gothic" w:eastAsia="MS Gothic" w:hAnsi="MS Gothic"/>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012CF5" w:rsidRPr="00D91093" w:rsidRDefault="00012CF5" w:rsidP="00FC4111">
            <w:pPr>
              <w:ind w:left="34"/>
              <w:rPr>
                <w:sz w:val="20"/>
                <w:szCs w:val="20"/>
              </w:rPr>
            </w:pPr>
            <w:r w:rsidRPr="00D91093">
              <w:rPr>
                <w:sz w:val="20"/>
                <w:szCs w:val="20"/>
              </w:rPr>
              <w:t>Čiastočne</w:t>
            </w:r>
          </w:p>
        </w:tc>
      </w:tr>
      <w:tr w:rsidR="00012CF5" w:rsidRPr="00D91093" w:rsidTr="00FC4111">
        <w:tc>
          <w:tcPr>
            <w:tcW w:w="3812" w:type="dxa"/>
            <w:tcBorders>
              <w:top w:val="nil"/>
              <w:left w:val="single" w:sz="4" w:space="0" w:color="auto"/>
              <w:bottom w:val="nil"/>
              <w:right w:val="single" w:sz="4" w:space="0" w:color="auto"/>
            </w:tcBorders>
            <w:shd w:val="clear" w:color="auto" w:fill="E2E2E2"/>
          </w:tcPr>
          <w:p w:rsidR="00012CF5" w:rsidRPr="00D91093" w:rsidRDefault="00012CF5" w:rsidP="00FC4111">
            <w:pPr>
              <w:rPr>
                <w:b/>
                <w:sz w:val="20"/>
                <w:szCs w:val="20"/>
              </w:rPr>
            </w:pPr>
            <w:r w:rsidRPr="00D91093">
              <w:rPr>
                <w:b/>
                <w:sz w:val="20"/>
                <w:szCs w:val="20"/>
              </w:rPr>
              <w:t>v tom vplyvy na rozpočty obcí a vyšších územných celkov</w:t>
            </w:r>
          </w:p>
        </w:tc>
        <w:sdt>
          <w:sdtPr>
            <w:rPr>
              <w:b/>
              <w:sz w:val="20"/>
              <w:szCs w:val="20"/>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312" w:type="dxa"/>
            <w:gridSpan w:val="2"/>
            <w:tcBorders>
              <w:top w:val="dotted" w:sz="4" w:space="0" w:color="auto"/>
              <w:left w:val="nil"/>
              <w:bottom w:val="dotted" w:sz="4" w:space="0" w:color="auto"/>
              <w:right w:val="nil"/>
            </w:tcBorders>
          </w:tcPr>
          <w:p w:rsidR="00012CF5" w:rsidRPr="00D91093" w:rsidRDefault="00012CF5" w:rsidP="00FC4111">
            <w:pPr>
              <w:rPr>
                <w:b/>
                <w:sz w:val="20"/>
                <w:szCs w:val="20"/>
              </w:rPr>
            </w:pPr>
            <w:r w:rsidRPr="00D91093">
              <w:rPr>
                <w:b/>
                <w:sz w:val="20"/>
                <w:szCs w:val="20"/>
              </w:rPr>
              <w:t>Pozitívne</w:t>
            </w:r>
          </w:p>
        </w:tc>
        <w:sdt>
          <w:sdtPr>
            <w:rPr>
              <w:b/>
              <w:sz w:val="20"/>
              <w:szCs w:val="20"/>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133" w:type="dxa"/>
            <w:tcBorders>
              <w:top w:val="dotted" w:sz="4" w:space="0" w:color="auto"/>
              <w:left w:val="nil"/>
              <w:bottom w:val="dotted" w:sz="4" w:space="0" w:color="auto"/>
              <w:right w:val="nil"/>
            </w:tcBorders>
          </w:tcPr>
          <w:p w:rsidR="00012CF5" w:rsidRPr="00D91093" w:rsidRDefault="00012CF5" w:rsidP="00FC4111">
            <w:pPr>
              <w:rPr>
                <w:b/>
                <w:sz w:val="20"/>
                <w:szCs w:val="20"/>
              </w:rPr>
            </w:pPr>
            <w:r w:rsidRPr="00D91093">
              <w:rPr>
                <w:b/>
                <w:sz w:val="20"/>
                <w:szCs w:val="20"/>
              </w:rPr>
              <w:t>Žiadne</w:t>
            </w:r>
          </w:p>
        </w:tc>
        <w:sdt>
          <w:sdtPr>
            <w:rPr>
              <w:b/>
              <w:sz w:val="20"/>
              <w:szCs w:val="20"/>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012CF5" w:rsidRPr="00D91093" w:rsidRDefault="00012CF5" w:rsidP="00FC4111">
                <w:pPr>
                  <w:ind w:left="-107" w:right="-108"/>
                  <w:jc w:val="center"/>
                  <w:rPr>
                    <w:b/>
                    <w:sz w:val="20"/>
                    <w:szCs w:val="20"/>
                  </w:rPr>
                </w:pPr>
                <w:r w:rsidRPr="00D91093">
                  <w:rPr>
                    <w:rFonts w:ascii="MS Gothic" w:eastAsia="MS Gothic" w:hAnsi="MS Gothic"/>
                    <w:b/>
                    <w:sz w:val="20"/>
                    <w:szCs w:val="20"/>
                  </w:rPr>
                  <w:t>☐</w:t>
                </w:r>
              </w:p>
            </w:tc>
          </w:sdtContent>
        </w:sdt>
        <w:tc>
          <w:tcPr>
            <w:tcW w:w="1297" w:type="dxa"/>
            <w:tcBorders>
              <w:top w:val="dotted" w:sz="4" w:space="0" w:color="auto"/>
              <w:left w:val="nil"/>
              <w:bottom w:val="dotted" w:sz="4" w:space="0" w:color="auto"/>
              <w:right w:val="single" w:sz="4" w:space="0" w:color="auto"/>
            </w:tcBorders>
          </w:tcPr>
          <w:p w:rsidR="00012CF5" w:rsidRPr="00D91093" w:rsidRDefault="00012CF5" w:rsidP="00FC4111">
            <w:pPr>
              <w:ind w:left="34"/>
              <w:rPr>
                <w:b/>
                <w:sz w:val="20"/>
                <w:szCs w:val="20"/>
              </w:rPr>
            </w:pPr>
            <w:r w:rsidRPr="00D91093">
              <w:rPr>
                <w:b/>
                <w:sz w:val="20"/>
                <w:szCs w:val="20"/>
              </w:rPr>
              <w:t>Negatívne</w:t>
            </w:r>
          </w:p>
        </w:tc>
      </w:tr>
      <w:tr w:rsidR="00012CF5" w:rsidRPr="00D91093" w:rsidTr="00FC4111">
        <w:tc>
          <w:tcPr>
            <w:tcW w:w="3812" w:type="dxa"/>
            <w:tcBorders>
              <w:top w:val="nil"/>
              <w:left w:val="single" w:sz="4" w:space="0" w:color="auto"/>
              <w:bottom w:val="single" w:sz="4" w:space="0" w:color="000000"/>
              <w:right w:val="single" w:sz="4" w:space="0" w:color="auto"/>
            </w:tcBorders>
            <w:shd w:val="clear" w:color="auto" w:fill="E2E2E2"/>
          </w:tcPr>
          <w:p w:rsidR="00012CF5" w:rsidRPr="00D91093" w:rsidRDefault="00012CF5" w:rsidP="00FC4111">
            <w:pPr>
              <w:ind w:left="171"/>
              <w:rPr>
                <w:sz w:val="20"/>
                <w:szCs w:val="20"/>
              </w:rPr>
            </w:pPr>
            <w:r w:rsidRPr="00D91093">
              <w:rPr>
                <w:sz w:val="20"/>
                <w:szCs w:val="20"/>
              </w:rPr>
              <w:t>z toho rozpočtovo zabezpečené vplyvy,</w:t>
            </w:r>
          </w:p>
          <w:p w:rsidR="00012CF5" w:rsidRPr="00D91093" w:rsidRDefault="00012CF5" w:rsidP="00FC4111">
            <w:pPr>
              <w:ind w:left="171"/>
              <w:rPr>
                <w:sz w:val="20"/>
                <w:szCs w:val="20"/>
              </w:rPr>
            </w:pPr>
            <w:r w:rsidRPr="00D91093">
              <w:rPr>
                <w:sz w:val="20"/>
                <w:szCs w:val="20"/>
              </w:rPr>
              <w:t>v prípade identifikovaného negatívneho vplyvu</w:t>
            </w:r>
          </w:p>
        </w:tc>
        <w:sdt>
          <w:sdtPr>
            <w:rPr>
              <w:sz w:val="20"/>
              <w:szCs w:val="20"/>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012CF5" w:rsidRPr="00D91093" w:rsidRDefault="00012CF5" w:rsidP="00FC4111">
                <w:pPr>
                  <w:jc w:val="center"/>
                  <w:rPr>
                    <w:sz w:val="20"/>
                    <w:szCs w:val="20"/>
                  </w:rPr>
                </w:pPr>
                <w:r w:rsidRPr="00D91093">
                  <w:rPr>
                    <w:rFonts w:ascii="MS Gothic" w:eastAsia="MS Gothic" w:hAnsi="MS Gothic"/>
                    <w:sz w:val="20"/>
                    <w:szCs w:val="20"/>
                  </w:rPr>
                  <w:t>☐</w:t>
                </w:r>
              </w:p>
            </w:tc>
          </w:sdtContent>
        </w:sdt>
        <w:tc>
          <w:tcPr>
            <w:tcW w:w="1312" w:type="dxa"/>
            <w:gridSpan w:val="2"/>
            <w:tcBorders>
              <w:top w:val="dotted" w:sz="4" w:space="0" w:color="auto"/>
              <w:left w:val="nil"/>
              <w:bottom w:val="dotted" w:sz="4" w:space="0" w:color="auto"/>
              <w:right w:val="nil"/>
            </w:tcBorders>
            <w:vAlign w:val="center"/>
          </w:tcPr>
          <w:p w:rsidR="00012CF5" w:rsidRPr="00D91093" w:rsidRDefault="00012CF5" w:rsidP="00FC4111">
            <w:pPr>
              <w:rPr>
                <w:sz w:val="20"/>
                <w:szCs w:val="20"/>
              </w:rPr>
            </w:pPr>
            <w:r w:rsidRPr="00D91093">
              <w:rPr>
                <w:sz w:val="20"/>
                <w:szCs w:val="20"/>
              </w:rPr>
              <w:t>Áno</w:t>
            </w:r>
          </w:p>
        </w:tc>
        <w:sdt>
          <w:sdtPr>
            <w:rPr>
              <w:sz w:val="20"/>
              <w:szCs w:val="20"/>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012CF5" w:rsidRPr="00D91093" w:rsidRDefault="00012CF5" w:rsidP="00FC4111">
                <w:pPr>
                  <w:jc w:val="center"/>
                  <w:rPr>
                    <w:sz w:val="20"/>
                    <w:szCs w:val="20"/>
                  </w:rPr>
                </w:pPr>
                <w:r w:rsidRPr="00D91093">
                  <w:rPr>
                    <w:rFonts w:ascii="MS Gothic" w:eastAsia="MS Gothic" w:hAnsi="MS Gothic"/>
                    <w:sz w:val="20"/>
                    <w:szCs w:val="20"/>
                  </w:rPr>
                  <w:t>☐</w:t>
                </w:r>
              </w:p>
            </w:tc>
          </w:sdtContent>
        </w:sdt>
        <w:tc>
          <w:tcPr>
            <w:tcW w:w="1133" w:type="dxa"/>
            <w:tcBorders>
              <w:top w:val="dotted" w:sz="4" w:space="0" w:color="auto"/>
              <w:left w:val="nil"/>
              <w:bottom w:val="dotted" w:sz="4" w:space="0" w:color="auto"/>
              <w:right w:val="nil"/>
            </w:tcBorders>
            <w:vAlign w:val="center"/>
          </w:tcPr>
          <w:p w:rsidR="00012CF5" w:rsidRPr="00D91093" w:rsidRDefault="00012CF5" w:rsidP="00FC4111">
            <w:pPr>
              <w:rPr>
                <w:sz w:val="20"/>
                <w:szCs w:val="20"/>
              </w:rPr>
            </w:pPr>
            <w:r w:rsidRPr="00D91093">
              <w:rPr>
                <w:sz w:val="20"/>
                <w:szCs w:val="20"/>
              </w:rPr>
              <w:t>Nie</w:t>
            </w:r>
          </w:p>
        </w:tc>
        <w:sdt>
          <w:sdtPr>
            <w:rPr>
              <w:sz w:val="20"/>
              <w:szCs w:val="20"/>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012CF5" w:rsidRPr="00D91093" w:rsidRDefault="00012CF5" w:rsidP="00FC4111">
                <w:pPr>
                  <w:ind w:left="-107" w:right="-108"/>
                  <w:jc w:val="center"/>
                  <w:rPr>
                    <w:sz w:val="20"/>
                    <w:szCs w:val="20"/>
                  </w:rPr>
                </w:pPr>
                <w:r w:rsidRPr="00D91093">
                  <w:rPr>
                    <w:rFonts w:ascii="MS Gothic" w:eastAsia="MS Gothic" w:hAnsi="MS Gothic"/>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012CF5" w:rsidRPr="00D91093" w:rsidRDefault="00012CF5" w:rsidP="00FC4111">
            <w:pPr>
              <w:ind w:left="34"/>
              <w:rPr>
                <w:sz w:val="20"/>
                <w:szCs w:val="20"/>
              </w:rPr>
            </w:pPr>
            <w:r w:rsidRPr="00D91093">
              <w:rPr>
                <w:sz w:val="20"/>
                <w:szCs w:val="20"/>
              </w:rPr>
              <w:t>Čiastočne</w:t>
            </w:r>
          </w:p>
        </w:tc>
      </w:tr>
      <w:tr w:rsidR="00012CF5" w:rsidRPr="00D91093" w:rsidTr="00FC4111">
        <w:tc>
          <w:tcPr>
            <w:tcW w:w="3812" w:type="dxa"/>
            <w:tcBorders>
              <w:top w:val="single" w:sz="4" w:space="0" w:color="000000"/>
              <w:left w:val="single" w:sz="4" w:space="0" w:color="auto"/>
              <w:bottom w:val="nil"/>
              <w:right w:val="single" w:sz="4" w:space="0" w:color="auto"/>
            </w:tcBorders>
            <w:shd w:val="clear" w:color="auto" w:fill="E2E2E2"/>
          </w:tcPr>
          <w:p w:rsidR="00012CF5" w:rsidRPr="00D91093" w:rsidRDefault="00012CF5" w:rsidP="00FC4111">
            <w:pPr>
              <w:rPr>
                <w:b/>
                <w:sz w:val="20"/>
                <w:szCs w:val="20"/>
              </w:rPr>
            </w:pPr>
            <w:r w:rsidRPr="00D91093">
              <w:rPr>
                <w:b/>
                <w:sz w:val="20"/>
                <w:szCs w:val="20"/>
              </w:rPr>
              <w:t>Vplyvy na podnikateľské prostredie</w:t>
            </w:r>
          </w:p>
        </w:tc>
        <w:sdt>
          <w:sdtPr>
            <w:rPr>
              <w:b/>
              <w:sz w:val="20"/>
              <w:szCs w:val="20"/>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312" w:type="dxa"/>
            <w:gridSpan w:val="2"/>
            <w:tcBorders>
              <w:top w:val="single" w:sz="4" w:space="0" w:color="auto"/>
              <w:left w:val="nil"/>
              <w:bottom w:val="dotted" w:sz="4" w:space="0" w:color="auto"/>
              <w:right w:val="nil"/>
            </w:tcBorders>
            <w:vAlign w:val="center"/>
          </w:tcPr>
          <w:p w:rsidR="00012CF5" w:rsidRPr="00D91093" w:rsidRDefault="00012CF5" w:rsidP="00FC4111">
            <w:pPr>
              <w:ind w:right="-108"/>
              <w:rPr>
                <w:b/>
                <w:sz w:val="20"/>
                <w:szCs w:val="20"/>
              </w:rPr>
            </w:pPr>
            <w:r w:rsidRPr="00D91093">
              <w:rPr>
                <w:b/>
                <w:sz w:val="20"/>
                <w:szCs w:val="20"/>
              </w:rPr>
              <w:t>Pozitívne</w:t>
            </w:r>
          </w:p>
        </w:tc>
        <w:sdt>
          <w:sdtPr>
            <w:rPr>
              <w:b/>
              <w:sz w:val="20"/>
              <w:szCs w:val="20"/>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133" w:type="dxa"/>
            <w:tcBorders>
              <w:top w:val="single" w:sz="4" w:space="0" w:color="auto"/>
              <w:left w:val="nil"/>
              <w:bottom w:val="dotted" w:sz="4" w:space="0" w:color="auto"/>
              <w:right w:val="nil"/>
            </w:tcBorders>
            <w:vAlign w:val="center"/>
          </w:tcPr>
          <w:p w:rsidR="00012CF5" w:rsidRPr="00D91093" w:rsidRDefault="00012CF5" w:rsidP="00FC4111">
            <w:pPr>
              <w:rPr>
                <w:b/>
                <w:sz w:val="20"/>
                <w:szCs w:val="20"/>
              </w:rPr>
            </w:pPr>
            <w:r w:rsidRPr="00D91093">
              <w:rPr>
                <w:b/>
                <w:sz w:val="20"/>
                <w:szCs w:val="20"/>
              </w:rPr>
              <w:t>Žiadne</w:t>
            </w:r>
          </w:p>
        </w:tc>
        <w:sdt>
          <w:sdtPr>
            <w:rPr>
              <w:b/>
              <w:sz w:val="20"/>
              <w:szCs w:val="20"/>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297" w:type="dxa"/>
            <w:tcBorders>
              <w:top w:val="single" w:sz="4" w:space="0" w:color="auto"/>
              <w:left w:val="nil"/>
              <w:bottom w:val="dotted" w:sz="4" w:space="0" w:color="auto"/>
              <w:right w:val="single" w:sz="4" w:space="0" w:color="auto"/>
            </w:tcBorders>
            <w:vAlign w:val="center"/>
          </w:tcPr>
          <w:p w:rsidR="00012CF5" w:rsidRPr="00D91093" w:rsidRDefault="00012CF5" w:rsidP="00FC4111">
            <w:pPr>
              <w:ind w:left="54"/>
              <w:rPr>
                <w:b/>
                <w:sz w:val="20"/>
                <w:szCs w:val="20"/>
              </w:rPr>
            </w:pPr>
            <w:r w:rsidRPr="00D91093">
              <w:rPr>
                <w:b/>
                <w:sz w:val="20"/>
                <w:szCs w:val="20"/>
              </w:rPr>
              <w:t>Negatívne</w:t>
            </w:r>
          </w:p>
        </w:tc>
      </w:tr>
      <w:tr w:rsidR="00012CF5" w:rsidRPr="00D91093" w:rsidTr="00FC4111">
        <w:tc>
          <w:tcPr>
            <w:tcW w:w="3812" w:type="dxa"/>
            <w:tcBorders>
              <w:top w:val="nil"/>
              <w:left w:val="single" w:sz="4" w:space="0" w:color="000000"/>
              <w:bottom w:val="nil"/>
              <w:right w:val="single" w:sz="4" w:space="0" w:color="000000"/>
            </w:tcBorders>
            <w:shd w:val="clear" w:color="auto" w:fill="E2E2E2"/>
          </w:tcPr>
          <w:p w:rsidR="00012CF5" w:rsidRPr="00D91093" w:rsidRDefault="00012CF5" w:rsidP="00FC4111">
            <w:pPr>
              <w:rPr>
                <w:sz w:val="20"/>
                <w:szCs w:val="20"/>
              </w:rPr>
            </w:pPr>
            <w:r w:rsidRPr="00D91093">
              <w:rPr>
                <w:sz w:val="20"/>
                <w:szCs w:val="20"/>
              </w:rPr>
              <w:t xml:space="preserve">    z toho vplyvy na MSP</w:t>
            </w:r>
          </w:p>
          <w:p w:rsidR="00012CF5" w:rsidRPr="00D91093" w:rsidRDefault="00012CF5" w:rsidP="00FC4111">
            <w:pPr>
              <w:rPr>
                <w:sz w:val="20"/>
                <w:szCs w:val="20"/>
              </w:rPr>
            </w:pPr>
          </w:p>
        </w:tc>
        <w:sdt>
          <w:sdtPr>
            <w:rPr>
              <w:sz w:val="20"/>
              <w:szCs w:val="20"/>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012CF5" w:rsidRPr="00D91093" w:rsidRDefault="00012CF5" w:rsidP="00FC4111">
                <w:pPr>
                  <w:jc w:val="center"/>
                  <w:rPr>
                    <w:sz w:val="20"/>
                    <w:szCs w:val="20"/>
                  </w:rPr>
                </w:pPr>
                <w:r w:rsidRPr="00D91093">
                  <w:rPr>
                    <w:rFonts w:ascii="MS Gothic" w:eastAsia="MS Gothic" w:hAnsi="MS Gothic"/>
                    <w:sz w:val="20"/>
                    <w:szCs w:val="20"/>
                  </w:rPr>
                  <w:t>☐</w:t>
                </w:r>
              </w:p>
            </w:tc>
          </w:sdtContent>
        </w:sdt>
        <w:tc>
          <w:tcPr>
            <w:tcW w:w="1312" w:type="dxa"/>
            <w:gridSpan w:val="2"/>
            <w:tcBorders>
              <w:top w:val="dotted" w:sz="4" w:space="0" w:color="auto"/>
              <w:left w:val="nil"/>
              <w:bottom w:val="dotted" w:sz="4" w:space="0" w:color="auto"/>
              <w:right w:val="nil"/>
            </w:tcBorders>
            <w:vAlign w:val="center"/>
          </w:tcPr>
          <w:p w:rsidR="00012CF5" w:rsidRPr="00D91093" w:rsidRDefault="00012CF5" w:rsidP="00FC4111">
            <w:pPr>
              <w:ind w:right="-108"/>
              <w:rPr>
                <w:sz w:val="20"/>
                <w:szCs w:val="20"/>
              </w:rPr>
            </w:pPr>
            <w:r w:rsidRPr="00D91093">
              <w:rPr>
                <w:sz w:val="20"/>
                <w:szCs w:val="20"/>
              </w:rPr>
              <w:t>Pozitívne</w:t>
            </w:r>
          </w:p>
        </w:tc>
        <w:sdt>
          <w:sdtPr>
            <w:rPr>
              <w:sz w:val="20"/>
              <w:szCs w:val="20"/>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012CF5" w:rsidRPr="00D91093" w:rsidRDefault="00012CF5" w:rsidP="00FC4111">
                <w:pPr>
                  <w:jc w:val="center"/>
                  <w:rPr>
                    <w:sz w:val="20"/>
                    <w:szCs w:val="20"/>
                  </w:rPr>
                </w:pPr>
                <w:r w:rsidRPr="00D91093">
                  <w:rPr>
                    <w:rFonts w:ascii="MS Gothic" w:eastAsia="MS Gothic" w:hAnsi="MS Gothic"/>
                    <w:sz w:val="20"/>
                    <w:szCs w:val="20"/>
                  </w:rPr>
                  <w:t>☐</w:t>
                </w:r>
              </w:p>
            </w:tc>
          </w:sdtContent>
        </w:sdt>
        <w:tc>
          <w:tcPr>
            <w:tcW w:w="1133" w:type="dxa"/>
            <w:tcBorders>
              <w:top w:val="dotted" w:sz="4" w:space="0" w:color="auto"/>
              <w:left w:val="nil"/>
              <w:bottom w:val="dotted" w:sz="4" w:space="0" w:color="auto"/>
              <w:right w:val="nil"/>
            </w:tcBorders>
            <w:vAlign w:val="center"/>
          </w:tcPr>
          <w:p w:rsidR="00012CF5" w:rsidRPr="00D91093" w:rsidRDefault="00012CF5" w:rsidP="00FC4111">
            <w:pPr>
              <w:rPr>
                <w:sz w:val="20"/>
                <w:szCs w:val="20"/>
              </w:rPr>
            </w:pPr>
            <w:r w:rsidRPr="00D91093">
              <w:rPr>
                <w:sz w:val="20"/>
                <w:szCs w:val="20"/>
              </w:rPr>
              <w:t>Žiadne</w:t>
            </w:r>
          </w:p>
        </w:tc>
        <w:sdt>
          <w:sdtPr>
            <w:rPr>
              <w:sz w:val="20"/>
              <w:szCs w:val="20"/>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012CF5" w:rsidRPr="00D91093" w:rsidRDefault="00012CF5" w:rsidP="00FC4111">
                <w:pPr>
                  <w:jc w:val="center"/>
                  <w:rPr>
                    <w:sz w:val="20"/>
                    <w:szCs w:val="20"/>
                  </w:rPr>
                </w:pPr>
                <w:r w:rsidRPr="00D91093">
                  <w:rPr>
                    <w:rFonts w:ascii="MS Gothic" w:eastAsia="MS Gothic" w:hAnsi="MS Gothic"/>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012CF5" w:rsidRPr="00D91093" w:rsidRDefault="00012CF5" w:rsidP="00FC4111">
            <w:pPr>
              <w:ind w:left="54"/>
              <w:rPr>
                <w:sz w:val="20"/>
                <w:szCs w:val="20"/>
              </w:rPr>
            </w:pPr>
            <w:r w:rsidRPr="00D91093">
              <w:rPr>
                <w:sz w:val="20"/>
                <w:szCs w:val="20"/>
              </w:rPr>
              <w:t>Negatívne</w:t>
            </w:r>
          </w:p>
        </w:tc>
      </w:tr>
      <w:tr w:rsidR="00012CF5" w:rsidRPr="00D91093" w:rsidTr="00FC4111">
        <w:tc>
          <w:tcPr>
            <w:tcW w:w="3812" w:type="dxa"/>
            <w:tcBorders>
              <w:top w:val="nil"/>
              <w:left w:val="single" w:sz="4" w:space="0" w:color="auto"/>
              <w:bottom w:val="single" w:sz="4" w:space="0" w:color="auto"/>
              <w:right w:val="single" w:sz="4" w:space="0" w:color="auto"/>
            </w:tcBorders>
            <w:shd w:val="clear" w:color="auto" w:fill="E2E2E2"/>
          </w:tcPr>
          <w:p w:rsidR="00012CF5" w:rsidRPr="00D91093" w:rsidRDefault="00012CF5" w:rsidP="00FC4111">
            <w:pPr>
              <w:rPr>
                <w:sz w:val="20"/>
                <w:szCs w:val="20"/>
              </w:rPr>
            </w:pPr>
            <w:r w:rsidRPr="00D91093">
              <w:rPr>
                <w:sz w:val="20"/>
                <w:szCs w:val="20"/>
              </w:rPr>
              <w:t xml:space="preserve">    Mechanizmus znižovania byrokracie    </w:t>
            </w:r>
          </w:p>
          <w:p w:rsidR="00012CF5" w:rsidRPr="00D91093" w:rsidRDefault="00012CF5" w:rsidP="00FC4111">
            <w:pPr>
              <w:rPr>
                <w:b/>
                <w:sz w:val="20"/>
                <w:szCs w:val="20"/>
              </w:rPr>
            </w:pPr>
            <w:r w:rsidRPr="00D91093">
              <w:rPr>
                <w:sz w:val="20"/>
                <w:szCs w:val="20"/>
              </w:rPr>
              <w:t xml:space="preserve">    a nákladov sa uplatňuje:</w:t>
            </w:r>
          </w:p>
        </w:tc>
        <w:sdt>
          <w:sdtPr>
            <w:rPr>
              <w:b/>
              <w:sz w:val="20"/>
              <w:szCs w:val="20"/>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596" w:type="dxa"/>
            <w:gridSpan w:val="3"/>
            <w:tcBorders>
              <w:top w:val="dotted" w:sz="4" w:space="0" w:color="auto"/>
              <w:left w:val="nil"/>
              <w:bottom w:val="single" w:sz="4" w:space="0" w:color="auto"/>
              <w:right w:val="nil"/>
            </w:tcBorders>
            <w:vAlign w:val="center"/>
          </w:tcPr>
          <w:p w:rsidR="00012CF5" w:rsidRPr="00D91093" w:rsidRDefault="00012CF5" w:rsidP="00FC4111">
            <w:pPr>
              <w:ind w:right="-108"/>
              <w:rPr>
                <w:b/>
                <w:sz w:val="20"/>
                <w:szCs w:val="20"/>
              </w:rPr>
            </w:pPr>
            <w:r w:rsidRPr="00D91093">
              <w:rPr>
                <w:sz w:val="20"/>
                <w:szCs w:val="20"/>
              </w:rPr>
              <w:t>Áno</w:t>
            </w:r>
          </w:p>
        </w:tc>
        <w:tc>
          <w:tcPr>
            <w:tcW w:w="254" w:type="dxa"/>
            <w:tcBorders>
              <w:top w:val="dotted" w:sz="4" w:space="0" w:color="auto"/>
              <w:left w:val="nil"/>
              <w:bottom w:val="single" w:sz="4" w:space="0" w:color="auto"/>
              <w:right w:val="nil"/>
            </w:tcBorders>
            <w:vAlign w:val="center"/>
          </w:tcPr>
          <w:p w:rsidR="00012CF5" w:rsidRPr="00D91093" w:rsidRDefault="00012CF5" w:rsidP="00FC4111">
            <w:pPr>
              <w:jc w:val="center"/>
              <w:rPr>
                <w:b/>
                <w:sz w:val="20"/>
                <w:szCs w:val="20"/>
              </w:rPr>
            </w:pPr>
          </w:p>
        </w:tc>
        <w:tc>
          <w:tcPr>
            <w:tcW w:w="1133" w:type="dxa"/>
            <w:tcBorders>
              <w:top w:val="dotted" w:sz="4" w:space="0" w:color="auto"/>
              <w:left w:val="nil"/>
              <w:bottom w:val="single" w:sz="4" w:space="0" w:color="auto"/>
              <w:right w:val="nil"/>
            </w:tcBorders>
            <w:vAlign w:val="center"/>
          </w:tcPr>
          <w:p w:rsidR="00012CF5" w:rsidRPr="00D91093" w:rsidRDefault="00012CF5" w:rsidP="00FC4111">
            <w:pPr>
              <w:jc w:val="center"/>
              <w:rPr>
                <w:b/>
                <w:sz w:val="20"/>
                <w:szCs w:val="20"/>
              </w:rPr>
            </w:pPr>
          </w:p>
        </w:tc>
        <w:sdt>
          <w:sdtPr>
            <w:rPr>
              <w:b/>
              <w:sz w:val="20"/>
              <w:szCs w:val="20"/>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012CF5" w:rsidRPr="00D91093" w:rsidRDefault="00012CF5" w:rsidP="00FC4111">
            <w:pPr>
              <w:ind w:left="54"/>
              <w:rPr>
                <w:b/>
                <w:sz w:val="20"/>
                <w:szCs w:val="20"/>
              </w:rPr>
            </w:pPr>
            <w:r w:rsidRPr="00D91093">
              <w:rPr>
                <w:sz w:val="20"/>
                <w:szCs w:val="20"/>
              </w:rPr>
              <w:t>Nie</w:t>
            </w:r>
          </w:p>
        </w:tc>
      </w:tr>
      <w:tr w:rsidR="00012CF5" w:rsidRPr="00D91093" w:rsidTr="00FC4111">
        <w:tc>
          <w:tcPr>
            <w:tcW w:w="3812" w:type="dxa"/>
            <w:tcBorders>
              <w:top w:val="single" w:sz="4" w:space="0" w:color="000000"/>
              <w:left w:val="single" w:sz="4" w:space="0" w:color="auto"/>
              <w:bottom w:val="single" w:sz="4" w:space="0" w:color="auto"/>
              <w:right w:val="single" w:sz="4" w:space="0" w:color="auto"/>
            </w:tcBorders>
            <w:shd w:val="clear" w:color="auto" w:fill="E2E2E2"/>
          </w:tcPr>
          <w:p w:rsidR="00012CF5" w:rsidRPr="00D91093" w:rsidRDefault="00012CF5" w:rsidP="00FC4111">
            <w:pPr>
              <w:rPr>
                <w:b/>
                <w:sz w:val="20"/>
                <w:szCs w:val="20"/>
              </w:rPr>
            </w:pPr>
            <w:r w:rsidRPr="00D91093">
              <w:rPr>
                <w:b/>
                <w:sz w:val="20"/>
                <w:szCs w:val="20"/>
              </w:rPr>
              <w:t>Sociálne vplyvy</w:t>
            </w:r>
          </w:p>
        </w:tc>
        <w:sdt>
          <w:sdtPr>
            <w:rPr>
              <w:b/>
              <w:sz w:val="20"/>
              <w:szCs w:val="20"/>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312" w:type="dxa"/>
            <w:gridSpan w:val="2"/>
            <w:tcBorders>
              <w:top w:val="single" w:sz="4" w:space="0" w:color="auto"/>
              <w:left w:val="nil"/>
              <w:bottom w:val="single" w:sz="4" w:space="0" w:color="auto"/>
              <w:right w:val="nil"/>
            </w:tcBorders>
          </w:tcPr>
          <w:p w:rsidR="00012CF5" w:rsidRPr="00D91093" w:rsidRDefault="00012CF5" w:rsidP="00FC4111">
            <w:pPr>
              <w:ind w:right="-108"/>
              <w:rPr>
                <w:b/>
                <w:sz w:val="20"/>
                <w:szCs w:val="20"/>
              </w:rPr>
            </w:pPr>
            <w:r w:rsidRPr="00D91093">
              <w:rPr>
                <w:b/>
                <w:sz w:val="20"/>
                <w:szCs w:val="20"/>
              </w:rPr>
              <w:t>Pozitívne</w:t>
            </w:r>
          </w:p>
        </w:tc>
        <w:sdt>
          <w:sdtPr>
            <w:rPr>
              <w:b/>
              <w:sz w:val="20"/>
              <w:szCs w:val="20"/>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133" w:type="dxa"/>
            <w:tcBorders>
              <w:top w:val="single" w:sz="4" w:space="0" w:color="auto"/>
              <w:left w:val="nil"/>
              <w:bottom w:val="single" w:sz="4" w:space="0" w:color="auto"/>
              <w:right w:val="nil"/>
            </w:tcBorders>
          </w:tcPr>
          <w:p w:rsidR="00012CF5" w:rsidRPr="00D91093" w:rsidRDefault="00012CF5" w:rsidP="00FC4111">
            <w:pPr>
              <w:rPr>
                <w:b/>
                <w:sz w:val="20"/>
                <w:szCs w:val="20"/>
              </w:rPr>
            </w:pPr>
            <w:r w:rsidRPr="00D91093">
              <w:rPr>
                <w:b/>
                <w:sz w:val="20"/>
                <w:szCs w:val="20"/>
              </w:rPr>
              <w:t>Žiadne</w:t>
            </w:r>
          </w:p>
        </w:tc>
        <w:sdt>
          <w:sdtPr>
            <w:rPr>
              <w:b/>
              <w:sz w:val="20"/>
              <w:szCs w:val="20"/>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297" w:type="dxa"/>
            <w:tcBorders>
              <w:top w:val="single" w:sz="4" w:space="0" w:color="auto"/>
              <w:left w:val="nil"/>
              <w:bottom w:val="single" w:sz="4" w:space="0" w:color="auto"/>
              <w:right w:val="single" w:sz="4" w:space="0" w:color="auto"/>
            </w:tcBorders>
          </w:tcPr>
          <w:p w:rsidR="00012CF5" w:rsidRPr="00D91093" w:rsidRDefault="00012CF5" w:rsidP="00FC4111">
            <w:pPr>
              <w:ind w:left="54"/>
              <w:rPr>
                <w:b/>
                <w:sz w:val="20"/>
                <w:szCs w:val="20"/>
              </w:rPr>
            </w:pPr>
            <w:r w:rsidRPr="00D91093">
              <w:rPr>
                <w:b/>
                <w:sz w:val="20"/>
                <w:szCs w:val="20"/>
              </w:rPr>
              <w:t>Negatívne</w:t>
            </w:r>
          </w:p>
        </w:tc>
      </w:tr>
      <w:tr w:rsidR="00012CF5" w:rsidRPr="00D91093" w:rsidTr="00FC4111">
        <w:tc>
          <w:tcPr>
            <w:tcW w:w="3812" w:type="dxa"/>
            <w:tcBorders>
              <w:top w:val="single" w:sz="4" w:space="0" w:color="auto"/>
              <w:left w:val="single" w:sz="4" w:space="0" w:color="auto"/>
              <w:bottom w:val="single" w:sz="4" w:space="0" w:color="auto"/>
              <w:right w:val="single" w:sz="4" w:space="0" w:color="auto"/>
            </w:tcBorders>
            <w:shd w:val="clear" w:color="auto" w:fill="E2E2E2"/>
          </w:tcPr>
          <w:p w:rsidR="00012CF5" w:rsidRPr="00D91093" w:rsidRDefault="00012CF5" w:rsidP="00FC4111">
            <w:pPr>
              <w:rPr>
                <w:b/>
                <w:sz w:val="20"/>
                <w:szCs w:val="20"/>
              </w:rPr>
            </w:pPr>
            <w:r w:rsidRPr="00D91093">
              <w:rPr>
                <w:b/>
                <w:sz w:val="20"/>
                <w:szCs w:val="20"/>
              </w:rPr>
              <w:t>Vplyvy na životné prostredie</w:t>
            </w:r>
          </w:p>
        </w:tc>
        <w:sdt>
          <w:sdtPr>
            <w:rPr>
              <w:b/>
              <w:sz w:val="20"/>
              <w:szCs w:val="20"/>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312" w:type="dxa"/>
            <w:gridSpan w:val="2"/>
            <w:tcBorders>
              <w:top w:val="single" w:sz="4" w:space="0" w:color="auto"/>
              <w:left w:val="nil"/>
              <w:bottom w:val="single" w:sz="4" w:space="0" w:color="auto"/>
              <w:right w:val="nil"/>
            </w:tcBorders>
          </w:tcPr>
          <w:p w:rsidR="00012CF5" w:rsidRPr="00D91093" w:rsidRDefault="00012CF5" w:rsidP="00FC4111">
            <w:pPr>
              <w:ind w:right="-108"/>
              <w:rPr>
                <w:b/>
                <w:sz w:val="20"/>
                <w:szCs w:val="20"/>
              </w:rPr>
            </w:pPr>
            <w:r w:rsidRPr="00D91093">
              <w:rPr>
                <w:b/>
                <w:sz w:val="20"/>
                <w:szCs w:val="20"/>
              </w:rPr>
              <w:t>Pozitívne</w:t>
            </w:r>
          </w:p>
        </w:tc>
        <w:sdt>
          <w:sdtPr>
            <w:rPr>
              <w:b/>
              <w:sz w:val="20"/>
              <w:szCs w:val="20"/>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133" w:type="dxa"/>
            <w:tcBorders>
              <w:top w:val="single" w:sz="4" w:space="0" w:color="auto"/>
              <w:left w:val="nil"/>
              <w:bottom w:val="single" w:sz="4" w:space="0" w:color="auto"/>
              <w:right w:val="nil"/>
            </w:tcBorders>
          </w:tcPr>
          <w:p w:rsidR="00012CF5" w:rsidRPr="00D91093" w:rsidRDefault="00012CF5" w:rsidP="00FC4111">
            <w:pPr>
              <w:rPr>
                <w:b/>
                <w:sz w:val="20"/>
                <w:szCs w:val="20"/>
              </w:rPr>
            </w:pPr>
            <w:r w:rsidRPr="00D91093">
              <w:rPr>
                <w:b/>
                <w:sz w:val="20"/>
                <w:szCs w:val="20"/>
              </w:rPr>
              <w:t>Žiadne</w:t>
            </w:r>
          </w:p>
        </w:tc>
        <w:sdt>
          <w:sdtPr>
            <w:rPr>
              <w:b/>
              <w:sz w:val="20"/>
              <w:szCs w:val="20"/>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297" w:type="dxa"/>
            <w:tcBorders>
              <w:top w:val="single" w:sz="4" w:space="0" w:color="auto"/>
              <w:left w:val="nil"/>
              <w:bottom w:val="single" w:sz="4" w:space="0" w:color="auto"/>
              <w:right w:val="single" w:sz="4" w:space="0" w:color="auto"/>
            </w:tcBorders>
          </w:tcPr>
          <w:p w:rsidR="00012CF5" w:rsidRPr="00D91093" w:rsidRDefault="00012CF5" w:rsidP="00FC4111">
            <w:pPr>
              <w:ind w:left="54"/>
              <w:rPr>
                <w:b/>
                <w:sz w:val="20"/>
                <w:szCs w:val="20"/>
              </w:rPr>
            </w:pPr>
            <w:r w:rsidRPr="00D91093">
              <w:rPr>
                <w:b/>
                <w:sz w:val="20"/>
                <w:szCs w:val="20"/>
              </w:rPr>
              <w:t>Negatívne</w:t>
            </w:r>
          </w:p>
        </w:tc>
      </w:tr>
      <w:tr w:rsidR="00012CF5" w:rsidRPr="00D91093" w:rsidTr="00FC4111">
        <w:tc>
          <w:tcPr>
            <w:tcW w:w="3812" w:type="dxa"/>
            <w:tcBorders>
              <w:top w:val="single" w:sz="4" w:space="0" w:color="auto"/>
              <w:left w:val="single" w:sz="4" w:space="0" w:color="auto"/>
              <w:bottom w:val="single" w:sz="4" w:space="0" w:color="auto"/>
              <w:right w:val="single" w:sz="4" w:space="0" w:color="auto"/>
            </w:tcBorders>
            <w:shd w:val="clear" w:color="auto" w:fill="E2E2E2"/>
          </w:tcPr>
          <w:p w:rsidR="00012CF5" w:rsidRPr="00D91093" w:rsidRDefault="00012CF5" w:rsidP="00FC4111">
            <w:pPr>
              <w:rPr>
                <w:b/>
                <w:sz w:val="20"/>
                <w:szCs w:val="20"/>
              </w:rPr>
            </w:pPr>
            <w:r w:rsidRPr="00D91093">
              <w:rPr>
                <w:b/>
                <w:sz w:val="20"/>
                <w:szCs w:val="20"/>
              </w:rPr>
              <w:t>Vplyvy na informatizáciu spoločnosti</w:t>
            </w:r>
          </w:p>
        </w:tc>
        <w:sdt>
          <w:sdtPr>
            <w:rPr>
              <w:b/>
              <w:sz w:val="20"/>
              <w:szCs w:val="20"/>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312" w:type="dxa"/>
            <w:gridSpan w:val="2"/>
            <w:tcBorders>
              <w:top w:val="single" w:sz="4" w:space="0" w:color="auto"/>
              <w:left w:val="nil"/>
              <w:bottom w:val="single" w:sz="4" w:space="0" w:color="auto"/>
              <w:right w:val="nil"/>
            </w:tcBorders>
          </w:tcPr>
          <w:p w:rsidR="00012CF5" w:rsidRPr="00D91093" w:rsidRDefault="00012CF5" w:rsidP="00FC4111">
            <w:pPr>
              <w:ind w:right="-108"/>
              <w:rPr>
                <w:b/>
                <w:sz w:val="20"/>
                <w:szCs w:val="20"/>
              </w:rPr>
            </w:pPr>
            <w:r w:rsidRPr="00D91093">
              <w:rPr>
                <w:b/>
                <w:sz w:val="20"/>
                <w:szCs w:val="20"/>
              </w:rPr>
              <w:t>Pozitívne</w:t>
            </w:r>
          </w:p>
        </w:tc>
        <w:sdt>
          <w:sdtPr>
            <w:rPr>
              <w:b/>
              <w:sz w:val="20"/>
              <w:szCs w:val="20"/>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133" w:type="dxa"/>
            <w:tcBorders>
              <w:top w:val="single" w:sz="4" w:space="0" w:color="auto"/>
              <w:left w:val="nil"/>
              <w:bottom w:val="single" w:sz="4" w:space="0" w:color="auto"/>
              <w:right w:val="nil"/>
            </w:tcBorders>
          </w:tcPr>
          <w:p w:rsidR="00012CF5" w:rsidRPr="00D91093" w:rsidRDefault="00012CF5" w:rsidP="00FC4111">
            <w:pPr>
              <w:rPr>
                <w:b/>
                <w:sz w:val="20"/>
                <w:szCs w:val="20"/>
              </w:rPr>
            </w:pPr>
            <w:r w:rsidRPr="00D91093">
              <w:rPr>
                <w:b/>
                <w:sz w:val="20"/>
                <w:szCs w:val="20"/>
              </w:rPr>
              <w:t>Žiadne</w:t>
            </w:r>
          </w:p>
        </w:tc>
        <w:sdt>
          <w:sdtPr>
            <w:rPr>
              <w:b/>
              <w:sz w:val="20"/>
              <w:szCs w:val="20"/>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297" w:type="dxa"/>
            <w:tcBorders>
              <w:top w:val="single" w:sz="4" w:space="0" w:color="auto"/>
              <w:left w:val="nil"/>
              <w:bottom w:val="single" w:sz="4" w:space="0" w:color="auto"/>
              <w:right w:val="single" w:sz="4" w:space="0" w:color="auto"/>
            </w:tcBorders>
          </w:tcPr>
          <w:p w:rsidR="00012CF5" w:rsidRPr="00D91093" w:rsidRDefault="00012CF5" w:rsidP="00FC4111">
            <w:pPr>
              <w:ind w:left="54"/>
              <w:rPr>
                <w:b/>
                <w:sz w:val="20"/>
                <w:szCs w:val="20"/>
              </w:rPr>
            </w:pPr>
            <w:r w:rsidRPr="00D91093">
              <w:rPr>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12CF5" w:rsidRPr="00D91093" w:rsidTr="00FC4111">
        <w:tc>
          <w:tcPr>
            <w:tcW w:w="3812" w:type="dxa"/>
            <w:tcBorders>
              <w:top w:val="single" w:sz="4" w:space="0" w:color="auto"/>
              <w:left w:val="single" w:sz="4" w:space="0" w:color="auto"/>
              <w:bottom w:val="nil"/>
              <w:right w:val="single" w:sz="4" w:space="0" w:color="auto"/>
            </w:tcBorders>
            <w:shd w:val="clear" w:color="auto" w:fill="E2E2E2"/>
          </w:tcPr>
          <w:p w:rsidR="00012CF5" w:rsidRPr="00D91093" w:rsidRDefault="00012CF5" w:rsidP="00FC4111">
            <w:pPr>
              <w:rPr>
                <w:b/>
                <w:sz w:val="20"/>
                <w:szCs w:val="20"/>
              </w:rPr>
            </w:pPr>
            <w:r w:rsidRPr="00D91093">
              <w:rPr>
                <w:rFonts w:eastAsia="Calibri"/>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012CF5" w:rsidRPr="00D91093" w:rsidRDefault="00012CF5" w:rsidP="00FC4111">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rsidR="00012CF5" w:rsidRPr="00D91093" w:rsidRDefault="00012CF5" w:rsidP="00FC4111">
            <w:pPr>
              <w:ind w:right="-108"/>
              <w:rPr>
                <w:b/>
                <w:sz w:val="20"/>
                <w:szCs w:val="20"/>
              </w:rPr>
            </w:pPr>
          </w:p>
        </w:tc>
        <w:tc>
          <w:tcPr>
            <w:tcW w:w="569" w:type="dxa"/>
            <w:gridSpan w:val="2"/>
            <w:tcBorders>
              <w:top w:val="single" w:sz="4" w:space="0" w:color="auto"/>
              <w:left w:val="nil"/>
              <w:bottom w:val="nil"/>
              <w:right w:val="nil"/>
            </w:tcBorders>
            <w:shd w:val="clear" w:color="auto" w:fill="auto"/>
          </w:tcPr>
          <w:p w:rsidR="00012CF5" w:rsidRPr="00D91093" w:rsidRDefault="00012CF5" w:rsidP="00FC4111">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rsidR="00012CF5" w:rsidRPr="00D91093" w:rsidRDefault="00012CF5" w:rsidP="00FC4111">
            <w:pPr>
              <w:rPr>
                <w:b/>
                <w:sz w:val="20"/>
                <w:szCs w:val="20"/>
              </w:rPr>
            </w:pPr>
          </w:p>
        </w:tc>
        <w:tc>
          <w:tcPr>
            <w:tcW w:w="547" w:type="dxa"/>
            <w:tcBorders>
              <w:top w:val="single" w:sz="4" w:space="0" w:color="auto"/>
              <w:left w:val="nil"/>
              <w:bottom w:val="nil"/>
              <w:right w:val="nil"/>
            </w:tcBorders>
            <w:shd w:val="clear" w:color="auto" w:fill="auto"/>
          </w:tcPr>
          <w:p w:rsidR="00012CF5" w:rsidRPr="00D91093" w:rsidRDefault="00012CF5" w:rsidP="00FC4111">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rsidR="00012CF5" w:rsidRPr="00D91093" w:rsidRDefault="00012CF5" w:rsidP="00FC4111">
            <w:pPr>
              <w:ind w:left="54"/>
              <w:rPr>
                <w:b/>
                <w:sz w:val="20"/>
                <w:szCs w:val="20"/>
              </w:rPr>
            </w:pPr>
          </w:p>
        </w:tc>
      </w:tr>
      <w:tr w:rsidR="00012CF5" w:rsidRPr="00D91093" w:rsidTr="00FC4111">
        <w:tc>
          <w:tcPr>
            <w:tcW w:w="3812" w:type="dxa"/>
            <w:tcBorders>
              <w:top w:val="nil"/>
              <w:left w:val="single" w:sz="4" w:space="0" w:color="auto"/>
              <w:bottom w:val="nil"/>
              <w:right w:val="single" w:sz="4" w:space="0" w:color="auto"/>
            </w:tcBorders>
            <w:shd w:val="clear" w:color="auto" w:fill="E2E2E2"/>
          </w:tcPr>
          <w:p w:rsidR="00012CF5" w:rsidRPr="00D91093" w:rsidRDefault="00012CF5" w:rsidP="00FC4111">
            <w:pPr>
              <w:ind w:left="196" w:hanging="196"/>
              <w:rPr>
                <w:rFonts w:eastAsia="Calibri"/>
                <w:b/>
                <w:sz w:val="20"/>
                <w:szCs w:val="20"/>
              </w:rPr>
            </w:pPr>
            <w:r w:rsidRPr="00D91093">
              <w:rPr>
                <w:rFonts w:eastAsia="Calibri"/>
                <w:b/>
                <w:sz w:val="20"/>
                <w:szCs w:val="20"/>
              </w:rPr>
              <w:t xml:space="preserve">    vplyvy služieb verejnej správy na občana</w:t>
            </w:r>
          </w:p>
        </w:tc>
        <w:sdt>
          <w:sdtPr>
            <w:rPr>
              <w:b/>
              <w:sz w:val="20"/>
              <w:szCs w:val="20"/>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312" w:type="dxa"/>
            <w:gridSpan w:val="2"/>
            <w:tcBorders>
              <w:top w:val="nil"/>
              <w:left w:val="nil"/>
              <w:bottom w:val="dotted" w:sz="4" w:space="0" w:color="auto"/>
              <w:right w:val="nil"/>
            </w:tcBorders>
            <w:shd w:val="clear" w:color="auto" w:fill="auto"/>
          </w:tcPr>
          <w:p w:rsidR="00012CF5" w:rsidRPr="00D91093" w:rsidRDefault="00012CF5" w:rsidP="00FC4111">
            <w:pPr>
              <w:ind w:right="-108"/>
              <w:rPr>
                <w:b/>
                <w:sz w:val="20"/>
                <w:szCs w:val="20"/>
              </w:rPr>
            </w:pPr>
            <w:r w:rsidRPr="00D91093">
              <w:rPr>
                <w:b/>
                <w:sz w:val="20"/>
                <w:szCs w:val="20"/>
              </w:rPr>
              <w:t>Pozitívne</w:t>
            </w:r>
          </w:p>
        </w:tc>
        <w:sdt>
          <w:sdtPr>
            <w:rPr>
              <w:b/>
              <w:sz w:val="20"/>
              <w:szCs w:val="20"/>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133" w:type="dxa"/>
            <w:tcBorders>
              <w:top w:val="nil"/>
              <w:left w:val="nil"/>
              <w:bottom w:val="dotted" w:sz="4" w:space="0" w:color="auto"/>
              <w:right w:val="nil"/>
            </w:tcBorders>
            <w:shd w:val="clear" w:color="auto" w:fill="auto"/>
          </w:tcPr>
          <w:p w:rsidR="00012CF5" w:rsidRPr="00D91093" w:rsidRDefault="00012CF5" w:rsidP="00FC4111">
            <w:pPr>
              <w:rPr>
                <w:b/>
                <w:sz w:val="20"/>
                <w:szCs w:val="20"/>
              </w:rPr>
            </w:pPr>
            <w:r w:rsidRPr="00D91093">
              <w:rPr>
                <w:b/>
                <w:sz w:val="20"/>
                <w:szCs w:val="20"/>
              </w:rPr>
              <w:t>Žiadne</w:t>
            </w:r>
          </w:p>
        </w:tc>
        <w:sdt>
          <w:sdtPr>
            <w:rPr>
              <w:b/>
              <w:sz w:val="20"/>
              <w:szCs w:val="20"/>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297" w:type="dxa"/>
            <w:tcBorders>
              <w:top w:val="nil"/>
              <w:left w:val="nil"/>
              <w:bottom w:val="dotted" w:sz="4" w:space="0" w:color="auto"/>
              <w:right w:val="single" w:sz="4" w:space="0" w:color="auto"/>
            </w:tcBorders>
            <w:shd w:val="clear" w:color="auto" w:fill="auto"/>
          </w:tcPr>
          <w:p w:rsidR="00012CF5" w:rsidRPr="00D91093" w:rsidRDefault="00012CF5" w:rsidP="00FC4111">
            <w:pPr>
              <w:ind w:left="54"/>
              <w:rPr>
                <w:b/>
                <w:sz w:val="20"/>
                <w:szCs w:val="20"/>
              </w:rPr>
            </w:pPr>
            <w:r w:rsidRPr="00D91093">
              <w:rPr>
                <w:b/>
                <w:sz w:val="20"/>
                <w:szCs w:val="20"/>
              </w:rPr>
              <w:t>Negatívne</w:t>
            </w:r>
          </w:p>
        </w:tc>
      </w:tr>
      <w:tr w:rsidR="00012CF5" w:rsidRPr="00D91093" w:rsidTr="00FC4111">
        <w:tc>
          <w:tcPr>
            <w:tcW w:w="3812" w:type="dxa"/>
            <w:tcBorders>
              <w:top w:val="nil"/>
              <w:left w:val="single" w:sz="4" w:space="0" w:color="auto"/>
              <w:bottom w:val="nil"/>
              <w:right w:val="single" w:sz="4" w:space="0" w:color="auto"/>
            </w:tcBorders>
            <w:shd w:val="clear" w:color="auto" w:fill="E2E2E2"/>
          </w:tcPr>
          <w:p w:rsidR="00012CF5" w:rsidRPr="00D91093" w:rsidRDefault="00012CF5" w:rsidP="00FC4111">
            <w:pPr>
              <w:ind w:left="168" w:hanging="168"/>
              <w:rPr>
                <w:rFonts w:eastAsia="Calibri"/>
                <w:b/>
                <w:sz w:val="20"/>
                <w:szCs w:val="20"/>
              </w:rPr>
            </w:pPr>
            <w:r w:rsidRPr="00D91093">
              <w:rPr>
                <w:rFonts w:eastAsia="Calibri"/>
                <w:b/>
                <w:sz w:val="20"/>
                <w:szCs w:val="20"/>
              </w:rPr>
              <w:t xml:space="preserve">    vplyvy na procesy služieb vo verejnej správe</w:t>
            </w:r>
          </w:p>
        </w:tc>
        <w:sdt>
          <w:sdtPr>
            <w:rPr>
              <w:b/>
              <w:sz w:val="20"/>
              <w:szCs w:val="20"/>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12CF5" w:rsidRPr="00D91093" w:rsidRDefault="00012CF5" w:rsidP="00FC4111">
            <w:pPr>
              <w:ind w:right="-108"/>
              <w:rPr>
                <w:b/>
                <w:sz w:val="20"/>
                <w:szCs w:val="20"/>
              </w:rPr>
            </w:pPr>
            <w:r w:rsidRPr="00D91093">
              <w:rPr>
                <w:b/>
                <w:sz w:val="20"/>
                <w:szCs w:val="20"/>
              </w:rPr>
              <w:t>Pozitívne</w:t>
            </w:r>
          </w:p>
        </w:tc>
        <w:sdt>
          <w:sdtPr>
            <w:rPr>
              <w:b/>
              <w:sz w:val="20"/>
              <w:szCs w:val="20"/>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rsidR="00012CF5" w:rsidRPr="00D91093" w:rsidRDefault="00012CF5" w:rsidP="00FC4111">
            <w:pPr>
              <w:rPr>
                <w:b/>
                <w:sz w:val="20"/>
                <w:szCs w:val="20"/>
              </w:rPr>
            </w:pPr>
            <w:r w:rsidRPr="00D91093">
              <w:rPr>
                <w:b/>
                <w:sz w:val="20"/>
                <w:szCs w:val="20"/>
              </w:rPr>
              <w:t>Žiadne</w:t>
            </w:r>
          </w:p>
        </w:tc>
        <w:sdt>
          <w:sdtPr>
            <w:rPr>
              <w:b/>
              <w:sz w:val="20"/>
              <w:szCs w:val="20"/>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12CF5" w:rsidRPr="00D91093" w:rsidRDefault="00012CF5" w:rsidP="00FC4111">
            <w:pPr>
              <w:ind w:left="54"/>
              <w:rPr>
                <w:b/>
                <w:sz w:val="20"/>
                <w:szCs w:val="20"/>
              </w:rPr>
            </w:pPr>
            <w:r w:rsidRPr="00D91093">
              <w:rPr>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012CF5" w:rsidRPr="00D91093" w:rsidTr="00FC4111">
        <w:tc>
          <w:tcPr>
            <w:tcW w:w="3812" w:type="dxa"/>
            <w:tcBorders>
              <w:top w:val="single" w:sz="4" w:space="0" w:color="000000"/>
              <w:left w:val="single" w:sz="4" w:space="0" w:color="auto"/>
              <w:bottom w:val="single" w:sz="4" w:space="0" w:color="auto"/>
              <w:right w:val="single" w:sz="4" w:space="0" w:color="auto"/>
            </w:tcBorders>
            <w:shd w:val="clear" w:color="auto" w:fill="E2E2E2"/>
          </w:tcPr>
          <w:p w:rsidR="00012CF5" w:rsidRPr="00D91093" w:rsidRDefault="00012CF5" w:rsidP="00FC4111">
            <w:pPr>
              <w:rPr>
                <w:b/>
                <w:sz w:val="20"/>
                <w:szCs w:val="20"/>
              </w:rPr>
            </w:pPr>
            <w:r w:rsidRPr="00D91093">
              <w:rPr>
                <w:b/>
                <w:sz w:val="20"/>
                <w:szCs w:val="20"/>
              </w:rPr>
              <w:t>Vplyvy na manželstvo, rodičovstvo a rodinu</w:t>
            </w:r>
          </w:p>
        </w:tc>
        <w:sdt>
          <w:sdtPr>
            <w:rPr>
              <w:b/>
              <w:sz w:val="20"/>
              <w:szCs w:val="20"/>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312" w:type="dxa"/>
            <w:tcBorders>
              <w:top w:val="single" w:sz="4" w:space="0" w:color="auto"/>
              <w:left w:val="nil"/>
              <w:bottom w:val="single" w:sz="4" w:space="0" w:color="auto"/>
              <w:right w:val="nil"/>
            </w:tcBorders>
            <w:vAlign w:val="center"/>
          </w:tcPr>
          <w:p w:rsidR="00012CF5" w:rsidRPr="00D91093" w:rsidRDefault="00012CF5" w:rsidP="00FC4111">
            <w:pPr>
              <w:ind w:right="-108"/>
              <w:rPr>
                <w:b/>
                <w:sz w:val="20"/>
                <w:szCs w:val="20"/>
              </w:rPr>
            </w:pPr>
            <w:r w:rsidRPr="00D91093">
              <w:rPr>
                <w:b/>
                <w:sz w:val="20"/>
                <w:szCs w:val="20"/>
              </w:rPr>
              <w:t>Pozitívne</w:t>
            </w:r>
          </w:p>
        </w:tc>
        <w:sdt>
          <w:sdtPr>
            <w:rPr>
              <w:b/>
              <w:sz w:val="20"/>
              <w:szCs w:val="20"/>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133" w:type="dxa"/>
            <w:tcBorders>
              <w:top w:val="single" w:sz="4" w:space="0" w:color="auto"/>
              <w:left w:val="nil"/>
              <w:bottom w:val="single" w:sz="4" w:space="0" w:color="auto"/>
              <w:right w:val="nil"/>
            </w:tcBorders>
            <w:vAlign w:val="center"/>
          </w:tcPr>
          <w:p w:rsidR="00012CF5" w:rsidRPr="00D91093" w:rsidRDefault="00012CF5" w:rsidP="00FC4111">
            <w:pPr>
              <w:rPr>
                <w:b/>
                <w:sz w:val="20"/>
                <w:szCs w:val="20"/>
              </w:rPr>
            </w:pPr>
            <w:r w:rsidRPr="00D91093">
              <w:rPr>
                <w:b/>
                <w:sz w:val="20"/>
                <w:szCs w:val="20"/>
              </w:rPr>
              <w:t>Žiadne</w:t>
            </w:r>
          </w:p>
        </w:tc>
        <w:sdt>
          <w:sdtPr>
            <w:rPr>
              <w:b/>
              <w:sz w:val="20"/>
              <w:szCs w:val="20"/>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012CF5" w:rsidRPr="00D91093" w:rsidRDefault="00012CF5" w:rsidP="00FC4111">
                <w:pPr>
                  <w:jc w:val="center"/>
                  <w:rPr>
                    <w:b/>
                    <w:sz w:val="20"/>
                    <w:szCs w:val="20"/>
                  </w:rPr>
                </w:pPr>
                <w:r w:rsidRPr="00D91093">
                  <w:rPr>
                    <w:rFonts w:ascii="MS Gothic" w:eastAsia="MS Gothic" w:hAnsi="MS Gothic"/>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012CF5" w:rsidRPr="00D91093" w:rsidRDefault="00012CF5" w:rsidP="00FC4111">
            <w:pPr>
              <w:ind w:left="54"/>
              <w:rPr>
                <w:b/>
                <w:sz w:val="20"/>
                <w:szCs w:val="20"/>
              </w:rPr>
            </w:pPr>
            <w:r w:rsidRPr="00D91093">
              <w:rPr>
                <w:b/>
                <w:sz w:val="20"/>
                <w:szCs w:val="20"/>
              </w:rPr>
              <w:t>Negatívne</w:t>
            </w:r>
          </w:p>
        </w:tc>
      </w:tr>
    </w:tbl>
    <w:p w:rsidR="00012CF5" w:rsidRPr="00D91093" w:rsidRDefault="00012CF5" w:rsidP="00012CF5">
      <w:pPr>
        <w:ind w:right="141"/>
        <w:rPr>
          <w:b/>
          <w:sz w:val="20"/>
          <w:szCs w:val="20"/>
        </w:rPr>
      </w:pPr>
    </w:p>
    <w:tbl>
      <w:tblPr>
        <w:tblStyle w:val="Mriekatabuky1"/>
        <w:tblW w:w="9176" w:type="dxa"/>
        <w:tblLayout w:type="fixed"/>
        <w:tblLook w:val="04A0" w:firstRow="1" w:lastRow="0" w:firstColumn="1" w:lastColumn="0" w:noHBand="0" w:noVBand="1"/>
      </w:tblPr>
      <w:tblGrid>
        <w:gridCol w:w="9176"/>
      </w:tblGrid>
      <w:tr w:rsidR="00012CF5" w:rsidRPr="00D91093" w:rsidTr="00FC4111">
        <w:tc>
          <w:tcPr>
            <w:tcW w:w="9176" w:type="dxa"/>
            <w:tcBorders>
              <w:top w:val="single" w:sz="4" w:space="0" w:color="auto"/>
              <w:left w:val="single" w:sz="4" w:space="0" w:color="auto"/>
              <w:bottom w:val="nil"/>
              <w:right w:val="single" w:sz="4" w:space="0" w:color="auto"/>
            </w:tcBorders>
            <w:shd w:val="clear" w:color="auto" w:fill="E2E2E2"/>
          </w:tcPr>
          <w:p w:rsidR="00012CF5" w:rsidRPr="00D91093" w:rsidRDefault="00012CF5" w:rsidP="00012CF5">
            <w:pPr>
              <w:numPr>
                <w:ilvl w:val="0"/>
                <w:numId w:val="1"/>
              </w:numPr>
              <w:ind w:left="426"/>
              <w:contextualSpacing/>
              <w:rPr>
                <w:rFonts w:eastAsia="Calibri"/>
                <w:b/>
              </w:rPr>
            </w:pPr>
            <w:r w:rsidRPr="00D91093">
              <w:rPr>
                <w:rFonts w:eastAsia="Calibri"/>
                <w:b/>
              </w:rPr>
              <w:t>Poznámky</w:t>
            </w:r>
          </w:p>
        </w:tc>
      </w:tr>
      <w:tr w:rsidR="00012CF5" w:rsidRPr="00D91093" w:rsidTr="00FC4111">
        <w:trPr>
          <w:trHeight w:val="713"/>
        </w:trPr>
        <w:tc>
          <w:tcPr>
            <w:tcW w:w="9176" w:type="dxa"/>
            <w:tcBorders>
              <w:top w:val="nil"/>
              <w:left w:val="single" w:sz="4" w:space="0" w:color="auto"/>
              <w:bottom w:val="single" w:sz="4" w:space="0" w:color="FFFFFF"/>
              <w:right w:val="single" w:sz="4" w:space="0" w:color="auto"/>
            </w:tcBorders>
            <w:shd w:val="clear" w:color="auto" w:fill="auto"/>
          </w:tcPr>
          <w:p w:rsidR="00012CF5" w:rsidRPr="00D91093" w:rsidRDefault="00012CF5" w:rsidP="003B3AC8">
            <w:pPr>
              <w:contextualSpacing/>
              <w:jc w:val="both"/>
              <w:rPr>
                <w:rFonts w:eastAsia="Calibri"/>
                <w:b/>
              </w:rPr>
            </w:pPr>
            <w:r w:rsidRPr="00D91093">
              <w:rPr>
                <w:sz w:val="20"/>
                <w:szCs w:val="20"/>
              </w:rPr>
              <w:t>Predložený návrh zákona nemá vplyv na rozpočet verejnej správy, vplyv na podnikateľské prostredie, sociálny vplyv, vplyv na životné prostredie, vplyv na informatizáciu spoločnosti, vplyv na služby pre občana ani vplyv na manželstvo, rodičovstvo a rodinu.</w:t>
            </w:r>
            <w:r w:rsidR="003B3AC8">
              <w:rPr>
                <w:sz w:val="20"/>
                <w:szCs w:val="20"/>
              </w:rPr>
              <w:t xml:space="preserve"> Prípadné výdavky, ktoré vyplynú zo zriadenia výboru Bezpečnostnej rady Slovenskej republiky pre hybridné hrozby, budú zabezpečené v rámci schválených limitov rozpočtovej kapitoly Ministerstva obrany Slovenskej republiky na príslušné rozpočtové roky bez dodatočných požiadaviek na rozpočet verejnej správy.</w:t>
            </w:r>
          </w:p>
        </w:tc>
      </w:tr>
      <w:tr w:rsidR="00012CF5" w:rsidRPr="00D91093" w:rsidTr="00FC4111">
        <w:tc>
          <w:tcPr>
            <w:tcW w:w="9176" w:type="dxa"/>
            <w:tcBorders>
              <w:top w:val="single" w:sz="4" w:space="0" w:color="auto"/>
              <w:left w:val="single" w:sz="4" w:space="0" w:color="auto"/>
              <w:bottom w:val="single" w:sz="4" w:space="0" w:color="FFFFFF"/>
              <w:right w:val="single" w:sz="4" w:space="0" w:color="auto"/>
            </w:tcBorders>
            <w:shd w:val="clear" w:color="auto" w:fill="E2E2E2"/>
          </w:tcPr>
          <w:p w:rsidR="00012CF5" w:rsidRPr="00D91093" w:rsidRDefault="00012CF5" w:rsidP="00012CF5">
            <w:pPr>
              <w:numPr>
                <w:ilvl w:val="0"/>
                <w:numId w:val="1"/>
              </w:numPr>
              <w:ind w:left="426"/>
              <w:contextualSpacing/>
              <w:rPr>
                <w:rFonts w:eastAsia="Calibri"/>
                <w:b/>
              </w:rPr>
            </w:pPr>
            <w:r w:rsidRPr="00D91093">
              <w:rPr>
                <w:rFonts w:eastAsia="Calibri"/>
                <w:b/>
              </w:rPr>
              <w:lastRenderedPageBreak/>
              <w:t>Kontakt na spracovateľa</w:t>
            </w:r>
          </w:p>
        </w:tc>
      </w:tr>
      <w:tr w:rsidR="00012CF5" w:rsidRPr="00D91093" w:rsidTr="00FC4111">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12CF5" w:rsidRPr="00D91093" w:rsidRDefault="00012CF5" w:rsidP="00FC4111">
            <w:pPr>
              <w:rPr>
                <w:sz w:val="20"/>
                <w:szCs w:val="20"/>
              </w:rPr>
            </w:pPr>
            <w:r w:rsidRPr="00D91093">
              <w:rPr>
                <w:sz w:val="20"/>
                <w:szCs w:val="20"/>
              </w:rPr>
              <w:t xml:space="preserve">Mgr. Victor </w:t>
            </w:r>
            <w:proofErr w:type="spellStart"/>
            <w:r w:rsidRPr="00D91093">
              <w:rPr>
                <w:sz w:val="20"/>
                <w:szCs w:val="20"/>
              </w:rPr>
              <w:t>Breiner</w:t>
            </w:r>
            <w:proofErr w:type="spellEnd"/>
            <w:r w:rsidRPr="00D91093">
              <w:rPr>
                <w:sz w:val="20"/>
                <w:szCs w:val="20"/>
              </w:rPr>
              <w:t xml:space="preserve">, tel. č.: 0960 311 732, e-mail: </w:t>
            </w:r>
            <w:hyperlink r:id="rId7" w:history="1">
              <w:r w:rsidRPr="00D91093">
                <w:rPr>
                  <w:rStyle w:val="Hypertextovprepojenie"/>
                  <w:sz w:val="20"/>
                  <w:szCs w:val="20"/>
                </w:rPr>
                <w:t>victor.breiner@mod.gov.sk</w:t>
              </w:r>
            </w:hyperlink>
            <w:r w:rsidRPr="00D91093">
              <w:rPr>
                <w:sz w:val="20"/>
                <w:szCs w:val="20"/>
              </w:rPr>
              <w:t xml:space="preserve"> </w:t>
            </w:r>
          </w:p>
          <w:p w:rsidR="00012CF5" w:rsidRPr="00D91093" w:rsidRDefault="00012CF5" w:rsidP="00FC4111">
            <w:pPr>
              <w:rPr>
                <w:sz w:val="20"/>
                <w:szCs w:val="20"/>
              </w:rPr>
            </w:pPr>
            <w:r w:rsidRPr="00D91093">
              <w:rPr>
                <w:sz w:val="20"/>
                <w:szCs w:val="20"/>
              </w:rPr>
              <w:t xml:space="preserve">Ing. Peter </w:t>
            </w:r>
            <w:proofErr w:type="spellStart"/>
            <w:r w:rsidRPr="00D91093">
              <w:rPr>
                <w:sz w:val="20"/>
                <w:szCs w:val="20"/>
              </w:rPr>
              <w:t>Ihnatišin</w:t>
            </w:r>
            <w:proofErr w:type="spellEnd"/>
            <w:r w:rsidRPr="00D91093">
              <w:rPr>
                <w:sz w:val="20"/>
                <w:szCs w:val="20"/>
              </w:rPr>
              <w:t xml:space="preserve">,  tel. č.: 0960 311 759, e-mail: </w:t>
            </w:r>
            <w:hyperlink r:id="rId8" w:history="1">
              <w:r w:rsidRPr="00D91093">
                <w:rPr>
                  <w:rStyle w:val="Hypertextovprepojenie"/>
                  <w:sz w:val="20"/>
                  <w:szCs w:val="20"/>
                </w:rPr>
                <w:t>peter.ihnatisin@mod.gov.sk</w:t>
              </w:r>
            </w:hyperlink>
            <w:r w:rsidRPr="00D91093">
              <w:rPr>
                <w:sz w:val="20"/>
                <w:szCs w:val="20"/>
              </w:rPr>
              <w:t xml:space="preserve"> </w:t>
            </w:r>
          </w:p>
        </w:tc>
      </w:tr>
      <w:tr w:rsidR="00012CF5" w:rsidRPr="00D91093" w:rsidTr="00FC4111">
        <w:tc>
          <w:tcPr>
            <w:tcW w:w="9176" w:type="dxa"/>
            <w:tcBorders>
              <w:top w:val="single" w:sz="4" w:space="0" w:color="auto"/>
              <w:left w:val="single" w:sz="4" w:space="0" w:color="auto"/>
              <w:bottom w:val="single" w:sz="4" w:space="0" w:color="FFFFFF"/>
              <w:right w:val="single" w:sz="4" w:space="0" w:color="auto"/>
            </w:tcBorders>
            <w:shd w:val="clear" w:color="auto" w:fill="E2E2E2"/>
          </w:tcPr>
          <w:p w:rsidR="00012CF5" w:rsidRPr="00D91093" w:rsidRDefault="00012CF5" w:rsidP="00012CF5">
            <w:pPr>
              <w:numPr>
                <w:ilvl w:val="0"/>
                <w:numId w:val="1"/>
              </w:numPr>
              <w:ind w:left="426"/>
              <w:contextualSpacing/>
              <w:rPr>
                <w:rFonts w:eastAsia="Calibri"/>
                <w:b/>
              </w:rPr>
            </w:pPr>
            <w:r w:rsidRPr="00D91093">
              <w:rPr>
                <w:rFonts w:eastAsia="Calibri"/>
                <w:b/>
              </w:rPr>
              <w:t>Zdroje</w:t>
            </w:r>
          </w:p>
        </w:tc>
      </w:tr>
      <w:tr w:rsidR="00012CF5" w:rsidRPr="00D91093" w:rsidTr="00FC4111">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12CF5" w:rsidRPr="00D91093" w:rsidRDefault="00012CF5" w:rsidP="00FC4111">
            <w:pPr>
              <w:rPr>
                <w:i/>
                <w:sz w:val="20"/>
                <w:szCs w:val="20"/>
              </w:rPr>
            </w:pPr>
            <w:r w:rsidRPr="00D91093">
              <w:rPr>
                <w:rFonts w:ascii="Times" w:hAnsi="Times" w:cs="Times"/>
                <w:sz w:val="20"/>
                <w:szCs w:val="20"/>
              </w:rPr>
              <w:t>Pri spracovaní doložky vybraných vplyvov sa vychádzalo z podkladov k Akčnému plánu koordinácie boja proti hybridným hrozbám na roky 2022 – 2024.</w:t>
            </w:r>
          </w:p>
          <w:p w:rsidR="00012CF5" w:rsidRPr="00D91093" w:rsidRDefault="00012CF5" w:rsidP="00FC4111">
            <w:pPr>
              <w:rPr>
                <w:b/>
                <w:sz w:val="20"/>
                <w:szCs w:val="20"/>
              </w:rPr>
            </w:pPr>
          </w:p>
        </w:tc>
      </w:tr>
      <w:tr w:rsidR="00012CF5" w:rsidRPr="00D91093" w:rsidTr="00FC4111">
        <w:tc>
          <w:tcPr>
            <w:tcW w:w="9176" w:type="dxa"/>
            <w:tcBorders>
              <w:top w:val="single" w:sz="4" w:space="0" w:color="auto"/>
              <w:left w:val="single" w:sz="4" w:space="0" w:color="auto"/>
              <w:bottom w:val="single" w:sz="4" w:space="0" w:color="FFFFFF"/>
              <w:right w:val="single" w:sz="4" w:space="0" w:color="auto"/>
            </w:tcBorders>
            <w:shd w:val="clear" w:color="auto" w:fill="E2E2E2"/>
          </w:tcPr>
          <w:p w:rsidR="00012CF5" w:rsidRPr="00D91093" w:rsidRDefault="00012CF5" w:rsidP="00012CF5">
            <w:pPr>
              <w:numPr>
                <w:ilvl w:val="0"/>
                <w:numId w:val="1"/>
              </w:numPr>
              <w:ind w:left="447" w:hanging="425"/>
              <w:contextualSpacing/>
              <w:rPr>
                <w:rFonts w:eastAsia="Calibri"/>
                <w:b/>
              </w:rPr>
            </w:pPr>
            <w:r w:rsidRPr="00D91093">
              <w:rPr>
                <w:rFonts w:eastAsia="Calibri"/>
                <w:b/>
              </w:rPr>
              <w:t>Stanovisko Komisie na posudzovanie vybraných vplyvov z PPK č. ..........</w:t>
            </w:r>
            <w:r w:rsidRPr="00D91093">
              <w:rPr>
                <w:rFonts w:ascii="Calibri" w:eastAsia="Calibri" w:hAnsi="Calibri"/>
              </w:rPr>
              <w:t xml:space="preserve"> </w:t>
            </w:r>
          </w:p>
          <w:p w:rsidR="00012CF5" w:rsidRPr="00D91093" w:rsidRDefault="00012CF5" w:rsidP="00FC4111">
            <w:pPr>
              <w:ind w:left="502"/>
              <w:rPr>
                <w:b/>
                <w:sz w:val="20"/>
                <w:szCs w:val="20"/>
              </w:rPr>
            </w:pPr>
            <w:r w:rsidRPr="00D91093">
              <w:rPr>
                <w:rFonts w:eastAsia="Calibri"/>
              </w:rPr>
              <w:t>(v prípade, ak sa uskutočnilo v zmysle bodu 8.1 Jednotnej metodiky)</w:t>
            </w:r>
          </w:p>
        </w:tc>
      </w:tr>
      <w:tr w:rsidR="00012CF5" w:rsidRPr="00D91093" w:rsidTr="00FC4111">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12CF5" w:rsidRPr="00D91093" w:rsidRDefault="00012CF5" w:rsidP="00FC4111">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12CF5" w:rsidRPr="00D91093" w:rsidTr="00FC4111">
              <w:trPr>
                <w:trHeight w:val="396"/>
              </w:trPr>
              <w:tc>
                <w:tcPr>
                  <w:tcW w:w="2552" w:type="dxa"/>
                </w:tcPr>
                <w:p w:rsidR="00012CF5" w:rsidRPr="00D91093" w:rsidRDefault="003E7225" w:rsidP="00FC4111">
                  <w:pPr>
                    <w:rPr>
                      <w:b/>
                      <w:sz w:val="20"/>
                      <w:szCs w:val="20"/>
                    </w:rPr>
                  </w:pPr>
                  <w:sdt>
                    <w:sdtPr>
                      <w:rPr>
                        <w:b/>
                        <w:sz w:val="20"/>
                        <w:szCs w:val="20"/>
                      </w:rPr>
                      <w:id w:val="-1874910888"/>
                      <w14:checkbox>
                        <w14:checked w14:val="0"/>
                        <w14:checkedState w14:val="2612" w14:font="MS Gothic"/>
                        <w14:uncheckedState w14:val="2610" w14:font="MS Gothic"/>
                      </w14:checkbox>
                    </w:sdtPr>
                    <w:sdtEndPr/>
                    <w:sdtContent>
                      <w:r w:rsidR="00012CF5" w:rsidRPr="00D91093">
                        <w:rPr>
                          <w:rFonts w:ascii="MS Gothic" w:eastAsia="MS Gothic" w:hAnsi="MS Gothic"/>
                          <w:b/>
                          <w:sz w:val="20"/>
                          <w:szCs w:val="20"/>
                        </w:rPr>
                        <w:t>☐</w:t>
                      </w:r>
                    </w:sdtContent>
                  </w:sdt>
                  <w:r w:rsidR="00012CF5" w:rsidRPr="00D91093">
                    <w:rPr>
                      <w:b/>
                      <w:sz w:val="20"/>
                      <w:szCs w:val="20"/>
                    </w:rPr>
                    <w:t xml:space="preserve">  Súhlasné </w:t>
                  </w:r>
                </w:p>
              </w:tc>
              <w:tc>
                <w:tcPr>
                  <w:tcW w:w="3827" w:type="dxa"/>
                </w:tcPr>
                <w:p w:rsidR="00012CF5" w:rsidRPr="00D91093" w:rsidRDefault="003E7225" w:rsidP="00FC4111">
                  <w:pPr>
                    <w:rPr>
                      <w:b/>
                      <w:sz w:val="20"/>
                      <w:szCs w:val="20"/>
                    </w:rPr>
                  </w:pPr>
                  <w:sdt>
                    <w:sdtPr>
                      <w:rPr>
                        <w:b/>
                        <w:sz w:val="20"/>
                        <w:szCs w:val="20"/>
                      </w:rPr>
                      <w:id w:val="1697888127"/>
                      <w14:checkbox>
                        <w14:checked w14:val="0"/>
                        <w14:checkedState w14:val="2612" w14:font="MS Gothic"/>
                        <w14:uncheckedState w14:val="2610" w14:font="MS Gothic"/>
                      </w14:checkbox>
                    </w:sdtPr>
                    <w:sdtEndPr/>
                    <w:sdtContent>
                      <w:r w:rsidR="00012CF5" w:rsidRPr="00D91093">
                        <w:rPr>
                          <w:rFonts w:ascii="MS Gothic" w:eastAsia="MS Gothic" w:hAnsi="MS Gothic"/>
                          <w:b/>
                          <w:sz w:val="20"/>
                          <w:szCs w:val="20"/>
                        </w:rPr>
                        <w:t>☐</w:t>
                      </w:r>
                    </w:sdtContent>
                  </w:sdt>
                  <w:r w:rsidR="00012CF5" w:rsidRPr="00D91093">
                    <w:rPr>
                      <w:b/>
                      <w:sz w:val="20"/>
                      <w:szCs w:val="20"/>
                    </w:rPr>
                    <w:t xml:space="preserve">  Súhlasné s návrhom na dopracovanie</w:t>
                  </w:r>
                </w:p>
              </w:tc>
              <w:tc>
                <w:tcPr>
                  <w:tcW w:w="2534" w:type="dxa"/>
                </w:tcPr>
                <w:p w:rsidR="00012CF5" w:rsidRPr="00D91093" w:rsidRDefault="003E7225" w:rsidP="00FC4111">
                  <w:pPr>
                    <w:ind w:right="459"/>
                    <w:rPr>
                      <w:b/>
                      <w:sz w:val="20"/>
                      <w:szCs w:val="20"/>
                    </w:rPr>
                  </w:pPr>
                  <w:sdt>
                    <w:sdtPr>
                      <w:rPr>
                        <w:b/>
                        <w:sz w:val="20"/>
                        <w:szCs w:val="20"/>
                      </w:rPr>
                      <w:id w:val="-647822913"/>
                      <w14:checkbox>
                        <w14:checked w14:val="0"/>
                        <w14:checkedState w14:val="2612" w14:font="MS Gothic"/>
                        <w14:uncheckedState w14:val="2610" w14:font="MS Gothic"/>
                      </w14:checkbox>
                    </w:sdtPr>
                    <w:sdtEndPr/>
                    <w:sdtContent>
                      <w:r w:rsidR="00012CF5" w:rsidRPr="00D91093">
                        <w:rPr>
                          <w:rFonts w:ascii="MS Gothic" w:eastAsia="MS Gothic" w:hAnsi="MS Gothic"/>
                          <w:b/>
                          <w:sz w:val="20"/>
                          <w:szCs w:val="20"/>
                        </w:rPr>
                        <w:t>☐</w:t>
                      </w:r>
                    </w:sdtContent>
                  </w:sdt>
                  <w:r w:rsidR="00012CF5" w:rsidRPr="00D91093">
                    <w:rPr>
                      <w:b/>
                      <w:sz w:val="20"/>
                      <w:szCs w:val="20"/>
                    </w:rPr>
                    <w:t xml:space="preserve">  Nesúhlasné</w:t>
                  </w:r>
                </w:p>
              </w:tc>
            </w:tr>
          </w:tbl>
          <w:p w:rsidR="00012CF5" w:rsidRPr="00D91093" w:rsidRDefault="00012CF5" w:rsidP="00FC4111">
            <w:pPr>
              <w:jc w:val="both"/>
              <w:rPr>
                <w:b/>
                <w:sz w:val="20"/>
                <w:szCs w:val="20"/>
              </w:rPr>
            </w:pPr>
            <w:r w:rsidRPr="00D91093">
              <w:rPr>
                <w:b/>
                <w:sz w:val="20"/>
                <w:szCs w:val="20"/>
              </w:rPr>
              <w:t>Uveďte pripomienky zo stanoviska Komisie z časti II. spolu s Vaším vyhodnotením:</w:t>
            </w:r>
          </w:p>
          <w:p w:rsidR="00012CF5" w:rsidRPr="00D91093" w:rsidRDefault="00012CF5" w:rsidP="00FC4111">
            <w:pPr>
              <w:rPr>
                <w:b/>
                <w:sz w:val="20"/>
                <w:szCs w:val="20"/>
              </w:rPr>
            </w:pPr>
          </w:p>
          <w:p w:rsidR="00012CF5" w:rsidRPr="00D91093" w:rsidRDefault="00012CF5" w:rsidP="00FC4111">
            <w:pPr>
              <w:rPr>
                <w:b/>
                <w:sz w:val="20"/>
                <w:szCs w:val="20"/>
              </w:rPr>
            </w:pPr>
          </w:p>
        </w:tc>
      </w:tr>
      <w:tr w:rsidR="00012CF5" w:rsidRPr="00D91093" w:rsidTr="00FC4111">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012CF5" w:rsidRPr="00D91093" w:rsidRDefault="00012CF5" w:rsidP="00012CF5">
            <w:pPr>
              <w:numPr>
                <w:ilvl w:val="0"/>
                <w:numId w:val="1"/>
              </w:numPr>
              <w:ind w:left="450" w:hanging="425"/>
              <w:contextualSpacing/>
              <w:jc w:val="both"/>
              <w:rPr>
                <w:rFonts w:eastAsia="Calibri"/>
                <w:b/>
              </w:rPr>
            </w:pPr>
            <w:r w:rsidRPr="00D91093">
              <w:rPr>
                <w:rFonts w:eastAsia="Calibri"/>
                <w:b/>
              </w:rPr>
              <w:t>Stanovisko Komisie na posudzovanie vybraných vplyvov zo záverečného posúdenia č. ..........</w:t>
            </w:r>
            <w:r w:rsidRPr="00D91093">
              <w:rPr>
                <w:rFonts w:eastAsia="Calibri"/>
              </w:rPr>
              <w:t xml:space="preserve"> (v prípade, ak sa uskutočnilo v zmysle bodu 9.1. Jednotnej metodiky) </w:t>
            </w:r>
          </w:p>
        </w:tc>
      </w:tr>
      <w:tr w:rsidR="00012CF5" w:rsidRPr="00D91093" w:rsidTr="00FC4111">
        <w:tblPrEx>
          <w:tblBorders>
            <w:insideH w:val="single" w:sz="4" w:space="0" w:color="FFFFFF"/>
            <w:insideV w:val="single" w:sz="4" w:space="0" w:color="FFFFFF"/>
          </w:tblBorders>
        </w:tblPrEx>
        <w:tc>
          <w:tcPr>
            <w:tcW w:w="9176" w:type="dxa"/>
            <w:shd w:val="clear" w:color="auto" w:fill="FFFFFF"/>
          </w:tcPr>
          <w:p w:rsidR="00012CF5" w:rsidRPr="00D91093" w:rsidRDefault="00012CF5" w:rsidP="00FC4111">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12CF5" w:rsidRPr="00D91093" w:rsidTr="00FC4111">
              <w:trPr>
                <w:trHeight w:val="396"/>
              </w:trPr>
              <w:tc>
                <w:tcPr>
                  <w:tcW w:w="2552" w:type="dxa"/>
                </w:tcPr>
                <w:p w:rsidR="00012CF5" w:rsidRPr="00D91093" w:rsidRDefault="003E7225" w:rsidP="00FC4111">
                  <w:pPr>
                    <w:rPr>
                      <w:b/>
                      <w:sz w:val="20"/>
                      <w:szCs w:val="20"/>
                    </w:rPr>
                  </w:pPr>
                  <w:sdt>
                    <w:sdtPr>
                      <w:rPr>
                        <w:b/>
                        <w:sz w:val="20"/>
                        <w:szCs w:val="20"/>
                      </w:rPr>
                      <w:id w:val="888232876"/>
                      <w14:checkbox>
                        <w14:checked w14:val="0"/>
                        <w14:checkedState w14:val="2612" w14:font="MS Gothic"/>
                        <w14:uncheckedState w14:val="2610" w14:font="MS Gothic"/>
                      </w14:checkbox>
                    </w:sdtPr>
                    <w:sdtEndPr/>
                    <w:sdtContent>
                      <w:r w:rsidR="00012CF5" w:rsidRPr="00D91093">
                        <w:rPr>
                          <w:rFonts w:ascii="MS Gothic" w:eastAsia="MS Gothic" w:hAnsi="MS Gothic"/>
                          <w:b/>
                          <w:sz w:val="20"/>
                          <w:szCs w:val="20"/>
                        </w:rPr>
                        <w:t>☐</w:t>
                      </w:r>
                    </w:sdtContent>
                  </w:sdt>
                  <w:r w:rsidR="00012CF5" w:rsidRPr="00D91093">
                    <w:rPr>
                      <w:b/>
                      <w:sz w:val="20"/>
                      <w:szCs w:val="20"/>
                    </w:rPr>
                    <w:t xml:space="preserve">   Súhlasné </w:t>
                  </w:r>
                </w:p>
              </w:tc>
              <w:tc>
                <w:tcPr>
                  <w:tcW w:w="3827" w:type="dxa"/>
                </w:tcPr>
                <w:p w:rsidR="00012CF5" w:rsidRPr="00D91093" w:rsidRDefault="003E7225" w:rsidP="00FC4111">
                  <w:pPr>
                    <w:rPr>
                      <w:b/>
                      <w:sz w:val="20"/>
                      <w:szCs w:val="20"/>
                    </w:rPr>
                  </w:pPr>
                  <w:sdt>
                    <w:sdtPr>
                      <w:rPr>
                        <w:b/>
                        <w:sz w:val="20"/>
                        <w:szCs w:val="20"/>
                      </w:rPr>
                      <w:id w:val="953831761"/>
                      <w14:checkbox>
                        <w14:checked w14:val="0"/>
                        <w14:checkedState w14:val="2612" w14:font="MS Gothic"/>
                        <w14:uncheckedState w14:val="2610" w14:font="MS Gothic"/>
                      </w14:checkbox>
                    </w:sdtPr>
                    <w:sdtEndPr/>
                    <w:sdtContent>
                      <w:r w:rsidR="00012CF5" w:rsidRPr="00D91093">
                        <w:rPr>
                          <w:rFonts w:ascii="MS Gothic" w:eastAsia="MS Gothic" w:hAnsi="MS Gothic"/>
                          <w:b/>
                          <w:sz w:val="20"/>
                          <w:szCs w:val="20"/>
                        </w:rPr>
                        <w:t>☐</w:t>
                      </w:r>
                    </w:sdtContent>
                  </w:sdt>
                  <w:r w:rsidR="00012CF5" w:rsidRPr="00D91093">
                    <w:rPr>
                      <w:b/>
                      <w:sz w:val="20"/>
                      <w:szCs w:val="20"/>
                    </w:rPr>
                    <w:t xml:space="preserve">  Súhlasné s  návrhom na dopracovanie</w:t>
                  </w:r>
                </w:p>
              </w:tc>
              <w:tc>
                <w:tcPr>
                  <w:tcW w:w="2534" w:type="dxa"/>
                </w:tcPr>
                <w:p w:rsidR="00012CF5" w:rsidRPr="00D91093" w:rsidRDefault="003E7225" w:rsidP="00FC4111">
                  <w:pPr>
                    <w:ind w:right="459"/>
                    <w:rPr>
                      <w:b/>
                      <w:sz w:val="20"/>
                      <w:szCs w:val="20"/>
                    </w:rPr>
                  </w:pPr>
                  <w:sdt>
                    <w:sdtPr>
                      <w:rPr>
                        <w:b/>
                        <w:sz w:val="20"/>
                        <w:szCs w:val="20"/>
                      </w:rPr>
                      <w:id w:val="-361740452"/>
                      <w14:checkbox>
                        <w14:checked w14:val="0"/>
                        <w14:checkedState w14:val="2612" w14:font="MS Gothic"/>
                        <w14:uncheckedState w14:val="2610" w14:font="MS Gothic"/>
                      </w14:checkbox>
                    </w:sdtPr>
                    <w:sdtEndPr/>
                    <w:sdtContent>
                      <w:r w:rsidR="00012CF5" w:rsidRPr="00D91093">
                        <w:rPr>
                          <w:rFonts w:ascii="MS Gothic" w:eastAsia="MS Gothic" w:hAnsi="MS Gothic"/>
                          <w:b/>
                          <w:sz w:val="20"/>
                          <w:szCs w:val="20"/>
                        </w:rPr>
                        <w:t>☐</w:t>
                      </w:r>
                    </w:sdtContent>
                  </w:sdt>
                  <w:r w:rsidR="00012CF5" w:rsidRPr="00D91093">
                    <w:rPr>
                      <w:b/>
                      <w:sz w:val="20"/>
                      <w:szCs w:val="20"/>
                    </w:rPr>
                    <w:t xml:space="preserve">  Nesúhlasné</w:t>
                  </w:r>
                </w:p>
              </w:tc>
            </w:tr>
          </w:tbl>
          <w:p w:rsidR="00012CF5" w:rsidRPr="00D91093" w:rsidRDefault="00012CF5" w:rsidP="00FC4111">
            <w:pPr>
              <w:jc w:val="both"/>
              <w:rPr>
                <w:b/>
                <w:sz w:val="20"/>
                <w:szCs w:val="20"/>
              </w:rPr>
            </w:pPr>
            <w:r w:rsidRPr="00D91093">
              <w:rPr>
                <w:b/>
                <w:sz w:val="20"/>
                <w:szCs w:val="20"/>
              </w:rPr>
              <w:t>Uveďte pripomienky zo stanoviska Komisie z časti II. spolu s Vaším vyhodnotením:</w:t>
            </w:r>
          </w:p>
          <w:p w:rsidR="00012CF5" w:rsidRPr="00D91093" w:rsidRDefault="00012CF5" w:rsidP="00FC4111">
            <w:pPr>
              <w:rPr>
                <w:b/>
                <w:sz w:val="20"/>
                <w:szCs w:val="20"/>
              </w:rPr>
            </w:pPr>
          </w:p>
          <w:p w:rsidR="00012CF5" w:rsidRPr="00D91093" w:rsidRDefault="00012CF5" w:rsidP="00FC4111">
            <w:pPr>
              <w:rPr>
                <w:b/>
                <w:sz w:val="20"/>
                <w:szCs w:val="20"/>
              </w:rPr>
            </w:pPr>
          </w:p>
        </w:tc>
      </w:tr>
    </w:tbl>
    <w:p w:rsidR="00012CF5" w:rsidRPr="00D91093" w:rsidRDefault="00012CF5" w:rsidP="00012CF5"/>
    <w:p w:rsidR="00012CF5" w:rsidRPr="00D91093" w:rsidRDefault="00012CF5" w:rsidP="00012CF5">
      <w:pPr>
        <w:pStyle w:val="Normlnywebov"/>
        <w:spacing w:before="0" w:beforeAutospacing="0" w:after="0" w:afterAutospacing="0"/>
        <w:jc w:val="center"/>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012CF5" w:rsidRPr="00D91093" w:rsidRDefault="00012CF5" w:rsidP="00012CF5">
      <w:pPr>
        <w:pStyle w:val="Normlnywebov"/>
        <w:spacing w:before="0" w:beforeAutospacing="0" w:after="0" w:afterAutospacing="0"/>
        <w:rPr>
          <w:b/>
        </w:rPr>
      </w:pPr>
    </w:p>
    <w:p w:rsidR="004E2B02" w:rsidRDefault="004E2B02"/>
    <w:sectPr w:rsidR="004E2B02" w:rsidSect="008F43E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225" w:rsidRDefault="003E7225" w:rsidP="00D431EF">
      <w:r>
        <w:separator/>
      </w:r>
    </w:p>
  </w:endnote>
  <w:endnote w:type="continuationSeparator" w:id="0">
    <w:p w:rsidR="003E7225" w:rsidRDefault="003E7225" w:rsidP="00D4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A8" w:rsidRDefault="00A329A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5907"/>
      <w:docPartObj>
        <w:docPartGallery w:val="Page Numbers (Bottom of Page)"/>
        <w:docPartUnique/>
      </w:docPartObj>
    </w:sdtPr>
    <w:sdtEndPr/>
    <w:sdtContent>
      <w:p w:rsidR="00D431EF" w:rsidRDefault="00D431EF">
        <w:pPr>
          <w:pStyle w:val="Pta"/>
          <w:jc w:val="center"/>
        </w:pPr>
        <w:r>
          <w:fldChar w:fldCharType="begin"/>
        </w:r>
        <w:r>
          <w:instrText>PAGE   \* MERGEFORMAT</w:instrText>
        </w:r>
        <w:r>
          <w:fldChar w:fldCharType="separate"/>
        </w:r>
        <w:r w:rsidR="00416DB3">
          <w:rPr>
            <w:noProof/>
          </w:rPr>
          <w:t>3</w:t>
        </w:r>
        <w:r>
          <w:fldChar w:fldCharType="end"/>
        </w:r>
      </w:p>
    </w:sdtContent>
  </w:sdt>
  <w:p w:rsidR="00D431EF" w:rsidRDefault="00D431E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A8" w:rsidRDefault="00A329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225" w:rsidRDefault="003E7225" w:rsidP="00D431EF">
      <w:r>
        <w:separator/>
      </w:r>
    </w:p>
  </w:footnote>
  <w:footnote w:type="continuationSeparator" w:id="0">
    <w:p w:rsidR="003E7225" w:rsidRDefault="003E7225" w:rsidP="00D4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A8" w:rsidRDefault="00A329A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A8" w:rsidRDefault="00A329A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A8" w:rsidRDefault="00A329A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F5"/>
    <w:rsid w:val="00002CA6"/>
    <w:rsid w:val="00012662"/>
    <w:rsid w:val="00012CF5"/>
    <w:rsid w:val="00045B22"/>
    <w:rsid w:val="00062BE9"/>
    <w:rsid w:val="0008151A"/>
    <w:rsid w:val="00084297"/>
    <w:rsid w:val="000B1328"/>
    <w:rsid w:val="000E6E0D"/>
    <w:rsid w:val="000F5296"/>
    <w:rsid w:val="0010018D"/>
    <w:rsid w:val="00114769"/>
    <w:rsid w:val="0013025A"/>
    <w:rsid w:val="00137DAE"/>
    <w:rsid w:val="00141056"/>
    <w:rsid w:val="0019361A"/>
    <w:rsid w:val="001945E0"/>
    <w:rsid w:val="001A1FBA"/>
    <w:rsid w:val="001C6DA4"/>
    <w:rsid w:val="001E5CBC"/>
    <w:rsid w:val="00202F0F"/>
    <w:rsid w:val="0023355D"/>
    <w:rsid w:val="002420E8"/>
    <w:rsid w:val="0026006E"/>
    <w:rsid w:val="002973AB"/>
    <w:rsid w:val="002A4E74"/>
    <w:rsid w:val="002A740B"/>
    <w:rsid w:val="002D707C"/>
    <w:rsid w:val="002E1215"/>
    <w:rsid w:val="002F31CA"/>
    <w:rsid w:val="003023D0"/>
    <w:rsid w:val="00333A5A"/>
    <w:rsid w:val="00355C0A"/>
    <w:rsid w:val="003719BE"/>
    <w:rsid w:val="0039584B"/>
    <w:rsid w:val="003B2DCC"/>
    <w:rsid w:val="003B3AC8"/>
    <w:rsid w:val="003C09BD"/>
    <w:rsid w:val="003D0E64"/>
    <w:rsid w:val="003E24C3"/>
    <w:rsid w:val="003E7225"/>
    <w:rsid w:val="003F1B26"/>
    <w:rsid w:val="003F5B17"/>
    <w:rsid w:val="00416DB3"/>
    <w:rsid w:val="004231D6"/>
    <w:rsid w:val="00424A14"/>
    <w:rsid w:val="0048253C"/>
    <w:rsid w:val="00485079"/>
    <w:rsid w:val="004A007C"/>
    <w:rsid w:val="004C38DD"/>
    <w:rsid w:val="004E2B02"/>
    <w:rsid w:val="00530ACA"/>
    <w:rsid w:val="00533A7E"/>
    <w:rsid w:val="00542A7B"/>
    <w:rsid w:val="005C38E1"/>
    <w:rsid w:val="005D57AD"/>
    <w:rsid w:val="00602087"/>
    <w:rsid w:val="00680D15"/>
    <w:rsid w:val="006C7802"/>
    <w:rsid w:val="006D2E38"/>
    <w:rsid w:val="006F5237"/>
    <w:rsid w:val="007048B5"/>
    <w:rsid w:val="00747C9A"/>
    <w:rsid w:val="00771BD4"/>
    <w:rsid w:val="00786D60"/>
    <w:rsid w:val="00797FFC"/>
    <w:rsid w:val="007B1595"/>
    <w:rsid w:val="007F1A52"/>
    <w:rsid w:val="00811D5B"/>
    <w:rsid w:val="00832D02"/>
    <w:rsid w:val="00833B99"/>
    <w:rsid w:val="00842D06"/>
    <w:rsid w:val="00897771"/>
    <w:rsid w:val="008B0A4E"/>
    <w:rsid w:val="008F43EF"/>
    <w:rsid w:val="009042BF"/>
    <w:rsid w:val="00924165"/>
    <w:rsid w:val="00954186"/>
    <w:rsid w:val="00962BF4"/>
    <w:rsid w:val="00986B5B"/>
    <w:rsid w:val="009A23FC"/>
    <w:rsid w:val="009C19AB"/>
    <w:rsid w:val="009C3EC1"/>
    <w:rsid w:val="009D3280"/>
    <w:rsid w:val="009D38A9"/>
    <w:rsid w:val="009E590F"/>
    <w:rsid w:val="00A27359"/>
    <w:rsid w:val="00A329A8"/>
    <w:rsid w:val="00A53574"/>
    <w:rsid w:val="00A64CAC"/>
    <w:rsid w:val="00A65068"/>
    <w:rsid w:val="00A678F9"/>
    <w:rsid w:val="00A976F3"/>
    <w:rsid w:val="00AD7691"/>
    <w:rsid w:val="00AD7BCD"/>
    <w:rsid w:val="00AE6787"/>
    <w:rsid w:val="00B00087"/>
    <w:rsid w:val="00B03697"/>
    <w:rsid w:val="00B81963"/>
    <w:rsid w:val="00B906F1"/>
    <w:rsid w:val="00BD4DC4"/>
    <w:rsid w:val="00C02B30"/>
    <w:rsid w:val="00C05AFE"/>
    <w:rsid w:val="00C376B2"/>
    <w:rsid w:val="00C46B39"/>
    <w:rsid w:val="00C76359"/>
    <w:rsid w:val="00C910BF"/>
    <w:rsid w:val="00CA5A12"/>
    <w:rsid w:val="00D25B5B"/>
    <w:rsid w:val="00D32140"/>
    <w:rsid w:val="00D34F58"/>
    <w:rsid w:val="00D431EF"/>
    <w:rsid w:val="00D64FDA"/>
    <w:rsid w:val="00D7040B"/>
    <w:rsid w:val="00D94168"/>
    <w:rsid w:val="00D94EF2"/>
    <w:rsid w:val="00D95134"/>
    <w:rsid w:val="00DA386C"/>
    <w:rsid w:val="00DC6A4F"/>
    <w:rsid w:val="00DD3AA6"/>
    <w:rsid w:val="00DE1839"/>
    <w:rsid w:val="00DE32A9"/>
    <w:rsid w:val="00E370C2"/>
    <w:rsid w:val="00E40A07"/>
    <w:rsid w:val="00E54911"/>
    <w:rsid w:val="00EF3CC8"/>
    <w:rsid w:val="00F11A8F"/>
    <w:rsid w:val="00F15540"/>
    <w:rsid w:val="00F315D1"/>
    <w:rsid w:val="00F3498A"/>
    <w:rsid w:val="00F82096"/>
    <w:rsid w:val="00F82124"/>
    <w:rsid w:val="00F8503D"/>
    <w:rsid w:val="00F86543"/>
    <w:rsid w:val="00F8662E"/>
    <w:rsid w:val="00F921B4"/>
    <w:rsid w:val="00FA7293"/>
    <w:rsid w:val="00FC1985"/>
    <w:rsid w:val="00FD24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41B1"/>
  <w15:chartTrackingRefBased/>
  <w15:docId w15:val="{1181B1AA-0A07-45E4-8456-C45673F7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2CF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qFormat/>
    <w:rsid w:val="00012CF5"/>
    <w:pPr>
      <w:spacing w:before="100" w:beforeAutospacing="1" w:after="100" w:afterAutospacing="1"/>
    </w:pPr>
  </w:style>
  <w:style w:type="character" w:styleId="Hypertextovprepojenie">
    <w:name w:val="Hyperlink"/>
    <w:basedOn w:val="Predvolenpsmoodseku"/>
    <w:uiPriority w:val="99"/>
    <w:rsid w:val="00012CF5"/>
    <w:rPr>
      <w:rFonts w:cs="Times New Roman"/>
      <w:color w:val="0000FF"/>
      <w:u w:val="single"/>
    </w:rPr>
  </w:style>
  <w:style w:type="table" w:customStyle="1" w:styleId="Mriekatabuky1">
    <w:name w:val="Mriežka tabuľky1"/>
    <w:basedOn w:val="Normlnatabuka"/>
    <w:next w:val="Mriekatabuky"/>
    <w:uiPriority w:val="59"/>
    <w:rsid w:val="0001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1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431EF"/>
    <w:pPr>
      <w:tabs>
        <w:tab w:val="center" w:pos="4536"/>
        <w:tab w:val="right" w:pos="9072"/>
      </w:tabs>
    </w:pPr>
  </w:style>
  <w:style w:type="character" w:customStyle="1" w:styleId="HlavikaChar">
    <w:name w:val="Hlavička Char"/>
    <w:basedOn w:val="Predvolenpsmoodseku"/>
    <w:link w:val="Hlavika"/>
    <w:uiPriority w:val="99"/>
    <w:rsid w:val="00D431E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431EF"/>
    <w:pPr>
      <w:tabs>
        <w:tab w:val="center" w:pos="4536"/>
        <w:tab w:val="right" w:pos="9072"/>
      </w:tabs>
    </w:pPr>
  </w:style>
  <w:style w:type="character" w:customStyle="1" w:styleId="PtaChar">
    <w:name w:val="Päta Char"/>
    <w:basedOn w:val="Predvolenpsmoodseku"/>
    <w:link w:val="Pta"/>
    <w:uiPriority w:val="99"/>
    <w:rsid w:val="00D431E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hnatisin@mod.gov.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ictor.breiner@mod.gov.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1160</Words>
  <Characters>6614</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TOMECKOVA Alexandra</dc:creator>
  <cp:keywords/>
  <dc:description/>
  <cp:lastModifiedBy>SOMBATI Jan</cp:lastModifiedBy>
  <cp:revision>12</cp:revision>
  <dcterms:created xsi:type="dcterms:W3CDTF">2022-09-29T07:42:00Z</dcterms:created>
  <dcterms:modified xsi:type="dcterms:W3CDTF">2022-12-05T09:55:00Z</dcterms:modified>
</cp:coreProperties>
</file>