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BD" w:rsidRPr="00B2719C" w:rsidRDefault="004F12BD" w:rsidP="004F1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9C">
        <w:rPr>
          <w:rFonts w:ascii="Times New Roman" w:hAnsi="Times New Roman" w:cs="Times New Roman"/>
          <w:b/>
          <w:sz w:val="24"/>
          <w:szCs w:val="24"/>
        </w:rPr>
        <w:t>Vyhlásenie o rozporoch</w:t>
      </w:r>
    </w:p>
    <w:p w:rsidR="004F12BD" w:rsidRPr="00B2719C" w:rsidRDefault="004F12BD" w:rsidP="00B27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19C">
        <w:rPr>
          <w:rFonts w:ascii="Times New Roman" w:hAnsi="Times New Roman" w:cs="Times New Roman"/>
          <w:sz w:val="24"/>
          <w:szCs w:val="24"/>
        </w:rPr>
        <w:t>Návrh nariadenia vlády Slovenskej republiky, ktorým sa ustanovujú pravidlá  poskytovania podpory na neprojektové opatrenia Strategického plánu spoločnej poľnohospodárskej politiky sa na rokovanie predkladá s týmito rozpormi</w:t>
      </w:r>
      <w:r w:rsidR="00B2719C">
        <w:rPr>
          <w:rFonts w:ascii="Times New Roman" w:hAnsi="Times New Roman" w:cs="Times New Roman"/>
          <w:sz w:val="24"/>
          <w:szCs w:val="24"/>
        </w:rPr>
        <w:t xml:space="preserve"> s </w:t>
      </w:r>
      <w:r w:rsidR="00B2719C" w:rsidRPr="00AD74E8">
        <w:rPr>
          <w:rFonts w:ascii="Times New Roman" w:hAnsi="Times New Roman" w:cs="Times New Roman"/>
          <w:sz w:val="24"/>
          <w:szCs w:val="24"/>
        </w:rPr>
        <w:t>Asociáci</w:t>
      </w:r>
      <w:r w:rsidR="00B2719C">
        <w:rPr>
          <w:rFonts w:ascii="Times New Roman" w:hAnsi="Times New Roman" w:cs="Times New Roman"/>
          <w:sz w:val="24"/>
          <w:szCs w:val="24"/>
        </w:rPr>
        <w:t>ou</w:t>
      </w:r>
      <w:r w:rsidR="00B2719C" w:rsidRPr="00AD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9C" w:rsidRPr="00AD74E8">
        <w:rPr>
          <w:rFonts w:ascii="Times New Roman" w:hAnsi="Times New Roman" w:cs="Times New Roman"/>
          <w:sz w:val="24"/>
          <w:szCs w:val="24"/>
        </w:rPr>
        <w:t>zamestnávatelských</w:t>
      </w:r>
      <w:proofErr w:type="spellEnd"/>
      <w:r w:rsidR="00B2719C" w:rsidRPr="00AD74E8">
        <w:rPr>
          <w:rFonts w:ascii="Times New Roman" w:hAnsi="Times New Roman" w:cs="Times New Roman"/>
          <w:sz w:val="24"/>
          <w:szCs w:val="24"/>
        </w:rPr>
        <w:t xml:space="preserve"> zväzov a združení Slovenskej republiky</w:t>
      </w:r>
      <w:r w:rsidR="00B2719C">
        <w:rPr>
          <w:rFonts w:ascii="Times New Roman" w:hAnsi="Times New Roman" w:cs="Times New Roman"/>
          <w:sz w:val="24"/>
          <w:szCs w:val="24"/>
        </w:rPr>
        <w:t xml:space="preserve"> (AZZZ SR) a Slovenskou</w:t>
      </w:r>
      <w:r w:rsidR="00B2719C" w:rsidRPr="00AD74E8">
        <w:rPr>
          <w:rFonts w:ascii="Times New Roman" w:hAnsi="Times New Roman" w:cs="Times New Roman"/>
          <w:sz w:val="24"/>
          <w:szCs w:val="24"/>
        </w:rPr>
        <w:t xml:space="preserve"> poľnohospod</w:t>
      </w:r>
      <w:r w:rsidR="00B2719C">
        <w:rPr>
          <w:rFonts w:ascii="Times New Roman" w:hAnsi="Times New Roman" w:cs="Times New Roman"/>
          <w:sz w:val="24"/>
          <w:szCs w:val="24"/>
        </w:rPr>
        <w:t>árskou a potravinárskou komorou</w:t>
      </w:r>
      <w:r w:rsidR="0067098B">
        <w:rPr>
          <w:rFonts w:ascii="Times New Roman" w:hAnsi="Times New Roman" w:cs="Times New Roman"/>
          <w:sz w:val="24"/>
          <w:szCs w:val="24"/>
        </w:rPr>
        <w:t xml:space="preserve"> (SPPK)</w:t>
      </w:r>
      <w:r w:rsidRPr="00B271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972"/>
        <w:gridCol w:w="304"/>
        <w:gridCol w:w="357"/>
        <w:gridCol w:w="2257"/>
      </w:tblGrid>
      <w:tr w:rsidR="004F12BD" w:rsidRPr="00B2719C" w:rsidTr="00382E32">
        <w:trPr>
          <w:jc w:val="center"/>
        </w:trPr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AZZZ SR</w:t>
            </w:r>
          </w:p>
        </w:tc>
        <w:tc>
          <w:tcPr>
            <w:tcW w:w="2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 ods. odsek 4</w:t>
            </w:r>
            <w:r w:rsidRPr="00B2719C">
              <w:rPr>
                <w:rFonts w:ascii="Times New Roman" w:hAnsi="Times New Roman" w:cs="Times New Roman"/>
                <w:sz w:val="24"/>
                <w:szCs w:val="24"/>
              </w:rPr>
              <w:br/>
              <w:t>Žiadame upraviť § 5 odsek 4 písmeno a) upraviť v nasledovnom znení: “na živočíšnu výrobu, ak od 1. júna do 30. septembra roku podania žiadosti podľa § 1 písm. a) dosahuje na poľnohospodárskej ploche podniku s oblasťou s prírodnými obmedzeniami alebo inými osobitnými obmedzeniami priemerné zaťaženie dobytčími jednotkami hovädzieho dobytka, oviec, kôz, koní, ošípaných a hydiny, ktorých je držiteľom podľa centrálneho registra, o veľkosti 0,25 dobytčej jednotky na 1 ha poľnohospodárskej plochy podniku; do priemerného zaťaženia sa započítavajú aj zvieratá, ktorých držiteľom je podľa centrálneho registra v období od 1. júna do 30. septembra roku podania žiadosti podľa § 1 písm. a) fyzická osoba, ktorá je členom právnickej osoby alebo združenia, ktoré je prijímateľom podpory na opatrenie podľa § 1 písm. a),“ Odôvodnenie: predkladateľ v predloženom materiály podmieňuje výpočet zvýšenej sadzby ANC aj pre tie plochy ktoré nie sú zaradené v ANC a na ktoré sa žiadna sadzba neuplatňuje a s uvedenou dotáciou žiadnym spôsobom nesúvisí. V strategickom pláne sa v časti 71.1 - Platby pre oblasti s prírodnými alebo inými osobitnými obmedzeniami (ANC) píše o strate príjmov a ďalších nákladov v oblastiach v ANC, náročnosti a nákladovosti živočíšnej výroby v ANC oblastiach, avšak v nariadení vlády sa členenie určuje podľa celkovej výmery bez ohľadu koľko výmery je zaradenej v ANC a koľko výmery je mimo ANC, čo je v priamom rozpore so Strategick</w:t>
            </w:r>
            <w:bookmarkStart w:id="0" w:name="_GoBack"/>
            <w:bookmarkEnd w:id="0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ým plánom SPP na roky 2023-2027.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spacing w:before="40" w:after="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271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Navrhované znenie je plne v súlade so schváleným Strategickým plánom SPP na roky 2023-2027. V texte intervencie 71.1 - Platby pre oblasti s prírodnými alebo inými osobitnými obmedzeniami (ANC) v bode 5  Špecifická koncepcia, požiadavky a podmienky oprávnenosti intervencie je uvedené:</w:t>
            </w:r>
          </w:p>
          <w:p w:rsidR="004F12BD" w:rsidRPr="00B2719C" w:rsidRDefault="004F12BD" w:rsidP="00382E32">
            <w:pPr>
              <w:spacing w:before="40" w:after="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2719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Kriteriálnou hodnotou pre určenie farmy</w:t>
            </w:r>
            <w:r w:rsidRPr="00B271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do príslušnej kategórie je chov zvierat vedených v CEHZ v stanovenom retenčnom období (od 1.6. do 30.9.). Pri hodnote rovnej alebo väčšej ako 0,25 DJ/ha ide o systém so živočíšnym zameraním a ak je táto hodnota nižšia ako 0,25 DJ/ha jedná sa o systém s rastlinným zameraním. </w:t>
            </w:r>
          </w:p>
          <w:p w:rsidR="004F12BD" w:rsidRPr="00B2719C" w:rsidRDefault="004F12BD" w:rsidP="00382E32">
            <w:p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719C">
              <w:rPr>
                <w:rFonts w:ascii="Times New Roman" w:eastAsia="Calibri" w:hAnsi="Times New Roman" w:cs="Times New Roman"/>
                <w:sz w:val="24"/>
                <w:szCs w:val="24"/>
              </w:rPr>
              <w:t>Kriteriálna</w:t>
            </w:r>
            <w:proofErr w:type="spellEnd"/>
            <w:r w:rsidRPr="00B27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hodnota pre určenie zamerania farmy musí vychádzať z jej celkovej výmery. Nemôže dôjsť k prípadu, že farma bude z časti rastlinného </w:t>
            </w:r>
            <w:r w:rsidRPr="00B27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zamerania a z časti živočíšneho zamerania.</w:t>
            </w:r>
          </w:p>
          <w:p w:rsidR="004F12BD" w:rsidRPr="00B2719C" w:rsidRDefault="004F12BD" w:rsidP="00382E32">
            <w:p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Výpočet platieb je plne v súlade s legislatívou ES (nariadenie EÚ 2021/2115). </w:t>
            </w:r>
          </w:p>
          <w:p w:rsidR="004F12BD" w:rsidRPr="00B2719C" w:rsidRDefault="004F12BD" w:rsidP="00382E32">
            <w:p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71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Dodatočné náklady a strata príjmu v dôsledku prírodných alebo iných osobitných obmedzení jednotlivých oblastí, sa vypočítajú na základe porovnania s oblasťami, ktoré nie sú postihnuté prírodnými ani inými osobitnými obmedzeniami jednotlivých oblastí.</w:t>
            </w:r>
          </w:p>
          <w:p w:rsidR="004F12BD" w:rsidRPr="00B2719C" w:rsidRDefault="004F12BD" w:rsidP="00382E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Dňa 5.12.2022 sa uskutočnilo on-line formou </w:t>
            </w:r>
            <w:proofErr w:type="spellStart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rozporové</w:t>
            </w:r>
            <w:proofErr w:type="spellEnd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 konanie so zástupcami SPPK a AZZZ SR. </w:t>
            </w:r>
          </w:p>
          <w:p w:rsidR="004F12BD" w:rsidRPr="00B2719C" w:rsidRDefault="004F12BD" w:rsidP="00136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Záver: Rozpor trvá.</w:t>
            </w:r>
          </w:p>
        </w:tc>
      </w:tr>
    </w:tbl>
    <w:p w:rsidR="004F12BD" w:rsidRDefault="004F12BD" w:rsidP="004F12B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972"/>
        <w:gridCol w:w="304"/>
        <w:gridCol w:w="357"/>
        <w:gridCol w:w="2257"/>
      </w:tblGrid>
      <w:tr w:rsidR="00C15644" w:rsidRPr="00AD74E8" w:rsidTr="005704B3">
        <w:trPr>
          <w:jc w:val="center"/>
        </w:trPr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15644" w:rsidRPr="00AD74E8" w:rsidRDefault="00C15644" w:rsidP="005704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AZZZ SR</w:t>
            </w:r>
          </w:p>
        </w:tc>
        <w:tc>
          <w:tcPr>
            <w:tcW w:w="2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15644" w:rsidRPr="00AD74E8" w:rsidRDefault="00C15644" w:rsidP="0057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25 ods. odsek 3 písm. a)</w:t>
            </w:r>
            <w:r w:rsidRPr="00AD74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Zásadne žiadame špecifikovať tekvicu ako podporovaný druh zeleniny nasledovne: „tekvica obrovská (pre produkciu na priamy konzum, okrem tekvice určenej pre produkciu semien na konzum a na lisovanie), tekvica obyčajná (pravá syn. špargľová, patizónová, cuketová; pre produkciu na priamy konzum, okrem tekvice určenej pre produkciu semien na konzum a na lisovanie), tekvica </w:t>
            </w:r>
            <w:proofErr w:type="spellStart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mošusová</w:t>
            </w:r>
            <w:proofErr w:type="spellEnd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 (syn. muškátová)“. Navrhujeme nasledovné znenie ustanovenia: „plodová zelenina: dyňa červená, ľuľok baklažánový (syn. baklažán), melón cukrový, paprika koreninová, paprika zeleninová (vrátanie odrôd koreninovej a čili papriky), rajčiak jedlý, tekvica obrovská (pre produkciu na priamy konzum, okrem tekvice určenej pre produkciu semien na konzum a na lisovanie), tekvica obyčajná (pravá syn. špargľová, patizónovú, cuketová, (pre produkciu na priamy konzum, okrem tekvice určenej pre produkciu </w:t>
            </w:r>
            <w:r w:rsidRPr="00AD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semien na konzum a na lisovanie), tekvica </w:t>
            </w:r>
            <w:proofErr w:type="spellStart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mošusová</w:t>
            </w:r>
            <w:proofErr w:type="spellEnd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 (syn. muškátová), uhorka siata (odrody typu: nakladačky a šalátové uhorky),„ Odôvodnenie: Zastávame názor, že je nevyhnutné podporiť reálne také druhy zeleniny, ktoré spracovateľský priemysel a aj spotrebiteľ potrebuje. Považujeme za neopodstatnené, ba až neprijateľné, že podpora na tekvicu, ktorá sa nespracováva a ani nekonzumuje priamo, mala vo viazaných platbách a v neprojektových podporách ešte stále má, takú silnú a neopodstatnenú podporu.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15644" w:rsidRPr="00AD74E8" w:rsidRDefault="00C15644" w:rsidP="00570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15644" w:rsidRPr="00AD74E8" w:rsidRDefault="00C15644" w:rsidP="005704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15644" w:rsidRPr="00AD74E8" w:rsidRDefault="00C15644" w:rsidP="0057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D74E8">
              <w:rPr>
                <w:rFonts w:ascii="Times New Roman" w:eastAsia="Calibri" w:hAnsi="Times New Roman" w:cs="Times New Roman"/>
                <w:sz w:val="24"/>
                <w:szCs w:val="24"/>
              </w:rPr>
              <w:t>Z dôvodu plánovaných hodnôt v rámci ukazovateľov v SP SPP  boli zohľadnené všetky druhy zeleniny vrátene tekvice bez ohľadu na spôsob spracovania na konzum.  Plodová zelenina bude čiastočne upravená a doplnená, avšak tekvica určená pre produkciu semien na konzum a na lisovanie nebude vylúčená z podpory.</w:t>
            </w:r>
          </w:p>
          <w:p w:rsidR="00C15644" w:rsidRPr="00AD74E8" w:rsidRDefault="00C15644" w:rsidP="005704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D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Znenie:</w:t>
            </w:r>
          </w:p>
          <w:p w:rsidR="00C15644" w:rsidRPr="00AD74E8" w:rsidRDefault="00C15644" w:rsidP="005704B3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plodová zelenina – rajčiak jedlý, paprika ročná, ľuľok </w:t>
            </w:r>
            <w:r w:rsidRPr="00AD74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baklažánový (baklažán), uhorka nakladačka, uhorka šalátová, patizón, cuketa, melón cukrový, dyňa červená, tekvica obyčajná, tekvica obrovská (pre produkciu na priamy konzum, tekvica </w:t>
            </w:r>
            <w:proofErr w:type="spellStart"/>
            <w:r w:rsidRPr="00AD74E8">
              <w:rPr>
                <w:rFonts w:ascii="Times New Roman" w:eastAsia="Calibri" w:hAnsi="Times New Roman" w:cs="Times New Roman"/>
                <w:sz w:val="24"/>
                <w:szCs w:val="24"/>
              </w:rPr>
              <w:t>mošusová</w:t>
            </w:r>
            <w:proofErr w:type="spellEnd"/>
            <w:r w:rsidRPr="00AD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(muškátová), </w:t>
            </w:r>
          </w:p>
          <w:p w:rsidR="00C15644" w:rsidRPr="00AD74E8" w:rsidRDefault="00C15644" w:rsidP="0057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44" w:rsidRPr="00AD74E8" w:rsidRDefault="00C15644" w:rsidP="00570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Dňa 5.12.2022 sa uskutočnilo on-line formou </w:t>
            </w:r>
            <w:proofErr w:type="spellStart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rozporové</w:t>
            </w:r>
            <w:proofErr w:type="spellEnd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 konanie so zástupcami SPPK a AZZZ SR. </w:t>
            </w:r>
          </w:p>
          <w:p w:rsidR="00C15644" w:rsidRPr="00AD74E8" w:rsidRDefault="00C15644" w:rsidP="003469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Záver: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Rozpor trvá.</w:t>
            </w:r>
          </w:p>
        </w:tc>
      </w:tr>
    </w:tbl>
    <w:p w:rsidR="00C15644" w:rsidRPr="00B2719C" w:rsidRDefault="00C15644" w:rsidP="00C15644">
      <w:pPr>
        <w:rPr>
          <w:rFonts w:ascii="Times New Roman" w:hAnsi="Times New Roman" w:cs="Times New Roman"/>
          <w:sz w:val="24"/>
          <w:szCs w:val="24"/>
        </w:rPr>
      </w:pPr>
    </w:p>
    <w:p w:rsidR="004F12BD" w:rsidRPr="00B2719C" w:rsidRDefault="004F12BD" w:rsidP="004F12B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972"/>
        <w:gridCol w:w="304"/>
        <w:gridCol w:w="357"/>
        <w:gridCol w:w="2257"/>
      </w:tblGrid>
      <w:tr w:rsidR="004F12BD" w:rsidRPr="00B2719C" w:rsidTr="004F12BD">
        <w:trPr>
          <w:jc w:val="center"/>
        </w:trPr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SPPK</w:t>
            </w:r>
          </w:p>
        </w:tc>
        <w:tc>
          <w:tcPr>
            <w:tcW w:w="2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§ 5 odsek 4</w:t>
            </w:r>
            <w:r w:rsidRPr="00B2719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Žiadame upraviť § 5 odsek 4 písmeno a) upraviť v nasledovnom znení: “na živočíšnu výrobu, ak od 1. júna do 30. septembra roku podania žiadosti podľa § 1 písm. a) dosahuje na poľnohospodárskej ploche podniku s oblasťou s prírodnými obmedzeniami alebo inými osobitnými obmedzeniami priemerné zaťaženie dobytčími jednotkami hovädzieho dobytka, oviec, kôz, koní, ošípaných a hydiny, ktorých je držiteľom podľa centrálneho registra, o veľkosti 0,25 dobytčej jednotky na 1 ha poľnohospodárskej plochy podniku; do priemerného zaťaženia sa započítavajú aj zvieratá, ktorých držiteľom je podľa centrálneho registra v období od 1. júna do 30. septembra roku podania žiadosti podľa § 1 písm. a) fyzická osoba, ktorá je členom právnickej osoby alebo združenia, ktoré je prijímateľom podpory na opatrenie podľa § 1 písm. a),“ Odôvodnenie: predkladateľ v predloženom materiály podmieňuje výpočet zvýšenej sadzby ANC aj pre tie plochy ktoré nie sú zaradené v ANC a na ktoré sa žiadna sadzba neuplatňuje a s uvedenou dotáciou žiadnym spôsobom nesúvisí. V strategickom pláne sa v časti 71.1 - Platby pre </w:t>
            </w:r>
            <w:r w:rsidRPr="00B27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oblasti s prírodnými alebo inými osobitnými obmedzeniami (ANC) píše o strate príjmov a ďalších nákladov v oblastiach v ANC, náročnosti a nákladovosti živočíšnej výroby v ANC oblastiach, avšak v nariadení vlády sa členenie určuje podľa celkovej výmery bez ohľadu koľko výmery je zaradenej v ANC a koľko výmery je mimo ANC, čo je v priamom rozpore so Strategickým plánom SPP na roky 2023-2027.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382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Navrhované znenie je plne v súlade so schváleným Strategickým plánom SPP na roky 2023-2027. V texte intervencie 71.1 - Platby pre oblasti s prírodnými alebo inými osobitnými obmedzeniami (ANC) v bode 5  Špecifická koncepcia, požiadavky a podmienky oprávnenosti intervencie je uvedené: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Kriteriálnou</w:t>
            </w:r>
            <w:proofErr w:type="spellEnd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 hodnotou pre určenie farmy do príslušnej kategórie je chov zvierat vedených v CEHZ v stanovenom retenčnom období (od 1.6. do 30.9.). Pri hodnote rovnej alebo </w:t>
            </w:r>
            <w:r w:rsidRPr="00B2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väčšej ako 0,25 DJ/ha ide o systém so živočíšnym zameraním a ak je táto hodnota nižšia ako 0,25 DJ/ha jedná sa o systém s rastlinným zameraním. 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Kriteriálna</w:t>
            </w:r>
            <w:proofErr w:type="spellEnd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 hodnota pre určenie zamerania farmy musí vychádzať z jej celkovej výmery. Nemôže dôjsť k prípadu, že farma bude z časti rastlinného zamerania a z časti živočíšneho zamerania.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Výpočet platieb je plne v súlade s legislatívou ES (nariadenie EÚ 2021/2115). 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Dodatočné náklady a strata príjmu v dôsledku prírodných alebo iných osobitných obmedzení jednotlivých oblastí, sa vypočítajú na základe porovnania s oblasťami, ktoré nie sú postihnuté prírodnými ani inými osobitnými obmedzeniami jednotlivých oblastí.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BD" w:rsidRPr="00B2719C" w:rsidRDefault="004F12BD" w:rsidP="00382E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Dňa 5.12.2022 sa uskutočnilo on-line formou </w:t>
            </w:r>
            <w:proofErr w:type="spellStart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rozporové</w:t>
            </w:r>
            <w:proofErr w:type="spellEnd"/>
            <w:r w:rsidRPr="00B2719C">
              <w:rPr>
                <w:rFonts w:ascii="Times New Roman" w:hAnsi="Times New Roman" w:cs="Times New Roman"/>
                <w:sz w:val="24"/>
                <w:szCs w:val="24"/>
              </w:rPr>
              <w:t xml:space="preserve"> konanie so zástupcami SPPK a AZZZ SR. 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19C">
              <w:rPr>
                <w:rFonts w:ascii="Times New Roman" w:hAnsi="Times New Roman" w:cs="Times New Roman"/>
                <w:sz w:val="24"/>
                <w:szCs w:val="24"/>
              </w:rPr>
              <w:t>Záver: Rozpor trvá.</w:t>
            </w:r>
          </w:p>
          <w:p w:rsidR="004F12BD" w:rsidRPr="00B2719C" w:rsidRDefault="004F12BD" w:rsidP="004F12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2F" w:rsidRPr="00AD74E8" w:rsidTr="00BA392F">
        <w:trPr>
          <w:jc w:val="center"/>
        </w:trPr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92F" w:rsidRPr="00AD74E8" w:rsidRDefault="00BA392F" w:rsidP="00DB5C7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SPPK</w:t>
            </w:r>
          </w:p>
        </w:tc>
        <w:tc>
          <w:tcPr>
            <w:tcW w:w="2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92F" w:rsidRPr="00BA392F" w:rsidRDefault="00BA392F" w:rsidP="00DB5C7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§ 25 odsek 3 písm. a)</w:t>
            </w:r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Zásadne žiadame špecifikovať tekvicu ako podporovaný druh zeleniny nasledovne: „tekvica </w:t>
            </w:r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obrovská (pre produkciu na priamy konzum, okrem tekvice určenej pre produkciu semien na konzum a na lisovanie), tekvica obyčajná (pravá syn. špargľová, patizónová, cuketová; pre produkciu na priamy konzum, okrem tekvice určenej pre produkciu semien na konzum a na lisovanie), tekvica </w:t>
            </w:r>
            <w:proofErr w:type="spellStart"/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t>mošusová</w:t>
            </w:r>
            <w:proofErr w:type="spellEnd"/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(syn. muškátová)“. Navrhujeme nasledovné znenie ustanovenia: „plodová zelenina: dyňa červená, ľuľok baklažánový (syn. baklažán), melón cukrový, paprika koreninová, paprika zeleninová (vrátanie odrôd koreninovej a čili papriky), rajčiak jedlý, tekvica obrovská (pre produkciu na priamy konzum, okrem tekvice určenej pre produkciu semien na konzum a na lisovanie), tekvica obyčajná (pravá syn. špargľová, patizónovú, cuketová, (pre produkciu na priamy konzum, okrem tekvice určenej pre produkciu semien na konzum a na lisovanie), tekvica </w:t>
            </w:r>
            <w:proofErr w:type="spellStart"/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t>mošusová</w:t>
            </w:r>
            <w:proofErr w:type="spellEnd"/>
            <w:r w:rsidRPr="00BA3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(syn. muškátová), uhorka siata (odrody typu: nakladačky a šalátové uhorky),„ Odôvodnenie: Zastávame názor, že je nevyhnutné podporiť reálne také druhy zeleniny, ktoré spracovateľský priemysel a aj spotrebiteľ potrebuje. Považujeme za neopodstatnené, ba až neprijateľné, že podpora na tekvicu, ktorá sa nespracováva a ani nekonzumuje priamo, mala vo viazaných platbách a v neprojektových podporách ešte stále má, takú silnú a neopodstatnenú podporu.</w:t>
            </w:r>
          </w:p>
        </w:tc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92F" w:rsidRPr="00AD74E8" w:rsidRDefault="00BA392F" w:rsidP="00DB5C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92F" w:rsidRPr="00AD74E8" w:rsidRDefault="00BA392F" w:rsidP="00DB5C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392F" w:rsidRPr="00BA392F" w:rsidRDefault="00BA392F" w:rsidP="00BA39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92F">
              <w:rPr>
                <w:rFonts w:ascii="Times New Roman" w:hAnsi="Times New Roman" w:cs="Times New Roman"/>
                <w:sz w:val="24"/>
                <w:szCs w:val="24"/>
              </w:rPr>
              <w:t xml:space="preserve">Z dôvodu plánovaných hodnôt v rámci ukazovateľov v SP </w:t>
            </w:r>
            <w:r w:rsidRPr="00BA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SPP  boli zohľadnené všetky druhy zeleniny vrátene tekvice bez ohľadu na spôsob spracovania na konzum.  Plodová zelenina bude čiastočne upravená a doplnená, avšak tekvica určená pre produkciu semien na konzum a na lisovanie nebude vylúčená z podpory.</w:t>
            </w:r>
          </w:p>
          <w:p w:rsidR="00BA392F" w:rsidRPr="00BA392F" w:rsidRDefault="00BA392F" w:rsidP="00BA39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92F">
              <w:rPr>
                <w:rFonts w:ascii="Times New Roman" w:hAnsi="Times New Roman" w:cs="Times New Roman"/>
                <w:sz w:val="24"/>
                <w:szCs w:val="24"/>
              </w:rPr>
              <w:t>Znenie:</w:t>
            </w:r>
          </w:p>
          <w:p w:rsidR="00BA392F" w:rsidRPr="00BA392F" w:rsidRDefault="00BA392F" w:rsidP="00DB5C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92F">
              <w:rPr>
                <w:rFonts w:ascii="Times New Roman" w:hAnsi="Times New Roman" w:cs="Times New Roman"/>
                <w:sz w:val="24"/>
                <w:szCs w:val="24"/>
              </w:rPr>
              <w:t xml:space="preserve">plodová zelenina – rajčiak jedlý, paprika ročná, ľuľok baklažánový (baklažán), uhorka nakladačka, uhorka šalátová, patizón, cuketa, melón cukrový, dyňa červená, tekvica obyčajná, tekvica obrovská (pre produkciu na priamy konzum, tekvica </w:t>
            </w:r>
            <w:proofErr w:type="spellStart"/>
            <w:r w:rsidRPr="00BA392F">
              <w:rPr>
                <w:rFonts w:ascii="Times New Roman" w:hAnsi="Times New Roman" w:cs="Times New Roman"/>
                <w:sz w:val="24"/>
                <w:szCs w:val="24"/>
              </w:rPr>
              <w:t>mošusová</w:t>
            </w:r>
            <w:proofErr w:type="spellEnd"/>
            <w:r w:rsidRPr="00BA392F">
              <w:rPr>
                <w:rFonts w:ascii="Times New Roman" w:hAnsi="Times New Roman" w:cs="Times New Roman"/>
                <w:sz w:val="24"/>
                <w:szCs w:val="24"/>
              </w:rPr>
              <w:t xml:space="preserve"> (muškátová), </w:t>
            </w:r>
          </w:p>
          <w:p w:rsidR="00BA392F" w:rsidRPr="00AD74E8" w:rsidRDefault="00BA392F" w:rsidP="00DB5C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Dňa 5.12.2022 sa uskutočnilo on-line formou </w:t>
            </w:r>
            <w:proofErr w:type="spellStart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>rozporové</w:t>
            </w:r>
            <w:proofErr w:type="spellEnd"/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 konanie so zástupcami SPPK a AZZZ SR. </w:t>
            </w:r>
          </w:p>
          <w:p w:rsidR="00BA392F" w:rsidRPr="00AD74E8" w:rsidRDefault="00BA392F" w:rsidP="00DB5C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E8">
              <w:rPr>
                <w:rFonts w:ascii="Times New Roman" w:hAnsi="Times New Roman" w:cs="Times New Roman"/>
                <w:sz w:val="24"/>
                <w:szCs w:val="24"/>
              </w:rPr>
              <w:t xml:space="preserve">Záver: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Rozpor trvá.</w:t>
            </w:r>
          </w:p>
        </w:tc>
      </w:tr>
    </w:tbl>
    <w:p w:rsidR="004F12BD" w:rsidRPr="00B2719C" w:rsidRDefault="004F12BD" w:rsidP="004F12B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F12BD" w:rsidRPr="00B271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FD" w:rsidRDefault="00CD7EFD" w:rsidP="00CD7EFD">
      <w:pPr>
        <w:spacing w:after="0" w:line="240" w:lineRule="auto"/>
      </w:pPr>
      <w:r>
        <w:separator/>
      </w:r>
    </w:p>
  </w:endnote>
  <w:endnote w:type="continuationSeparator" w:id="0">
    <w:p w:rsidR="00CD7EFD" w:rsidRDefault="00CD7EFD" w:rsidP="00CD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786514"/>
      <w:docPartObj>
        <w:docPartGallery w:val="Page Numbers (Bottom of Page)"/>
        <w:docPartUnique/>
      </w:docPartObj>
    </w:sdtPr>
    <w:sdtContent>
      <w:p w:rsidR="00CD7EFD" w:rsidRDefault="00CD7EFD" w:rsidP="00CD7E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FD" w:rsidRDefault="00CD7EFD" w:rsidP="00CD7EFD">
      <w:pPr>
        <w:spacing w:after="0" w:line="240" w:lineRule="auto"/>
      </w:pPr>
      <w:r>
        <w:separator/>
      </w:r>
    </w:p>
  </w:footnote>
  <w:footnote w:type="continuationSeparator" w:id="0">
    <w:p w:rsidR="00CD7EFD" w:rsidRDefault="00CD7EFD" w:rsidP="00CD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BD"/>
    <w:rsid w:val="00136C64"/>
    <w:rsid w:val="003469CC"/>
    <w:rsid w:val="004B571A"/>
    <w:rsid w:val="004F12BD"/>
    <w:rsid w:val="005D3A6B"/>
    <w:rsid w:val="0067098B"/>
    <w:rsid w:val="007326F6"/>
    <w:rsid w:val="007B11B5"/>
    <w:rsid w:val="008C7D57"/>
    <w:rsid w:val="00960C0A"/>
    <w:rsid w:val="00B2719C"/>
    <w:rsid w:val="00BA392F"/>
    <w:rsid w:val="00C15644"/>
    <w:rsid w:val="00C22803"/>
    <w:rsid w:val="00C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1A16"/>
  <w15:chartTrackingRefBased/>
  <w15:docId w15:val="{269007F4-EFAB-41E6-93E8-7FDDF45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FD"/>
  </w:style>
  <w:style w:type="paragraph" w:styleId="Pta">
    <w:name w:val="footer"/>
    <w:basedOn w:val="Normlny"/>
    <w:link w:val="PtaChar"/>
    <w:uiPriority w:val="99"/>
    <w:unhideWhenUsed/>
    <w:rsid w:val="00CD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 Roman</dc:creator>
  <cp:keywords/>
  <dc:description/>
  <cp:lastModifiedBy>Benová Tímea</cp:lastModifiedBy>
  <cp:revision>8</cp:revision>
  <cp:lastPrinted>2022-12-07T06:39:00Z</cp:lastPrinted>
  <dcterms:created xsi:type="dcterms:W3CDTF">2022-12-05T10:47:00Z</dcterms:created>
  <dcterms:modified xsi:type="dcterms:W3CDTF">2022-12-07T06:39:00Z</dcterms:modified>
</cp:coreProperties>
</file>