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17068" w:rsidRDefault="00717068">
      <w:pPr>
        <w:jc w:val="center"/>
        <w:divId w:val="1241796547"/>
        <w:rPr>
          <w:rFonts w:ascii="Times" w:hAnsi="Times" w:cs="Times"/>
          <w:sz w:val="25"/>
          <w:szCs w:val="25"/>
        </w:rPr>
      </w:pPr>
      <w:r>
        <w:rPr>
          <w:rFonts w:ascii="Times" w:hAnsi="Times" w:cs="Times"/>
          <w:sz w:val="25"/>
          <w:szCs w:val="25"/>
        </w:rPr>
        <w:t>Návrh na uzavretie Rámcovej zmluvy medzi Slovenskou republikou a Rakúskou republikou o cezhraničnej spolupráci v oblasti záchrannej zdravotnej služby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17068" w:rsidP="00717068">
            <w:pPr>
              <w:spacing w:after="0" w:line="240" w:lineRule="auto"/>
              <w:rPr>
                <w:rFonts w:ascii="Times New Roman" w:hAnsi="Times New Roman" w:cs="Calibri"/>
                <w:sz w:val="20"/>
                <w:szCs w:val="20"/>
              </w:rPr>
            </w:pPr>
            <w:r>
              <w:rPr>
                <w:rFonts w:ascii="Times" w:hAnsi="Times" w:cs="Times"/>
                <w:sz w:val="25"/>
                <w:szCs w:val="25"/>
              </w:rPr>
              <w:t>14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17068" w:rsidP="00717068">
            <w:pPr>
              <w:spacing w:after="0" w:line="240" w:lineRule="auto"/>
              <w:rPr>
                <w:rFonts w:ascii="Times New Roman" w:hAnsi="Times New Roman" w:cs="Calibri"/>
                <w:sz w:val="20"/>
                <w:szCs w:val="20"/>
              </w:rPr>
            </w:pPr>
            <w:r>
              <w:rPr>
                <w:rFonts w:ascii="Times" w:hAnsi="Times" w:cs="Times"/>
                <w:sz w:val="25"/>
                <w:szCs w:val="25"/>
              </w:rPr>
              <w:t>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17068" w:rsidP="00717068">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17068" w:rsidP="00717068">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17068" w:rsidP="00717068">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17068" w:rsidRDefault="0071706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717068">
        <w:trPr>
          <w:divId w:val="89905236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Vôbec nezaslali</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x</w:t>
            </w:r>
          </w:p>
        </w:tc>
      </w:tr>
      <w:tr w:rsidR="00717068">
        <w:trPr>
          <w:divId w:val="899052361"/>
          <w:jc w:val="center"/>
        </w:trPr>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14 (11o,3z)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7068" w:rsidRDefault="0071706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17068" w:rsidRDefault="0071706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85"/>
        <w:gridCol w:w="4444"/>
        <w:gridCol w:w="446"/>
        <w:gridCol w:w="523"/>
        <w:gridCol w:w="2558"/>
      </w:tblGrid>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Spôsob vyhodnotenia</w:t>
            </w: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Čl. 7 ods. 3</w:t>
            </w:r>
            <w:r>
              <w:rPr>
                <w:rFonts w:ascii="Times" w:hAnsi="Times" w:cs="Times"/>
                <w:sz w:val="25"/>
                <w:szCs w:val="25"/>
              </w:rPr>
              <w:br/>
              <w:t>Navrhujeme slovo „prechodov“ nahradiť slovom „priechodov“ z dôvodu, že uvedené slovo pomenúva miesto kadiaľ prechádzame a nie činnosť, ktorú vykonávame. Uvedenú zmenu navrhujeme vykonať v celom odseku pri všetkých slovách v príslušnom gramatickom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prípadné vplyvy vyplývajúce z uzatváraných jednotlivých dohôd o cezhraničnej spolupráci bude potrebné zabezpečiť v rámci schválených limitov dotknutého subjektu verejnej správy tak, aby z nich nevyplýval negatívny, rozpočtovo nezabezpečený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k Doložke vybraných vplyvov: Odporúčame predkladateľovi v Doložke vybraných vplyvov v časti 8. preskúmanie účelnosti doplniť kritéria hodnotenia účelnosti predkladaného materiálu. Odôvodnenie: Preskúmanie účelnosti sa nastavuje po určitom čase, aby sa zhodnotilo, či a na základe akých kritérií bol cieľ naplnený. Odporúčame predkladateľovi popísať v časti 10. Poznámky vplyv na podnikateľské prostredie z dôvodu zväčšenia rozsahu zásahového územia ZZS. Odôvodnenie: Máme za to, že materiál zakladá vplyv na podnikateľské prostredie. Tým, že územie zásahu ZZS sa rozširuje za hranice Slovenskej republiky k prihraničným oblastiam (v Rakúskej republike pre Spolkovú krajinu Dolné Rakúsko, Spolkovú krajinu Burgenland a Spolkovú krajinu Viedeň a v Slovenskej republike pre Bratislavský samosprávny kraj a Trnavský samosprávny kraj), bude mať za následok väčší objem výjazdov ZZS a dlhšiu trasu. Určenie či je daný vplyv pozitívny alebo negatívny nie je možné na základe dodaných informácií predkladateľom, na určenie pozitívneho/negatívneho vplyvu je potrebné dodanie informácií o spôsobe úhrad zásahov daným podnikateľom. Odporúčame predkladateľovi Doložke vybraných vplyvov v časti 11. Kontakt na spracovateľa doplniť meno, telefónne číslo a funkciu kontaktnej osoby. Odôvodnenie: Odporúča sa uviesť meno, priezvisko a funkciu spracovateľa, emailový a telefonický kontakt.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sz w:val="25"/>
                <w:szCs w:val="25"/>
              </w:rPr>
              <w:t xml:space="preserve">1. Na základe článku 15 tejto rámcovej zmluvy sa zriadi Spoločná komisia zložená zo zástupcov obidvoch zmluvných strán, ktorá bude dohliadať na plnenie tejto rámcovej zmluvy. Zloženie a spôsob práce Spoločnej komisie budú dohodnuté v štatúte Spoločnej komisie. Bezodkladne po tom, čo táto rámcová zmluva vstúpi do platnosti, zmluvné strany splnomocnia svojich zástupcov pre rokovania o štatúte Spoločnej komisie. Očakáva sa, že členovia Spoločnej komisie nastavia metódy vyhodnocovania spolupráce a rovnako Spoločná komisia určí, ktoré kritériá budú pre posudzovanie účelnosti relevantné. 2. Cieľom rámcovej zmluvy je určiť právny rámec pre medzinárodnú spoluprácu Slovenskej republiky a Rakúskej republiky v oblasti záchrannej zdravotnej služby. Pravidlá úhrady nákladov, ktoré vzniknú pri plnení tejto rámcovej zmluvy, budú v zmysle článku 5 tejto rámcovej dohody uvedené v jednotlivých dohodách o cezhraničnej spolupráci. Z uvedeného dôvodu nie je možné pripomienke vyhovieť, keďže spôsob úhrad zásahov v tejto fáze nastavovania spolupráce nie je stanovený. 3. Kontakty boli doplnené. </w:t>
            </w: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nahradiť pôvodné znenie čl. 4 ods. 3 „Žiadosť podľa odseku (1) sa podáva elektronicky, písomne alebo ústne. Žiadosť podanú ústne je nutné bez zbytočného odkladu potvrdiť elektronicky alebo písomne.“ znením „Žiadosť podľa odseku (1) sa podáva v písomnej forme alebo ústne. Žiadosť podanú ústne je nutné bez zbytočného odkladu potvrdiť v písomnej forme“. Zároveň navrhujeme uviesť v akom jazyku sa má táto výmena informácií realizovať, ak je to vzhľadom k prekladu možné. ODÔVODNENIE: V písomnej forme je subsumovaná elektronická aj listinná podoba. V uvedenom ustanovení je v tomto zmysle vyjadrená duplicita. Z obsahu zmluvy tiež nie je zrejmé, v akom jazyku sa má uvedená výmena informácií realizovať.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sz w:val="25"/>
                <w:szCs w:val="25"/>
              </w:rPr>
              <w:t>Postupy pre komunikáciu medzi príslušnými operačnými strediskami záchrannej zdravotnej služby zmluvných strán, komunikáciu medzi operačnými strediskami záchrannej zdravotnej služby a výjazdovými skupinami a medzi výjazdovými skupinami navzájom budú podľa článku 5, odseku 3, bodu 9 predmetom dohôd o cezhraničnej spolupráci. Ústna žiadosť operačného strediska bude potvrdená elektronicky (napr. e-mailom) alebo písomne (napr. listom). Nie je účelom rámcovej zmluvy zachádzať do podrobností jednotlivých úkonov, postup komunikácie (vrátane pracovného jazyka) bude predmetom následných dohôd. Je potrebné brať do úvahy, že komunikovať budú záchranárske subjekty, ktoré majú už svoju formu komunikácie upravenú a overenú v praxi a taktiež, že ide o záchranné systémy dvoch krajín, ktorých postupy sa budú musieť pri napĺňaní účelu rámcovej zmluvy zharmonizovať.</w:t>
            </w: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Článku 5 ods. 3 bod 4</w:t>
            </w:r>
            <w:r>
              <w:rPr>
                <w:rFonts w:ascii="Times" w:hAnsi="Times" w:cs="Times"/>
                <w:sz w:val="25"/>
                <w:szCs w:val="25"/>
              </w:rPr>
              <w:br/>
              <w:t>Navrhujeme v bode 4 slová „Článku 1 bod 3“ nahradiť slovami „článku 1 bod 3 tejto rámcovej zmluvy“.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sz w:val="25"/>
                <w:szCs w:val="25"/>
              </w:rPr>
              <w:t xml:space="preserve">Nahradenie slova „Článku“ slovom „článku“ bude zapracované. Doplnenie slov „tejto rámcovej zmluvy“ by znamenalo vykonanie zmeny aj v nemeckej verzii, ktorej text je s rakúskou stranou vyrokovaný, a teda nebude zapracované. </w:t>
            </w: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Článku 5 ods. 3 bod 7</w:t>
            </w:r>
            <w:r>
              <w:rPr>
                <w:rFonts w:ascii="Times" w:hAnsi="Times" w:cs="Times"/>
                <w:sz w:val="25"/>
                <w:szCs w:val="25"/>
              </w:rPr>
              <w:br/>
              <w:t>Navrhujeme v bode 7 slovo „Článku“ uviesť 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v celom texte vlastného materiálu pri vnútorných odkazoch na odseky vypustiť zátvorku pred a za číslicou; napr. v článku 3 ods. 2 je uvedené „odseku (1)“, v článku 17 ods. 3 vnútorný odkaz znie takto „odseku (2)“.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MPRV SR nemá pripomeinky k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sz w:val="20"/>
                <w:szCs w:val="20"/>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MPRV SR nemá žiadne pripomienky k predmetnému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sz w:val="20"/>
                <w:szCs w:val="20"/>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K obalu</w:t>
            </w:r>
            <w:r>
              <w:rPr>
                <w:rFonts w:ascii="Times" w:hAnsi="Times" w:cs="Times"/>
                <w:sz w:val="25"/>
                <w:szCs w:val="25"/>
              </w:rPr>
              <w:br/>
              <w:t>Na obale je potrebné správne uviesť, že materiál spolupodpisuje Rastislav Káčer, minister zahraničných vecí a európskych záležitostí Slovenskej republiky. Aktuálne sa totiž nesprávne uvádza, že minister zahraničných vecí a európskych záležitostí Slovenskej republiky je predkladateľom.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je potrebné neuvádzať ministra zahraničných vecí a európskych záležitostí Slovenskej republiky ako predkladateľa. Minister zahraničných vecí a európskych záležitostí Slovenskej republiky totiž materiál spolupodpisuje, ale predkladateľom je minister zdravotníctva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Čl. 14 ods. 4 Návrhu</w:t>
            </w:r>
            <w:r>
              <w:rPr>
                <w:rFonts w:ascii="Times" w:hAnsi="Times" w:cs="Times"/>
                <w:sz w:val="25"/>
                <w:szCs w:val="25"/>
              </w:rPr>
              <w:br/>
              <w:t>Spôsobenie škody úmyselne zakladá zodpovednosť za spôsobený následok. Hrubá nedbanlivosť však nie je nijako definovaná z hľadiska jej vôľovej a rozumovej zmluvy a Návrh neobsahuje ani odkaz na prípadnú úpravu, z ktorej by sa dala charakteristika hrubej nedbanlivosti (a odlíšenia od nedbanlivosti ako takej) vyvodzovať. Odôvodnenie: Zodpovednosť za úmyselné spôsobenie škody je v plnej miere akceptovaná. Pokiaľ ide však o spôsobenie škody z nedbanlivosti alebo z hrubej nedbanlivosti, nie je zrejmé, aký je vzťah týchto pojmov (ich vôľovej a rozumovej zložky) a ich odlíšenie. Pre vyvodzovanie zodpovednosti a hlavne jej uplatnenie v praxi by bolo žiaduce obsah tohto pojmu doplniť resp. vysvetliť vo všeobecných výkladových pojmoch v čl. 1 ods. 1 Návrhu s cieľom vyhnúť sa aplikačným problémom.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sz w:val="25"/>
                <w:szCs w:val="25"/>
              </w:rPr>
              <w:t>Na základe rozporového konania zo dňa 05. 01. 2023 Úrad vlády Slovenskej republiky upustil od zásadnej pripomienky.</w:t>
            </w: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Čl. 7 ods. 3 Návrhu</w:t>
            </w:r>
            <w:r>
              <w:rPr>
                <w:rFonts w:ascii="Times" w:hAnsi="Times" w:cs="Times"/>
                <w:sz w:val="25"/>
                <w:szCs w:val="25"/>
              </w:rPr>
              <w:br/>
              <w:t>Ustanovenie reaguje na situáciu zavedenia dočasných kontrol na hraniciach, kedy je prechod cez štátnu hranicu možný len cez určené hraničné prechody. Nereaguje na problémy, ktoré vznikajú v aktuálnom stave obnovených hraničných kontrol, kedy síce ide o prechod cez určenú štátnu hranicu, no s povinnosťou kontroly. Odôvodnenie: V aktuálnom stave obnovených hraničných kontrol (SR a AT) nie je problémom prechod cez štátnu hranicu cez určené hraničné priechody, čo rieši toto ustanovenie. Toto ustanovenie však nerieši kontroly spojené so zavedením týchto opatrení na hraniciach členských štátov v Schengenskom priestore. Z uvedeného dôvodu, na zabezpečenie riadneho plnenia úloh by bolo vhodné doplniť do tohto ustanovenia, že osoby plniace si povinnosti podľa tejto dohody a ani vozidlá podľa tejto dohody nepodliehajú žiadnym kontrolám (ani prehliadkam) na hraničných priechodoch ani v čase ich dodatočného zavedenia a majú právo prednostného (a tým aj urýchleného) priechodu cez štátnu hranicu v záujme riadneho plnenia si povinností podľa tejto dohody. Uvedené ustanovenie musí riešiť resp. pamätať na situácie napr. s kolónami a dodatočnými kontrolami na štátnej hranici, čo by mohlo ohroziť zmysel tejto dohody a aj potrebné poskytovanie ochrany životu a zdraviu osobám, ktorých sa to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sz w:val="25"/>
                <w:szCs w:val="25"/>
              </w:rPr>
              <w:t>Na základe rozporového konania zo dňa 05. 01. 2023 Úrad vlády Slovenskej republiky upustil od zásadnej pripomienky.</w:t>
            </w:r>
          </w:p>
        </w:tc>
      </w:tr>
      <w:tr w:rsidR="00717068">
        <w:trPr>
          <w:divId w:val="1629165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b/>
                <w:bCs/>
                <w:sz w:val="25"/>
                <w:szCs w:val="25"/>
              </w:rPr>
              <w:t>Čl. 4 ods. 3 Návrhu</w:t>
            </w:r>
            <w:r>
              <w:rPr>
                <w:rFonts w:ascii="Times" w:hAnsi="Times" w:cs="Times"/>
                <w:sz w:val="25"/>
                <w:szCs w:val="25"/>
              </w:rPr>
              <w:br/>
              <w:t>V prípade elektronicky podanej žiadosti nie je zrejmé, či sa pre bezvadnosť pri tejto forme vyžaduje e-podpis resp. iný konkrétny podpisový komponent, alebo ide o jednoduchú elektronickú žiadosť (napr. mailom, formulárom) bez podpisových komponentov. Odôvodnenie: Ochrana oboch strán vyžaduje, aby žiadosti o spoluprácu mali konkrétnu formu, ako aj náležitosti. Z hľadiska formy sa pre žiadosť stanovuje elektronická forma, písomne (t. j. v listinnej podobe), alebo ústne podanie, ktoré však musí byť doplnené elektronickým alebo písomným podaním. Elektronická forma žiadosti je zrovnoprávnená s tou písomnou (v listinnej podobe), hoci náležitosti oboch a verifikácia náležitostí je z hľadiska kvality odlišná. Pre ochranu oboch strán by bolo vhodné, aby elektronická forma žiadosti bola opatrená konkrétnymi podpisovými komponentmi tak, aby bolo jasné kto je jej autorom, kedy bola odoslaná (časový komponent k podpisu), čím je možné zabrániť vzniku sporných situácií a uvedené smeruje aj k ochrane pred zneužitím, základu pre prípadné diplomatické riešenie sporných situácií.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68" w:rsidRDefault="00717068">
            <w:pPr>
              <w:rPr>
                <w:rFonts w:ascii="Times" w:hAnsi="Times" w:cs="Times"/>
                <w:sz w:val="25"/>
                <w:szCs w:val="25"/>
              </w:rPr>
            </w:pPr>
            <w:r>
              <w:rPr>
                <w:rFonts w:ascii="Times" w:hAnsi="Times" w:cs="Times"/>
                <w:sz w:val="25"/>
                <w:szCs w:val="25"/>
              </w:rPr>
              <w:t>Na základe rozporového konania zo dňa 05. 01. 2023 Úrad vlády Slovenskej republiky upustil od zásadnej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17068"/>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6201">
      <w:bodyDiv w:val="1"/>
      <w:marLeft w:val="0"/>
      <w:marRight w:val="0"/>
      <w:marTop w:val="0"/>
      <w:marBottom w:val="0"/>
      <w:divBdr>
        <w:top w:val="none" w:sz="0" w:space="0" w:color="auto"/>
        <w:left w:val="none" w:sz="0" w:space="0" w:color="auto"/>
        <w:bottom w:val="none" w:sz="0" w:space="0" w:color="auto"/>
        <w:right w:val="none" w:sz="0" w:space="0" w:color="auto"/>
      </w:divBdr>
    </w:div>
    <w:div w:id="510948114">
      <w:bodyDiv w:val="1"/>
      <w:marLeft w:val="0"/>
      <w:marRight w:val="0"/>
      <w:marTop w:val="0"/>
      <w:marBottom w:val="0"/>
      <w:divBdr>
        <w:top w:val="none" w:sz="0" w:space="0" w:color="auto"/>
        <w:left w:val="none" w:sz="0" w:space="0" w:color="auto"/>
        <w:bottom w:val="none" w:sz="0" w:space="0" w:color="auto"/>
        <w:right w:val="none" w:sz="0" w:space="0" w:color="auto"/>
      </w:divBdr>
    </w:div>
    <w:div w:id="899052361">
      <w:bodyDiv w:val="1"/>
      <w:marLeft w:val="0"/>
      <w:marRight w:val="0"/>
      <w:marTop w:val="0"/>
      <w:marBottom w:val="0"/>
      <w:divBdr>
        <w:top w:val="none" w:sz="0" w:space="0" w:color="auto"/>
        <w:left w:val="none" w:sz="0" w:space="0" w:color="auto"/>
        <w:bottom w:val="none" w:sz="0" w:space="0" w:color="auto"/>
        <w:right w:val="none" w:sz="0" w:space="0" w:color="auto"/>
      </w:divBdr>
    </w:div>
    <w:div w:id="964654967">
      <w:bodyDiv w:val="1"/>
      <w:marLeft w:val="0"/>
      <w:marRight w:val="0"/>
      <w:marTop w:val="0"/>
      <w:marBottom w:val="0"/>
      <w:divBdr>
        <w:top w:val="none" w:sz="0" w:space="0" w:color="auto"/>
        <w:left w:val="none" w:sz="0" w:space="0" w:color="auto"/>
        <w:bottom w:val="none" w:sz="0" w:space="0" w:color="auto"/>
        <w:right w:val="none" w:sz="0" w:space="0" w:color="auto"/>
      </w:divBdr>
    </w:div>
    <w:div w:id="1241796547">
      <w:bodyDiv w:val="1"/>
      <w:marLeft w:val="0"/>
      <w:marRight w:val="0"/>
      <w:marTop w:val="0"/>
      <w:marBottom w:val="0"/>
      <w:divBdr>
        <w:top w:val="none" w:sz="0" w:space="0" w:color="auto"/>
        <w:left w:val="none" w:sz="0" w:space="0" w:color="auto"/>
        <w:bottom w:val="none" w:sz="0" w:space="0" w:color="auto"/>
        <w:right w:val="none" w:sz="0" w:space="0" w:color="auto"/>
      </w:divBdr>
    </w:div>
    <w:div w:id="1266577074">
      <w:bodyDiv w:val="1"/>
      <w:marLeft w:val="0"/>
      <w:marRight w:val="0"/>
      <w:marTop w:val="0"/>
      <w:marBottom w:val="0"/>
      <w:divBdr>
        <w:top w:val="none" w:sz="0" w:space="0" w:color="auto"/>
        <w:left w:val="none" w:sz="0" w:space="0" w:color="auto"/>
        <w:bottom w:val="none" w:sz="0" w:space="0" w:color="auto"/>
        <w:right w:val="none" w:sz="0" w:space="0" w:color="auto"/>
      </w:divBdr>
    </w:div>
    <w:div w:id="1629165443">
      <w:bodyDiv w:val="1"/>
      <w:marLeft w:val="0"/>
      <w:marRight w:val="0"/>
      <w:marTop w:val="0"/>
      <w:marBottom w:val="0"/>
      <w:divBdr>
        <w:top w:val="none" w:sz="0" w:space="0" w:color="auto"/>
        <w:left w:val="none" w:sz="0" w:space="0" w:color="auto"/>
        <w:bottom w:val="none" w:sz="0" w:space="0" w:color="auto"/>
        <w:right w:val="none" w:sz="0" w:space="0" w:color="auto"/>
      </w:divBdr>
    </w:div>
    <w:div w:id="2011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1.2023 14:58:59"/>
    <f:field ref="objchangedby" par="" text="Administrator, System"/>
    <f:field ref="objmodifiedat" par="" text="10.1.2023 14:59: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2210</Words>
  <Characters>12602</Characters>
  <Application>Microsoft Office Word</Application>
  <DocSecurity>4</DocSecurity>
  <Lines>105</Lines>
  <Paragraphs>29</Paragraphs>
  <ScaleCrop>false</ScaleCrop>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2023-01-10T13:59:00Z</dcterms:created>
  <dcterms:modified xsi:type="dcterms:W3CDTF">2023-01-10T13:59:00Z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Medzinárodné právo_x000d__x000a_Medzinárodné zmluvy, dohody, dohovory</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Nikola Krajcerová</vt:lpwstr>
  </property>
  <property name="FSC#SKEDITIONSLOVLEX@103.510:zodppredkladatel" pid="11" fmtid="{D5CDD505-2E9C-101B-9397-08002B2CF9AE}">
    <vt:lpwstr>Vladimír Lengvarský</vt:lpwstr>
  </property>
  <property name="FSC#SKEDITIONSLOVLEX@103.510:dalsipredkladatel" pid="12" fmtid="{D5CDD505-2E9C-101B-9397-08002B2CF9AE}">
    <vt:lpwstr>Rastislav Káčer</vt:lpwstr>
  </property>
  <property name="FSC#SKEDITIONSLOVLEX@103.510:nazovpredpis" pid="13" fmtid="{D5CDD505-2E9C-101B-9397-08002B2CF9AE}">
    <vt:lpwstr> Návrh na uzavretie Rámcovej zmluvy medzi Slovenskou republikou a Rakúskou republikou o cezhraničnej spolupráci v oblasti záchrannej zdravotnej služby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Ministerstvo zdravotníctva Slovenskej republiky</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uzavretie Rámcovej zmluvy medzi Slovenskou republikou a Rakúskou republikou o cezhraničnej spolupráci v oblasti záchrannej zdravotnej služby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S24487-2022-OddMV-1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LP/2022/772</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vt:lpwstr>
  </property>
  <property name="FSC#SKEDITIONSLOVLEX@103.510:funkciaZodpPredAkuzativ" pid="141" fmtid="{D5CDD505-2E9C-101B-9397-08002B2CF9AE}">
    <vt:lpwstr>ministra</vt:lpwstr>
  </property>
  <property name="FSC#SKEDITIONSLOVLEX@103.510:funkciaZodpPredDativ" pid="142" fmtid="{D5CDD505-2E9C-101B-9397-08002B2CF9AE}">
    <vt:lpwstr>ministrovi</vt:lpwstr>
  </property>
  <property name="FSC#SKEDITIONSLOVLEX@103.510:funkciaDalsiPred" pid="143" fmtid="{D5CDD505-2E9C-101B-9397-08002B2CF9AE}">
    <vt:lpwstr>minister zahraničných vecí a európskych záležitostí Slovenskej republiky, </vt:lpwstr>
  </property>
  <property name="FSC#SKEDITIONSLOVLEX@103.510:funkciaDalsiPredAkuzativ" pid="144" fmtid="{D5CDD505-2E9C-101B-9397-08002B2CF9AE}">
    <vt:lpwstr>ministra zahraničných vecí a európskych záležitostí Slovenskej republiky, </vt:lpwstr>
  </property>
  <property name="FSC#SKEDITIONSLOVLEX@103.510:funkciaDalsiPredDativ" pid="145" fmtid="{D5CDD505-2E9C-101B-9397-08002B2CF9AE}">
    <vt:lpwstr>ministrovi zahraničných vecí a európskych záležitostí Slovenskej republiky, </vt:lpwstr>
  </property>
  <property name="FSC#SKEDITIONSLOVLEX@103.510:predkladateliaObalSD" pid="146" fmtid="{D5CDD505-2E9C-101B-9397-08002B2CF9AE}">
    <vt:lpwstr>Vladimír Lengvarský_x000d__x000a_minister_x000d__x000a_Rastislav Káčer_x000d__x000a_minister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COO.2145.1000.3.5469410</vt:lpwstr>
  </property>
  <property name="FSC#FSCFOLIO@1.1001:docpropproject"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10. 1. 2023</vt:lpwstr>
  </property>
</Properties>
</file>