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4"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6045CB" w:rsidRDefault="001B23B7" w:rsidP="001B23B7">
      <w:pPr>
        <w:spacing w:after="0" w:line="240" w:lineRule="auto"/>
        <w:jc w:val="center"/>
        <w:rPr>
          <w:rFonts w:ascii="Times New Roman" w:eastAsia="Times New Roman" w:hAnsi="Times New Roman" w:cs="Times New Roman"/>
          <w:b/>
          <w:sz w:val="28"/>
          <w:szCs w:val="28"/>
          <w:lang w:eastAsia="sk-SK"/>
        </w:rPr>
      </w:pP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6D7E2F" w:rsidRDefault="006D7E2F" w:rsidP="006D7E2F">
            <w:pPr>
              <w:rPr>
                <w:rFonts w:ascii="Times New Roman" w:eastAsia="Times New Roman" w:hAnsi="Times New Roman" w:cs="Times New Roman"/>
                <w:sz w:val="20"/>
                <w:szCs w:val="20"/>
                <w:lang w:eastAsia="sk-SK"/>
              </w:rPr>
            </w:pPr>
            <w:r w:rsidRPr="00080C72">
              <w:rPr>
                <w:rFonts w:ascii="Times New Roman" w:eastAsia="Times New Roman" w:hAnsi="Times New Roman" w:cs="Times New Roman"/>
                <w:sz w:val="20"/>
                <w:szCs w:val="20"/>
                <w:lang w:eastAsia="sk-SK"/>
              </w:rPr>
              <w:t>Návrh zákona, ktorým sa mení a dopĺňa zákon č. 300/2005 Z. z. Trestný zákon v znení neskorších predpisov a o zmene a doplnení niektorých zákonov (ďalej len „návrh zákona“)</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6D7E2F" w:rsidRDefault="006D7E2F" w:rsidP="006D7E2F">
            <w:pPr>
              <w:rPr>
                <w:rFonts w:ascii="Times New Roman" w:eastAsia="Times New Roman" w:hAnsi="Times New Roman" w:cs="Times New Roman"/>
                <w:sz w:val="20"/>
                <w:szCs w:val="20"/>
                <w:lang w:eastAsia="sk-SK"/>
              </w:rPr>
            </w:pPr>
            <w:r w:rsidRPr="00080C72">
              <w:rPr>
                <w:rFonts w:ascii="Times New Roman" w:eastAsia="Times New Roman" w:hAnsi="Times New Roman" w:cs="Times New Roman"/>
                <w:sz w:val="20"/>
                <w:szCs w:val="20"/>
                <w:lang w:eastAsia="sk-SK"/>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6D7E2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6D7E2F"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607A1">
              <w:rPr>
                <w:rFonts w:ascii="Times New Roman" w:eastAsia="Times New Roman" w:hAnsi="Times New Roman" w:cs="Times New Roman"/>
                <w:sz w:val="20"/>
                <w:szCs w:val="20"/>
                <w:lang w:eastAsia="sk-SK"/>
              </w:rPr>
              <w:t>Smernica Rady z 28. novembra 2002, ktorá definuje napomáhanie neoprávneného vstupu, tranzitu a bydlisku (2002/90/ES) (Ú. v. ES L 328, 5.12.2002; Mimoriadne vydanie Ú. v. EÚ, kap. 19/zv. 6), Ministerstvo spravodlivosti Slovenskej republiky</w:t>
            </w:r>
          </w:p>
          <w:p w:rsidR="006D7E2F" w:rsidRDefault="006D7E2F" w:rsidP="006D7E2F">
            <w:pPr>
              <w:pStyle w:val="Odsekzoznamu"/>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2008/99/ES z 19. novembra 2008 o ochrane životného prostredia prostredníctvom trestného práva (Ú. v. EÚ L 328, 6. 12. 2008)</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2009/123/ES z 21. októbra 2009, ktorou sa mení a dopĺňa smernica 2005/35/ES o znečisťovaní mora z lodí a o zavedení sankcií za porušenie (Ú. v. EÚ L 280, 27. 10. 2009)</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2011/36/EÚ z 5. apríla 2011 o prevencii obchodovania s ľuďmi a boji proti nemu a o ochrane obetí obchodovania, ktorou sa nahrádza rámcové rozhodnutie Rady 2002/629/SVV (Ú. v. EÚ L 101, 15. 4. 2011),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2011/93/EÚ z  13. decembra 2011 o boji proti sexuálnemu zneužívaniu a sexuálnemu vykorisťovaniu detí a proti detskej pornografii, ktorou sa nahrádza rámcové rozhodnutie Rady 2004/68/SVV (Ú. v. EÚ L 335, 17.12.2011),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6D7E2F" w:rsidRPr="0045444A"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2013/40/EÚ z 12. augusta 2013 o útokoch na informačné systémy, ktorou sa nahrádza rámcové rozhodnutie Rady 2005/222/SVV (Ú. v. EÚ L 218, 14. 8. 2013)</w:t>
            </w:r>
            <w:r>
              <w:rPr>
                <w:rFonts w:ascii="Times New Roman" w:eastAsia="Times New Roman" w:hAnsi="Times New Roman" w:cs="Times New Roman"/>
                <w:sz w:val="20"/>
                <w:szCs w:val="20"/>
                <w:lang w:eastAsia="sk-SK"/>
              </w:rPr>
              <w:t>, Ministerstvo spravodlivosti Slovenskej republiky</w:t>
            </w:r>
          </w:p>
          <w:p w:rsidR="006D7E2F" w:rsidRPr="0045444A" w:rsidRDefault="006D7E2F" w:rsidP="006D7E2F">
            <w:pPr>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 xml:space="preserve"> </w:t>
            </w:r>
            <w:r w:rsidRPr="0054459C">
              <w:rPr>
                <w:rFonts w:ascii="Times New Roman" w:eastAsia="Times New Roman" w:hAnsi="Times New Roman" w:cs="Times New Roman"/>
                <w:sz w:val="20"/>
                <w:szCs w:val="20"/>
                <w:lang w:eastAsia="sk-SK"/>
              </w:rPr>
              <w:t>Smernica Európskeho parlamentu a Rady 2014/42/EÚ z 3. apríla 2014 o zaistení a konfiškácii prostriedkov a príjmov z trestnej činnosti v Európskej únii (Ú. v. EÚ L 127, 29. 4. 2014),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2017/1371 z 5. júla 2017 o boji proti podvodom, ktoré poškodzujú finančné záujmy Únie, prostredníctvom trestného práva (Ú. v. EÚ L 198, 28. 7. 2017),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6D7E2F" w:rsidRDefault="006D7E2F" w:rsidP="006D7E2F">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2018/1673 z 23. októbra 2018 o boji proti praniu špinavých peňazí prostredníctvom trestného práva (Ú. v. EÚ L 284, 12. 11. 2018), Ministerstvo spravodlivosti Slovenskej republiky</w:t>
            </w:r>
          </w:p>
          <w:p w:rsidR="006D7E2F" w:rsidRPr="0045444A" w:rsidRDefault="006D7E2F" w:rsidP="006D7E2F">
            <w:pPr>
              <w:pStyle w:val="Odsekzoznamu"/>
              <w:rPr>
                <w:rFonts w:ascii="Times New Roman" w:eastAsia="Times New Roman" w:hAnsi="Times New Roman" w:cs="Times New Roman"/>
                <w:sz w:val="20"/>
                <w:szCs w:val="20"/>
                <w:lang w:eastAsia="sk-SK"/>
              </w:rPr>
            </w:pPr>
          </w:p>
          <w:p w:rsidR="001B23B7" w:rsidRPr="006D7E2F" w:rsidRDefault="006D7E2F" w:rsidP="000800FC">
            <w:pPr>
              <w:pStyle w:val="Odsekzoznamu"/>
              <w:numPr>
                <w:ilvl w:val="0"/>
                <w:numId w:val="2"/>
              </w:numPr>
              <w:rPr>
                <w:rFonts w:ascii="Times New Roman" w:eastAsia="Times New Roman" w:hAnsi="Times New Roman" w:cs="Times New Roman"/>
                <w:sz w:val="20"/>
                <w:szCs w:val="20"/>
                <w:lang w:eastAsia="sk-SK"/>
              </w:rPr>
            </w:pPr>
            <w:r w:rsidRPr="0045444A">
              <w:rPr>
                <w:rFonts w:ascii="Times New Roman" w:eastAsia="Times New Roman" w:hAnsi="Times New Roman" w:cs="Times New Roman"/>
                <w:sz w:val="20"/>
                <w:szCs w:val="20"/>
                <w:lang w:eastAsia="sk-SK"/>
              </w:rPr>
              <w:t>Smernica Európskeho parlamentu a Rady (EÚ) 2019/713 zo 17. apríla 2019 o boji proti podvodom s bezhotovostnými platobnými prostriedkami a proti ich falšovaniu a pozmeňovaniu, ktorou sa nahrádza rámcové rozhodnutie Rady 2001/413/SVV (Ú. v. EÚ L 123, 10. 5. 2019), Ministerstvo spravodlivosti Slovenskej republiky</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lastRenderedPageBreak/>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6D7E2F"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7E2F" w:rsidRPr="00B043B4" w:rsidRDefault="006D7E2F" w:rsidP="006D7E2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Trestný zákon od svojho prijatia, čo bolo takmer pred 16 rokmi, už prešiel vysokým počtom čiastkových noviel, ktoré vždy riešili iba obmedzený okruh problémov. Avšak tieto čiastkové novely nie vždy systematicky zapadali do Trestného zákona ako celku, čo za posledné roky spôsobuje viacero problémov ako napr. nesúladne tresty za obdobné trestné činy, prekrývajúce sa skutkové podstaty alebo zastaranosť viacerých ustanovení, ktoré nie sú z politického hľadiska zaujímavé. Tieto problémy sa následne pretavujú do praxe a sťažujú prácu orgánom činným v trestnom konaní a súdom.</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Cieľom návrhu zákona je komplexne upraviť Trestný zákon v súlade s Programovým vyhlásením vlády Slovenskej republiky a potrebami aplikačnej praxe.</w:t>
            </w:r>
            <w:r>
              <w:rPr>
                <w:rFonts w:ascii="Times New Roman" w:eastAsia="Times New Roman" w:hAnsi="Times New Roman" w:cs="Times New Roman"/>
                <w:sz w:val="20"/>
                <w:szCs w:val="20"/>
                <w:lang w:eastAsia="sk-SK"/>
              </w:rPr>
              <w:t xml:space="preserve"> </w:t>
            </w:r>
            <w:r w:rsidRPr="00AB2BA0">
              <w:rPr>
                <w:rFonts w:ascii="Times New Roman" w:eastAsia="Times New Roman" w:hAnsi="Times New Roman" w:cs="Times New Roman"/>
                <w:sz w:val="20"/>
                <w:szCs w:val="20"/>
                <w:lang w:eastAsia="sk-SK"/>
              </w:rPr>
              <w:t xml:space="preserve">Navrhované znenie právnej úpravy </w:t>
            </w:r>
            <w:r>
              <w:rPr>
                <w:rFonts w:ascii="Times New Roman" w:eastAsia="Times New Roman" w:hAnsi="Times New Roman" w:cs="Times New Roman"/>
                <w:sz w:val="20"/>
                <w:szCs w:val="20"/>
                <w:lang w:eastAsia="sk-SK"/>
              </w:rPr>
              <w:t xml:space="preserve">tak reaguje na požiadavky programového vyhlásenia vlády, ostatných rezortov a aplikačnej praxe k prehodnoteniu viacerých ustanovení Trestného zákona. </w:t>
            </w:r>
            <w:r w:rsidRPr="001A14FC">
              <w:rPr>
                <w:rFonts w:ascii="Times New Roman" w:eastAsia="Times New Roman" w:hAnsi="Times New Roman" w:cs="Times New Roman"/>
                <w:sz w:val="20"/>
                <w:szCs w:val="20"/>
                <w:lang w:eastAsia="sk-SK"/>
              </w:rPr>
              <w:t xml:space="preserve">Návrh zákona je rozsiahlou novelou </w:t>
            </w:r>
            <w:r>
              <w:rPr>
                <w:rFonts w:ascii="Times New Roman" w:eastAsia="Times New Roman" w:hAnsi="Times New Roman" w:cs="Times New Roman"/>
                <w:sz w:val="20"/>
                <w:szCs w:val="20"/>
                <w:lang w:eastAsia="sk-SK"/>
              </w:rPr>
              <w:t>T</w:t>
            </w:r>
            <w:r w:rsidRPr="001A14FC">
              <w:rPr>
                <w:rFonts w:ascii="Times New Roman" w:eastAsia="Times New Roman" w:hAnsi="Times New Roman" w:cs="Times New Roman"/>
                <w:sz w:val="20"/>
                <w:szCs w:val="20"/>
                <w:lang w:eastAsia="sk-SK"/>
              </w:rPr>
              <w:t>restného zákona, ktorá sa dotýka podstatnej časti zákona. Pre podrobné odôvodnenie</w:t>
            </w:r>
            <w:r>
              <w:rPr>
                <w:rFonts w:ascii="Times New Roman" w:eastAsia="Times New Roman" w:hAnsi="Times New Roman" w:cs="Times New Roman"/>
                <w:sz w:val="20"/>
                <w:szCs w:val="20"/>
                <w:lang w:eastAsia="sk-SK"/>
              </w:rPr>
              <w:t xml:space="preserve"> všetkých partikulárnych cieľov</w:t>
            </w:r>
            <w:r w:rsidRPr="001A14FC">
              <w:rPr>
                <w:rFonts w:ascii="Times New Roman" w:eastAsia="Times New Roman" w:hAnsi="Times New Roman" w:cs="Times New Roman"/>
                <w:sz w:val="20"/>
                <w:szCs w:val="20"/>
                <w:lang w:eastAsia="sk-SK"/>
              </w:rPr>
              <w:t xml:space="preserve"> navrhovanej právnej úpravy je preto nutné odkázať na osobitnú časť dôvodovej správy.</w:t>
            </w:r>
          </w:p>
          <w:p w:rsidR="006D7E2F" w:rsidRDefault="006D7E2F" w:rsidP="006D7E2F">
            <w:pPr>
              <w:jc w:val="both"/>
              <w:rPr>
                <w:rFonts w:ascii="Times New Roman" w:eastAsia="Times New Roman" w:hAnsi="Times New Roman" w:cs="Times New Roman"/>
                <w:sz w:val="20"/>
                <w:szCs w:val="20"/>
                <w:lang w:eastAsia="sk-SK"/>
              </w:rPr>
            </w:pPr>
            <w:r w:rsidRPr="007044A0">
              <w:rPr>
                <w:rFonts w:ascii="Times New Roman" w:eastAsia="Times New Roman" w:hAnsi="Times New Roman" w:cs="Times New Roman"/>
                <w:sz w:val="20"/>
                <w:szCs w:val="20"/>
                <w:lang w:eastAsia="sk-SK"/>
              </w:rPr>
              <w:t xml:space="preserve">Cieľom </w:t>
            </w:r>
            <w:r>
              <w:rPr>
                <w:rFonts w:ascii="Times New Roman" w:eastAsia="Times New Roman" w:hAnsi="Times New Roman" w:cs="Times New Roman"/>
                <w:sz w:val="20"/>
                <w:szCs w:val="20"/>
                <w:lang w:eastAsia="sk-SK"/>
              </w:rPr>
              <w:t>návrhu zákona</w:t>
            </w:r>
            <w:r w:rsidRPr="007044A0">
              <w:rPr>
                <w:rFonts w:ascii="Times New Roman" w:eastAsia="Times New Roman" w:hAnsi="Times New Roman" w:cs="Times New Roman"/>
                <w:sz w:val="20"/>
                <w:szCs w:val="20"/>
                <w:lang w:eastAsia="sk-SK"/>
              </w:rPr>
              <w:t xml:space="preserve"> je vyzdvihnúť význam </w:t>
            </w:r>
            <w:proofErr w:type="spellStart"/>
            <w:r w:rsidRPr="007044A0">
              <w:rPr>
                <w:rFonts w:ascii="Times New Roman" w:eastAsia="Times New Roman" w:hAnsi="Times New Roman" w:cs="Times New Roman"/>
                <w:sz w:val="20"/>
                <w:szCs w:val="20"/>
                <w:lang w:eastAsia="sk-SK"/>
              </w:rPr>
              <w:t>restoratívn</w:t>
            </w:r>
            <w:r>
              <w:rPr>
                <w:rFonts w:ascii="Times New Roman" w:eastAsia="Times New Roman" w:hAnsi="Times New Roman" w:cs="Times New Roman"/>
                <w:sz w:val="20"/>
                <w:szCs w:val="20"/>
                <w:lang w:eastAsia="sk-SK"/>
              </w:rPr>
              <w:t>ych</w:t>
            </w:r>
            <w:proofErr w:type="spellEnd"/>
            <w:r>
              <w:rPr>
                <w:rFonts w:ascii="Times New Roman" w:eastAsia="Times New Roman" w:hAnsi="Times New Roman" w:cs="Times New Roman"/>
                <w:sz w:val="20"/>
                <w:szCs w:val="20"/>
                <w:lang w:eastAsia="sk-SK"/>
              </w:rPr>
              <w:t xml:space="preserve"> prístupov v trestnom konaní, ktoré prispievajú k </w:t>
            </w:r>
            <w:r w:rsidRPr="007044A0">
              <w:rPr>
                <w:rFonts w:ascii="Times New Roman" w:eastAsia="Times New Roman" w:hAnsi="Times New Roman" w:cs="Times New Roman"/>
                <w:sz w:val="20"/>
                <w:szCs w:val="20"/>
                <w:lang w:eastAsia="sk-SK"/>
              </w:rPr>
              <w:t>úspešnejšej reintegrácii páchateľa do spoločnosti.</w:t>
            </w:r>
            <w:r>
              <w:rPr>
                <w:rFonts w:ascii="Times New Roman" w:eastAsia="Times New Roman" w:hAnsi="Times New Roman" w:cs="Times New Roman"/>
                <w:sz w:val="20"/>
                <w:szCs w:val="20"/>
                <w:lang w:eastAsia="sk-SK"/>
              </w:rPr>
              <w:t xml:space="preserve"> Z</w:t>
            </w:r>
            <w:r w:rsidRPr="007044A0">
              <w:rPr>
                <w:rFonts w:ascii="Times New Roman" w:eastAsia="Times New Roman" w:hAnsi="Times New Roman" w:cs="Times New Roman"/>
                <w:sz w:val="20"/>
                <w:szCs w:val="20"/>
                <w:lang w:eastAsia="sk-SK"/>
              </w:rPr>
              <w:t>ohľadňuje sa postoj páchateľa, ktorý prevzal zodpovednosť za spáchaný trestný čin a spoločne s poškodený</w:t>
            </w:r>
            <w:r>
              <w:rPr>
                <w:rFonts w:ascii="Times New Roman" w:eastAsia="Times New Roman" w:hAnsi="Times New Roman" w:cs="Times New Roman"/>
                <w:sz w:val="20"/>
                <w:szCs w:val="20"/>
                <w:lang w:eastAsia="sk-SK"/>
              </w:rPr>
              <w:t xml:space="preserve">m </w:t>
            </w:r>
            <w:r w:rsidRPr="007044A0">
              <w:rPr>
                <w:rFonts w:ascii="Times New Roman" w:eastAsia="Times New Roman" w:hAnsi="Times New Roman" w:cs="Times New Roman"/>
                <w:sz w:val="20"/>
                <w:szCs w:val="20"/>
                <w:lang w:eastAsia="sk-SK"/>
              </w:rPr>
              <w:t>dospejú k vzájomnej dohode na odstránení ujmy vzniknutej v príčinnej súvislosti s trestným činom</w:t>
            </w:r>
            <w:r>
              <w:rPr>
                <w:rFonts w:ascii="Times New Roman" w:eastAsia="Times New Roman" w:hAnsi="Times New Roman" w:cs="Times New Roman"/>
                <w:sz w:val="20"/>
                <w:szCs w:val="20"/>
                <w:lang w:eastAsia="sk-SK"/>
              </w:rPr>
              <w:t>,</w:t>
            </w:r>
            <w:r w:rsidRPr="007044A0">
              <w:rPr>
                <w:rFonts w:ascii="Times New Roman" w:eastAsia="Times New Roman" w:hAnsi="Times New Roman" w:cs="Times New Roman"/>
                <w:sz w:val="20"/>
                <w:szCs w:val="20"/>
                <w:lang w:eastAsia="sk-SK"/>
              </w:rPr>
              <w:t xml:space="preserve"> čo sa premieta do umožnenia skoršieho podmienečného prepustenia </w:t>
            </w:r>
            <w:r>
              <w:rPr>
                <w:rFonts w:ascii="Times New Roman" w:eastAsia="Times New Roman" w:hAnsi="Times New Roman" w:cs="Times New Roman"/>
                <w:sz w:val="20"/>
                <w:szCs w:val="20"/>
                <w:lang w:eastAsia="sk-SK"/>
              </w:rPr>
              <w:t>z výkonu trestu odňatia slobody.</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Prvýkrát od prijatia Trestného zákona sa zvyšujú hranice vymedzenia spáchanej škody z dnešných 266 eur na 500 eur pri hranici malej škody, úmerne sa</w:t>
            </w:r>
            <w:r w:rsidR="001E2A3D">
              <w:rPr>
                <w:rFonts w:ascii="Times New Roman" w:eastAsia="Times New Roman" w:hAnsi="Times New Roman" w:cs="Times New Roman"/>
                <w:sz w:val="20"/>
                <w:szCs w:val="20"/>
                <w:lang w:eastAsia="sk-SK"/>
              </w:rPr>
              <w:t xml:space="preserve"> posúvajú ostatné hranice škôd. </w:t>
            </w:r>
            <w:bookmarkStart w:id="0" w:name="_GoBack"/>
            <w:bookmarkEnd w:id="0"/>
            <w:r w:rsidRPr="006D7E2F">
              <w:rPr>
                <w:rFonts w:ascii="Times New Roman" w:eastAsia="Times New Roman" w:hAnsi="Times New Roman" w:cs="Times New Roman"/>
                <w:sz w:val="20"/>
                <w:szCs w:val="20"/>
                <w:lang w:eastAsia="sk-SK"/>
              </w:rPr>
              <w:t>Návrhom zákona dochádza k prehodnoteniu a zosúladeniu trestných sadzieb, najmä trestných činov proti majetku a hospodárskych trestných činov a precizovaniu viacerých skutkových podstát. To sa prejavuje najmä zväčšením rozsahov a presahov trestných sadzieb, ustálením hornej hranice trestnej sadzby pri ekonomickej kriminalite na 15 rokoch, či rozšírením priestoru pre úvahu súdu pri ukladaní trestov. Pri trestných činoch korupcie, organizovanej kriminalite a ostatných trestných činoch, ktorými štát chráni najzásadnejšie hodnoty ako sú zdravie a život však ostáva zachovaný súčasný právny stav.</w:t>
            </w:r>
          </w:p>
          <w:p w:rsidR="006D7E2F" w:rsidRPr="006D7E2F" w:rsidRDefault="006D7E2F" w:rsidP="006D7E2F">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Pri treste </w:t>
            </w:r>
            <w:r w:rsidRPr="006D7E2F">
              <w:rPr>
                <w:rFonts w:ascii="Times New Roman" w:eastAsia="Times New Roman" w:hAnsi="Times New Roman" w:cs="Times New Roman"/>
                <w:sz w:val="20"/>
                <w:szCs w:val="20"/>
                <w:lang w:eastAsia="sk-SK"/>
              </w:rPr>
              <w:t xml:space="preserve">prepadnutia majetku sa mení charakter obligatórneho ukladania tohto trestu a umožňuje sa neuložiť tento trest, ak by vzhľadom na okolnosti prípadu alebo pomery páchateľa bolo jeho uloženie neprimerane prísne. Súčasne sa normuje možnosť vylúčiť z trestu prepadnutia majetku také veci, ktorých prepadnutie by bolo neprimerane prísne. </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Návrhom zákona sa upúšťa od trestu odňatia slobody ako univerzálneho trestu a za vybrané trestné činy sa vyslovene preferuje ukladanie trestov nespojených s odňatím slobody.</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Návrhom zákona sa súčasne reaguje na identifikované dlhoročné aplikačné problémy postihovania drogovej trestnej činnosti, vrátane ukladania neprimerane vysokých trestov odňatia slobody užívateľom drog, ktoré sú v rozpore s požiadavkou primeranosti ukladaných trestov k miere ich závažnosti. Zavádzajú sa osobitné skutkové podstaty drogových trestných činov, pričom v záujme rozlíšenia nastavenia trestania užívateľov drog od ich výrobcov a dílerov sa rozlišuje medzi prechovávaním drog a ich výrobou alebo obchodovaním</w:t>
            </w:r>
            <w:r>
              <w:rPr>
                <w:rFonts w:ascii="Times New Roman" w:eastAsia="Times New Roman" w:hAnsi="Times New Roman" w:cs="Times New Roman"/>
                <w:sz w:val="20"/>
                <w:szCs w:val="20"/>
                <w:lang w:eastAsia="sk-SK"/>
              </w:rPr>
              <w:t>.</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Návrh zákona tiež sprísňuje postih jazdy pod vplyvom alkoholu – zavedenie „stavu ťažkej opitosti“ nad 2 promile s prísnou sadzbou zákazu činnosti i trestu odňatia slobody, sprísnenie sadzieb pri smrteľných následkoch v dôsledku jazdy pod vplyvom alkoholu</w:t>
            </w:r>
            <w:r>
              <w:rPr>
                <w:rFonts w:ascii="Times New Roman" w:eastAsia="Times New Roman" w:hAnsi="Times New Roman" w:cs="Times New Roman"/>
                <w:sz w:val="20"/>
                <w:szCs w:val="20"/>
                <w:lang w:eastAsia="sk-SK"/>
              </w:rPr>
              <w:t>.</w:t>
            </w:r>
          </w:p>
          <w:p w:rsidR="006D7E2F" w:rsidRDefault="006D7E2F" w:rsidP="006D7E2F">
            <w:pPr>
              <w:jc w:val="both"/>
              <w:rPr>
                <w:rFonts w:ascii="Times New Roman" w:eastAsia="Times New Roman" w:hAnsi="Times New Roman" w:cs="Times New Roman"/>
                <w:sz w:val="20"/>
                <w:szCs w:val="20"/>
                <w:lang w:eastAsia="sk-SK"/>
              </w:rPr>
            </w:pPr>
            <w:r w:rsidRPr="006D7E2F">
              <w:rPr>
                <w:rFonts w:ascii="Times New Roman" w:eastAsia="Times New Roman" w:hAnsi="Times New Roman" w:cs="Times New Roman"/>
                <w:sz w:val="20"/>
                <w:szCs w:val="20"/>
                <w:lang w:eastAsia="sk-SK"/>
              </w:rPr>
              <w:t>Nosnou časťou predkladaného návrhu zákona je novelizácia Trestného zákona v čl. I. Okrem toho dochádza návrhom zákona k novelizácií niekoľkých ďalších zákonov, pričom v tomto prípade ide o vyvolané novelizácie, pretože zmeny v Trestnom zákone si nevyhnutne vyžadujú ich zohľadnenie aj v súvisiacich predpisoch.</w:t>
            </w:r>
          </w:p>
          <w:p w:rsidR="001B23B7" w:rsidRPr="00B043B4" w:rsidRDefault="001B23B7" w:rsidP="006D7E2F">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6D7E2F" w:rsidRDefault="006D7E2F" w:rsidP="006D7E2F">
            <w:pPr>
              <w:jc w:val="both"/>
              <w:rPr>
                <w:rFonts w:ascii="Times New Roman" w:eastAsia="Times New Roman" w:hAnsi="Times New Roman" w:cs="Times New Roman"/>
                <w:sz w:val="20"/>
                <w:szCs w:val="20"/>
                <w:lang w:eastAsia="sk-SK"/>
              </w:rPr>
            </w:pPr>
            <w:r w:rsidRPr="00207489">
              <w:rPr>
                <w:rFonts w:ascii="Times New Roman" w:eastAsia="Times New Roman" w:hAnsi="Times New Roman" w:cs="Times New Roman"/>
                <w:sz w:val="20"/>
                <w:szCs w:val="20"/>
                <w:lang w:eastAsia="sk-SK"/>
              </w:rPr>
              <w:t>Sudcovia, orgány činné v trestnom konaní, advokáti</w:t>
            </w:r>
            <w:r>
              <w:rPr>
                <w:rFonts w:ascii="Times New Roman" w:eastAsia="Times New Roman" w:hAnsi="Times New Roman" w:cs="Times New Roman"/>
                <w:sz w:val="20"/>
                <w:szCs w:val="20"/>
                <w:lang w:eastAsia="sk-SK"/>
              </w:rPr>
              <w:t>, Generálna prokuratúra Slovenskej republiky, osoby vo výkone väzby a trestu odňatia slobody, osoby, proti ktorým sa vedie trestné konanie, poškodení, Slovenská inšpekcia životného prostredia, okresné úrady, okresné úrady v sídle kraja</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6D7E2F">
        <w:trPr>
          <w:trHeight w:val="85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6D7E2F" w:rsidP="000800FC">
            <w:pPr>
              <w:jc w:val="both"/>
              <w:rPr>
                <w:rFonts w:ascii="Times New Roman" w:eastAsia="Times New Roman" w:hAnsi="Times New Roman" w:cs="Times New Roman"/>
                <w:i/>
                <w:sz w:val="20"/>
                <w:szCs w:val="20"/>
                <w:lang w:eastAsia="sk-SK"/>
              </w:rPr>
            </w:pPr>
            <w:r>
              <w:rPr>
                <w:rFonts w:ascii="Times" w:hAnsi="Times" w:cs="Times"/>
                <w:sz w:val="20"/>
                <w:szCs w:val="20"/>
              </w:rPr>
              <w:lastRenderedPageBreak/>
              <w:t xml:space="preserve">Alternatívne riešenie 0 –  problémy definované v bode 2 /Definovanie problému/ tohto dokumentu nie je možné odstrániť iným spôsobom, ako zmenou a doplnením zákona  </w:t>
            </w:r>
            <w:r w:rsidRPr="00B43A6F">
              <w:rPr>
                <w:rFonts w:ascii="Times" w:hAnsi="Times" w:cs="Times"/>
                <w:sz w:val="20"/>
                <w:szCs w:val="20"/>
              </w:rPr>
              <w:t xml:space="preserve">č. </w:t>
            </w:r>
            <w:r>
              <w:rPr>
                <w:rFonts w:ascii="Times" w:hAnsi="Times" w:cs="Times"/>
                <w:sz w:val="20"/>
                <w:szCs w:val="20"/>
              </w:rPr>
              <w:t>300/2005</w:t>
            </w:r>
            <w:r w:rsidRPr="00B43A6F">
              <w:rPr>
                <w:rFonts w:ascii="Times" w:hAnsi="Times" w:cs="Times"/>
                <w:sz w:val="20"/>
                <w:szCs w:val="20"/>
              </w:rPr>
              <w:t xml:space="preserve"> Z. z. o </w:t>
            </w:r>
            <w:r w:rsidRPr="005904F8">
              <w:rPr>
                <w:rFonts w:ascii="Times" w:hAnsi="Times" w:cs="Times"/>
                <w:sz w:val="20"/>
                <w:szCs w:val="20"/>
              </w:rPr>
              <w:t>Trestný zákon v znení neskorších predpisov</w:t>
            </w:r>
            <w:r>
              <w:rPr>
                <w:rFonts w:ascii="Times" w:hAnsi="Times" w:cs="Times"/>
                <w:sz w:val="20"/>
                <w:szCs w:val="20"/>
              </w:rPr>
              <w:t>.</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A43B0F"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A7788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A43B0F"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6D7E2F">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goldplatingu podľa tabuľky zhody. </w:t>
                  </w:r>
                </w:p>
              </w:tc>
            </w:tr>
            <w:tr w:rsidR="00A7788F">
              <w:trPr>
                <w:trHeight w:val="296"/>
              </w:trPr>
              <w:tc>
                <w:tcPr>
                  <w:tcW w:w="8643" w:type="dxa"/>
                </w:tcPr>
                <w:p w:rsidR="00A7788F" w:rsidRPr="002F6ADB" w:rsidRDefault="00A7788F" w:rsidP="00C74040">
                  <w:pPr>
                    <w:pStyle w:val="Default"/>
                    <w:jc w:val="both"/>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1"/>
                        <w14:checkedState w14:val="2612" w14:font="MS Gothic"/>
                        <w14:uncheckedState w14:val="2610" w14:font="MS Gothic"/>
                      </w14:checkbox>
                    </w:sdtPr>
                    <w:sdtEndPr/>
                    <w:sdtContent>
                      <w:r w:rsidR="006D7E2F">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Nie</w:t>
                  </w:r>
                </w:p>
                <w:p w:rsidR="006D7E2F" w:rsidRDefault="006D7E2F" w:rsidP="00C74040">
                  <w:pPr>
                    <w:jc w:val="both"/>
                    <w:rPr>
                      <w:rFonts w:ascii="Times New Roman" w:eastAsia="Times New Roman" w:hAnsi="Times New Roman" w:cs="Times New Roman"/>
                      <w:sz w:val="20"/>
                      <w:szCs w:val="20"/>
                      <w:lang w:eastAsia="sk-SK"/>
                    </w:rPr>
                  </w:pP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smernice 2011/93/EÚ dochádza ku goldplatingu pri transpozícii čl. 3 ods. 2, 3 a 5, čl. 4 ods. 2 až 7, čl. 5 a čl. 6, pretože transpozičné ustanovenia stanovujú prísnejšiu hornú hranicu trestnej sadzby, ako požaduje smernica. Vo všetkých prípadoch ide o opodstatnený goldplating, ktorý súvisí s potrebou zosúladenia s ostatnými trestnými činmi sexuálneho charakteru, čím sa zabezpečí spravodlivejší postih páchateľa. Ku goldplatingu dochádza aj pri transpozícii čl. 8 smernice. Návrh zákona ide nad rámec minimálnych požiadaviek smernice, pokiaľ ide o zavedenie materiálneho korektívu </w:t>
                  </w:r>
                  <w:r w:rsidRPr="00822F71">
                    <w:rPr>
                      <w:rFonts w:ascii="Times New Roman" w:eastAsia="Times New Roman" w:hAnsi="Times New Roman" w:cs="Times New Roman"/>
                      <w:sz w:val="20"/>
                      <w:szCs w:val="20"/>
                      <w:lang w:eastAsia="sk-SK"/>
                    </w:rPr>
                    <w:t>pri trestných činoch sexuálneho zneužívania podľa § 201a výroby, rozširovania a prechovávania detskej pornografie a účasti na detskom pornografickom predstavení podľa § 368 až 370</w:t>
                  </w:r>
                  <w:r>
                    <w:rPr>
                      <w:rFonts w:ascii="Times New Roman" w:eastAsia="Times New Roman" w:hAnsi="Times New Roman" w:cs="Times New Roman"/>
                      <w:sz w:val="20"/>
                      <w:szCs w:val="20"/>
                      <w:lang w:eastAsia="sk-SK"/>
                    </w:rPr>
                    <w:t>, ak boli</w:t>
                  </w:r>
                  <w:r w:rsidRPr="00822F71">
                    <w:rPr>
                      <w:rFonts w:ascii="Times New Roman" w:eastAsia="Times New Roman" w:hAnsi="Times New Roman" w:cs="Times New Roman"/>
                      <w:sz w:val="20"/>
                      <w:szCs w:val="20"/>
                      <w:lang w:eastAsia="sk-SK"/>
                    </w:rPr>
                    <w:t xml:space="preserve"> spáchan</w:t>
                  </w:r>
                  <w:r>
                    <w:rPr>
                      <w:rFonts w:ascii="Times New Roman" w:eastAsia="Times New Roman" w:hAnsi="Times New Roman" w:cs="Times New Roman"/>
                      <w:sz w:val="20"/>
                      <w:szCs w:val="20"/>
                      <w:lang w:eastAsia="sk-SK"/>
                    </w:rPr>
                    <w:t>é</w:t>
                  </w:r>
                  <w:r w:rsidRPr="00822F71">
                    <w:rPr>
                      <w:rFonts w:ascii="Times New Roman" w:eastAsia="Times New Roman" w:hAnsi="Times New Roman" w:cs="Times New Roman"/>
                      <w:sz w:val="20"/>
                      <w:szCs w:val="20"/>
                      <w:lang w:eastAsia="sk-SK"/>
                    </w:rPr>
                    <w:t xml:space="preserve"> mladistvým, ktorý bol s poškodeným v blízkom veku</w:t>
                  </w:r>
                  <w:r>
                    <w:rPr>
                      <w:rFonts w:ascii="Times New Roman" w:eastAsia="Times New Roman" w:hAnsi="Times New Roman" w:cs="Times New Roman"/>
                      <w:sz w:val="20"/>
                      <w:szCs w:val="20"/>
                      <w:lang w:eastAsia="sk-SK"/>
                    </w:rPr>
                    <w:t>. Podľa názoru predkladateľa, ktorý je podporený štatistikami k odsúdeniam podľa § 201 Trestného zákona, je potrebné poskytnúť možnosť ochrany mladistvým pred extrémnymi dôsledkami porušenia</w:t>
                  </w:r>
                  <w:r w:rsidRPr="004315A2">
                    <w:rPr>
                      <w:rFonts w:ascii="Times New Roman" w:eastAsia="Times New Roman" w:hAnsi="Times New Roman" w:cs="Times New Roman"/>
                      <w:sz w:val="20"/>
                      <w:szCs w:val="20"/>
                      <w:lang w:eastAsia="sk-SK"/>
                    </w:rPr>
                    <w:t xml:space="preserve"> zákona o veku súhlasu so sexuálnym stykom (tzv. </w:t>
                  </w:r>
                  <w:proofErr w:type="spellStart"/>
                  <w:r w:rsidRPr="004315A2">
                    <w:rPr>
                      <w:rFonts w:ascii="Times New Roman" w:eastAsia="Times New Roman" w:hAnsi="Times New Roman" w:cs="Times New Roman"/>
                      <w:sz w:val="20"/>
                      <w:szCs w:val="20"/>
                      <w:lang w:eastAsia="sk-SK"/>
                    </w:rPr>
                    <w:t>age</w:t>
                  </w:r>
                  <w:proofErr w:type="spellEnd"/>
                  <w:r w:rsidRPr="004315A2">
                    <w:rPr>
                      <w:rFonts w:ascii="Times New Roman" w:eastAsia="Times New Roman" w:hAnsi="Times New Roman" w:cs="Times New Roman"/>
                      <w:sz w:val="20"/>
                      <w:szCs w:val="20"/>
                      <w:lang w:eastAsia="sk-SK"/>
                    </w:rPr>
                    <w:t xml:space="preserve"> of </w:t>
                  </w:r>
                  <w:proofErr w:type="spellStart"/>
                  <w:r w:rsidRPr="004315A2">
                    <w:rPr>
                      <w:rFonts w:ascii="Times New Roman" w:eastAsia="Times New Roman" w:hAnsi="Times New Roman" w:cs="Times New Roman"/>
                      <w:sz w:val="20"/>
                      <w:szCs w:val="20"/>
                      <w:lang w:eastAsia="sk-SK"/>
                    </w:rPr>
                    <w:t>consent</w:t>
                  </w:r>
                  <w:proofErr w:type="spellEnd"/>
                  <w:r w:rsidRPr="004315A2">
                    <w:rPr>
                      <w:rFonts w:ascii="Times New Roman" w:eastAsia="Times New Roman" w:hAnsi="Times New Roman" w:cs="Times New Roman"/>
                      <w:sz w:val="20"/>
                      <w:szCs w:val="20"/>
                      <w:lang w:eastAsia="sk-SK"/>
                    </w:rPr>
                    <w:t>), ktorý by mohol mladého človeka označiť za sexuálneho delikventa do konca života len za to, že mal so svojím priateľom alebo priateľkou konsenzuálny sex.</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smernice 2011/39/EÚ dochádza ku goldplatingu pri transpozícii čl. 4 ods. 1, 2 písm. a) a c) a ods. 3. Pri trestnom čine obchodovania s ľuďmi podľa § 179 dochádza k zvýšeniu trestnej sadzby v odseku 2. Táto zmena reaguje na </w:t>
                  </w:r>
                  <w:r w:rsidRPr="00597488">
                    <w:rPr>
                      <w:rFonts w:ascii="Times New Roman" w:eastAsia="Times New Roman" w:hAnsi="Times New Roman" w:cs="Times New Roman"/>
                      <w:sz w:val="20"/>
                      <w:szCs w:val="20"/>
                      <w:lang w:eastAsia="sk-SK"/>
                    </w:rPr>
                    <w:t xml:space="preserve">výhrady Rady Európy k neprimeranosti ukladania prevažne podmienečných trestov odňatia slobody za trestné činy obchodovania s detskými obeťami, </w:t>
                  </w:r>
                  <w:r>
                    <w:rPr>
                      <w:rFonts w:ascii="Times New Roman" w:eastAsia="Times New Roman" w:hAnsi="Times New Roman" w:cs="Times New Roman"/>
                      <w:sz w:val="20"/>
                      <w:szCs w:val="20"/>
                      <w:lang w:eastAsia="sk-SK"/>
                    </w:rPr>
                    <w:t>čo je umožnené aplikáciou inštitútu</w:t>
                  </w:r>
                  <w:r w:rsidRPr="00597488">
                    <w:rPr>
                      <w:rFonts w:ascii="Times New Roman" w:eastAsia="Times New Roman" w:hAnsi="Times New Roman" w:cs="Times New Roman"/>
                      <w:sz w:val="20"/>
                      <w:szCs w:val="20"/>
                      <w:lang w:eastAsia="sk-SK"/>
                    </w:rPr>
                    <w:t xml:space="preserve"> mimoriadneho zníženia trestu.</w:t>
                  </w:r>
                  <w:r>
                    <w:rPr>
                      <w:rFonts w:ascii="Times New Roman" w:eastAsia="Times New Roman" w:hAnsi="Times New Roman" w:cs="Times New Roman"/>
                      <w:sz w:val="20"/>
                      <w:szCs w:val="20"/>
                      <w:lang w:eastAsia="sk-SK"/>
                    </w:rPr>
                    <w:t xml:space="preserve"> Zvýšením trestnej sadzby sa zabezpečí účinnejší postih páchateľov tohto trestného činu, preto ide aj v tomto prípade o opodstatnený goldplating. Goldplating predstavuje aj zavedenie nového trestného činu využívania služieb obete obchodovania s ľuďmi podľa § 179a, keďže sa jedná o ustanovenie s dobrovoľnou transpozíciou. Touto skutkovou podstatou sa implementuje čl. 19 Dohovoru o boji proti obchodovaniu s ľuďmi, ako aj odporúčanie </w:t>
                  </w:r>
                  <w:r w:rsidRPr="002D51C2">
                    <w:rPr>
                      <w:rFonts w:ascii="Times New Roman" w:eastAsia="Times New Roman" w:hAnsi="Times New Roman" w:cs="Times New Roman"/>
                      <w:sz w:val="20"/>
                      <w:szCs w:val="20"/>
                      <w:lang w:eastAsia="sk-SK"/>
                    </w:rPr>
                    <w:t>skupiny expertov Rady Európy pre oblasť boja proti obchodovaniu s ľuďmi (GRETA)</w:t>
                  </w:r>
                  <w:r>
                    <w:rPr>
                      <w:rFonts w:ascii="Times New Roman" w:eastAsia="Times New Roman" w:hAnsi="Times New Roman" w:cs="Times New Roman"/>
                      <w:sz w:val="20"/>
                      <w:szCs w:val="20"/>
                      <w:lang w:eastAsia="sk-SK"/>
                    </w:rPr>
                    <w:t>, ktoré vyslovila v záverečnej hodnotiacej správe k implementácii Dohovoru. Predkladateľ považuje zavedenie tejto skutkovej podstaty za potrebné pre účinný boj proti obchodovaniu s ľuďmi.</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smernice 2013/40/EÚ dochádza ku goldplatingu pri transpozícii čl. 9 ods. 2, 3 a 4 písm. a), pretože transpozičné ustanovenia stanovujú prísnejšiu hornú hranicu trestnej sadzby, ako požaduje smernica. Zmeny v § 247 až § 247d sa navrhujú kvôli celkovému zosúladeniu trestných sadzieb za majetkové trestné činy. Z tohto dôvodu dochádza pri niektorých kvalifikovaných skutkových podstatách k zníženiu, a pri iných ku zvýšeniu trestnej sadzby. Striktné dodržanie požiadaviek smernice by znamenalo výrazný nepomer trestných sadzieb za § 247 až § 247d v porovnaní s ostatnými majetkovými trestnými činmi.  </w:t>
                  </w:r>
                </w:p>
                <w:p w:rsidR="006D7E2F" w:rsidRDefault="006D7E2F" w:rsidP="00C7404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smernice (EÚ) 2017/1371 dochádza ku goldplatingu pri transpozícii čl. 7 ods. 3, pretože transpozičné ustanovenia stanovujú prísnejšiu hornú hranicu trestnej sadzby, ako požaduje smernica. Pri trestnom čine poškodzovania finančných záujmov Európskej únie podľa § 261 sa navrhuje zvýšiť trestné sadzby, a to tak, aby boli prísnejšie ako pri trestnom čine subvenčného podvodu podľa § 225. Dôvodom tejto úpravy je potreba založenia pôsobnosti Európskej prokuratúry</w:t>
                  </w:r>
                  <w:r>
                    <w:t xml:space="preserve"> </w:t>
                  </w:r>
                  <w:r w:rsidRPr="009809BA">
                    <w:rPr>
                      <w:rFonts w:ascii="Times New Roman" w:eastAsia="Times New Roman" w:hAnsi="Times New Roman" w:cs="Times New Roman"/>
                      <w:sz w:val="20"/>
                      <w:szCs w:val="20"/>
                      <w:lang w:eastAsia="sk-SK"/>
                    </w:rPr>
                    <w:t>s poukazom na čl. 25 Nariadenia Rady (EÚ) 2017/1939 z 12. októbra 2017, ktorým sa vykonáva posilnená spolupráca na účely zriadenia Európskej prokuratúry</w:t>
                  </w:r>
                  <w:r>
                    <w:rPr>
                      <w:rFonts w:ascii="Times New Roman" w:eastAsia="Times New Roman" w:hAnsi="Times New Roman" w:cs="Times New Roman"/>
                      <w:sz w:val="20"/>
                      <w:szCs w:val="20"/>
                      <w:lang w:eastAsia="sk-SK"/>
                    </w:rPr>
                    <w:t>. Rovnako je potrebné uviesť skutočnosť, že návrhom zákona dochádza k zmene výšky škody. Za značnú škodu sa bude považovať škoda vo výške najmenej 50 000 eur, a za škodu veľkého r</w:t>
                  </w:r>
                  <w:r w:rsidR="00C74040">
                    <w:rPr>
                      <w:rFonts w:ascii="Times New Roman" w:eastAsia="Times New Roman" w:hAnsi="Times New Roman" w:cs="Times New Roman"/>
                      <w:sz w:val="20"/>
                      <w:szCs w:val="20"/>
                      <w:lang w:eastAsia="sk-SK"/>
                    </w:rPr>
                    <w:t>ozsahu škoda vo výške najmenej 1</w:t>
                  </w:r>
                  <w:r>
                    <w:rPr>
                      <w:rFonts w:ascii="Times New Roman" w:eastAsia="Times New Roman" w:hAnsi="Times New Roman" w:cs="Times New Roman"/>
                      <w:sz w:val="20"/>
                      <w:szCs w:val="20"/>
                      <w:lang w:eastAsia="sk-SK"/>
                    </w:rPr>
                    <w:t xml:space="preserve">50 000 eur. Na účely smernice sa za značnú škodu považuje škoda vo výške najmenej 100 000 eur. Ku goldplatingu teda dochádza v prípade konaní, ktorými bola </w:t>
                  </w:r>
                  <w:r>
                    <w:rPr>
                      <w:rFonts w:ascii="Times New Roman" w:eastAsia="Times New Roman" w:hAnsi="Times New Roman" w:cs="Times New Roman"/>
                      <w:sz w:val="20"/>
                      <w:szCs w:val="20"/>
                      <w:lang w:eastAsia="sk-SK"/>
                    </w:rPr>
                    <w:lastRenderedPageBreak/>
                    <w:t>spôsobená škoda 50 000 až 100 000 eur, Dôležitý faktor, kvôli ktorému dochádza v tomto prípade ku goldplatingu, je ten, že Slovenská republika má pre stanovenie výšky škody (a jej násobkov) jednotné pravidlá, ktoré platia pre všetky trestné činy. Inak povedané, exaktné dodržanie požiadaviek smernice vo vzťahu k výške škody 100 000 eur by znamenalo buď zvýšenie značnej škody pre všetky trestné činy, alebo porušenie jednotných pravidiel pre stanovenie škody pri konkrétnom trestnom čine.</w:t>
                  </w:r>
                </w:p>
                <w:p w:rsidR="006D7E2F" w:rsidRPr="002F6ADB" w:rsidRDefault="006D7E2F" w:rsidP="00C74040">
                  <w:pPr>
                    <w:pStyle w:val="Default"/>
                    <w:jc w:val="both"/>
                    <w:rPr>
                      <w:color w:val="auto"/>
                      <w:sz w:val="20"/>
                      <w:szCs w:val="20"/>
                    </w:rPr>
                  </w:pPr>
                  <w:r>
                    <w:rPr>
                      <w:rFonts w:eastAsia="Times New Roman"/>
                      <w:sz w:val="20"/>
                      <w:szCs w:val="20"/>
                      <w:lang w:eastAsia="sk-SK"/>
                    </w:rPr>
                    <w:t xml:space="preserve">V prípade smernice (EÚ) 2019/713 dochádza ku goldplatingu pri transpozícii čl. 9. Ide však o opodstatnený goldplating, nakoľko navrhované zmeny sledujú cieľ návrhu zákona </w:t>
                  </w:r>
                  <w:r w:rsidRPr="00FC48C2">
                    <w:rPr>
                      <w:rFonts w:eastAsia="Times New Roman"/>
                      <w:sz w:val="20"/>
                      <w:szCs w:val="20"/>
                      <w:lang w:eastAsia="sk-SK"/>
                    </w:rPr>
                    <w:t>zosúladiť a znížiť trestné sadzby za majetkové a hospodárske trestné činy</w:t>
                  </w:r>
                  <w:r>
                    <w:rPr>
                      <w:rFonts w:eastAsia="Times New Roman"/>
                      <w:sz w:val="20"/>
                      <w:szCs w:val="20"/>
                      <w:lang w:eastAsia="sk-SK"/>
                    </w:rPr>
                    <w:t>. Okrem toho dochádza ku goldplatingu aj z dôvodu, že je potrebné rozlíšiť medzi závažnosťou viacerých konaní, na ktoré odkazujú jednotlivé odseky v čl. 9 a za ktoré určujú trestnú sadzbu v rovnakej výške (napr. dva roky)</w:t>
                  </w:r>
                </w:p>
              </w:tc>
            </w:tr>
            <w:tr w:rsidR="00A7788F">
              <w:trPr>
                <w:trHeight w:val="296"/>
              </w:trPr>
              <w:tc>
                <w:tcPr>
                  <w:tcW w:w="8643" w:type="dxa"/>
                </w:tcPr>
                <w:p w:rsidR="00A7788F" w:rsidRDefault="00A7788F" w:rsidP="00C74040">
                  <w:pPr>
                    <w:pStyle w:val="Default"/>
                    <w:jc w:val="both"/>
                    <w:rPr>
                      <w:rFonts w:ascii="Segoe UI Symbol" w:hAnsi="Segoe UI Symbol" w:cs="Segoe UI Symbol"/>
                      <w:sz w:val="20"/>
                      <w:szCs w:val="20"/>
                    </w:rPr>
                  </w:pPr>
                </w:p>
              </w:tc>
            </w:tr>
          </w:tbl>
          <w:p w:rsidR="001B23B7" w:rsidRPr="00B043B4" w:rsidRDefault="001B23B7" w:rsidP="000800FC">
            <w:pPr>
              <w:jc w:val="both"/>
              <w:rPr>
                <w:rFonts w:ascii="Times New Roman" w:eastAsia="Times New Roman" w:hAnsi="Times New Roman" w:cs="Times New Roman"/>
                <w:i/>
                <w:sz w:val="20"/>
                <w:szCs w:val="20"/>
                <w:lang w:eastAsia="sk-SK"/>
              </w:rPr>
            </w:pPr>
          </w:p>
        </w:tc>
      </w:tr>
      <w:tr w:rsidR="001B23B7" w:rsidRPr="00B043B4" w:rsidTr="00C74040">
        <w:trPr>
          <w:trHeight w:val="70"/>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C74040" w:rsidRDefault="00C74040" w:rsidP="00C74040">
            <w:pPr>
              <w:jc w:val="both"/>
              <w:rPr>
                <w:rFonts w:ascii="Times New Roman" w:eastAsia="Times New Roman" w:hAnsi="Times New Roman" w:cs="Times New Roman"/>
                <w:sz w:val="20"/>
                <w:szCs w:val="20"/>
                <w:lang w:eastAsia="sk-SK"/>
              </w:rPr>
            </w:pPr>
            <w:r w:rsidRPr="004F49DF">
              <w:rPr>
                <w:rFonts w:ascii="Times New Roman" w:eastAsia="Times New Roman" w:hAnsi="Times New Roman" w:cs="Times New Roman"/>
                <w:sz w:val="20"/>
                <w:szCs w:val="20"/>
                <w:lang w:eastAsia="sk-SK"/>
              </w:rPr>
              <w:t xml:space="preserve">Preskúmanie účelnosti navrhovaného </w:t>
            </w:r>
            <w:r>
              <w:rPr>
                <w:rFonts w:ascii="Times New Roman" w:eastAsia="Times New Roman" w:hAnsi="Times New Roman" w:cs="Times New Roman"/>
                <w:sz w:val="20"/>
                <w:szCs w:val="20"/>
                <w:lang w:eastAsia="sk-SK"/>
              </w:rPr>
              <w:t xml:space="preserve">právneho </w:t>
            </w:r>
            <w:r w:rsidRPr="004F49DF">
              <w:rPr>
                <w:rFonts w:ascii="Times New Roman" w:eastAsia="Times New Roman" w:hAnsi="Times New Roman" w:cs="Times New Roman"/>
                <w:sz w:val="20"/>
                <w:szCs w:val="20"/>
                <w:lang w:eastAsia="sk-SK"/>
              </w:rPr>
              <w:t xml:space="preserve">predpisu bude vykonávané priebežne po nadobudnutí jeho účinnosti, pričom sa budú zohľadňovať najmä </w:t>
            </w:r>
            <w:r>
              <w:rPr>
                <w:rFonts w:ascii="Times New Roman" w:eastAsia="Times New Roman" w:hAnsi="Times New Roman" w:cs="Times New Roman"/>
                <w:sz w:val="20"/>
                <w:szCs w:val="20"/>
                <w:lang w:eastAsia="sk-SK"/>
              </w:rPr>
              <w:t xml:space="preserve">vplyvy na dĺžku trestného konania, skúsenosti aplikačnej praxe a vplyvy na ochranu </w:t>
            </w:r>
            <w:r w:rsidRPr="007515DE">
              <w:rPr>
                <w:rFonts w:ascii="Times New Roman" w:eastAsia="Times New Roman" w:hAnsi="Times New Roman" w:cs="Times New Roman"/>
                <w:sz w:val="20"/>
                <w:szCs w:val="20"/>
                <w:lang w:eastAsia="sk-SK"/>
              </w:rPr>
              <w:t>oprávnených</w:t>
            </w:r>
            <w:r>
              <w:rPr>
                <w:rFonts w:ascii="Times New Roman" w:eastAsia="Times New Roman" w:hAnsi="Times New Roman" w:cs="Times New Roman"/>
                <w:sz w:val="20"/>
                <w:szCs w:val="20"/>
                <w:lang w:eastAsia="sk-SK"/>
              </w:rPr>
              <w:t xml:space="preserve"> záujmov osôb, proti ktorým sa vedie trestné konanie a poškodených.</w:t>
            </w:r>
          </w:p>
          <w:p w:rsidR="001B23B7" w:rsidRPr="00B043B4" w:rsidRDefault="001B23B7" w:rsidP="000800FC">
            <w:pPr>
              <w:rPr>
                <w:rFonts w:ascii="Times New Roman" w:eastAsia="Times New Roman" w:hAnsi="Times New Roman" w:cs="Times New Roman"/>
                <w:i/>
                <w:sz w:val="20"/>
                <w:szCs w:val="20"/>
                <w:lang w:eastAsia="sk-SK"/>
              </w:rPr>
            </w:pP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rFonts w:ascii="Times New Roman" w:eastAsia="Times New Roman" w:hAnsi="Times New Roman" w:cs="Times New Roman"/>
                <w:b/>
                <w:sz w:val="20"/>
                <w:szCs w:val="20"/>
                <w:lang w:eastAsia="sk-SK"/>
              </w:rPr>
            </w:pPr>
          </w:p>
          <w:p w:rsidR="001B23B7" w:rsidRPr="002F6ADB" w:rsidRDefault="001B23B7" w:rsidP="00A7788F">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w:t>
            </w:r>
            <w:r w:rsidR="00A340BB" w:rsidRPr="002F6ADB">
              <w:rPr>
                <w:rFonts w:ascii="Times New Roman" w:eastAsia="Times New Roman" w:hAnsi="Times New Roman" w:cs="Times New Roman"/>
                <w:sz w:val="20"/>
                <w:szCs w:val="20"/>
                <w:lang w:eastAsia="sk-SK"/>
              </w:rPr>
              <w:t xml:space="preserve"> vybraných vplyvov</w:t>
            </w:r>
            <w:r w:rsidRPr="002F6ADB">
              <w:rPr>
                <w:rFonts w:ascii="Times New Roman" w:eastAsia="Times New Roman" w:hAnsi="Times New Roman" w:cs="Times New Roman"/>
                <w:sz w:val="20"/>
                <w:szCs w:val="20"/>
                <w:lang w:eastAsia="sk-SK"/>
              </w:rPr>
              <w:t xml:space="preserve"> uskutočnilo v zmysle bodu 9.1. </w:t>
            </w:r>
            <w:r w:rsidR="00A340BB" w:rsidRPr="002F6ADB">
              <w:rPr>
                <w:rFonts w:ascii="Times New Roman" w:eastAsia="Times New Roman" w:hAnsi="Times New Roman" w:cs="Times New Roman"/>
                <w:sz w:val="20"/>
                <w:szCs w:val="20"/>
                <w:lang w:eastAsia="sk-SK"/>
              </w:rPr>
              <w:t>j</w:t>
            </w:r>
            <w:r w:rsidRPr="002F6ADB">
              <w:rPr>
                <w:rFonts w:ascii="Times New Roman" w:eastAsia="Times New Roman" w:hAnsi="Times New Roman" w:cs="Times New Roman"/>
                <w:sz w:val="20"/>
                <w:szCs w:val="20"/>
                <w:lang w:eastAsia="sk-SK"/>
              </w:rPr>
              <w:t>ednotnej metodiky</w:t>
            </w:r>
            <w:r w:rsidR="00A340BB" w:rsidRPr="002F6ADB">
              <w:rPr>
                <w:rFonts w:ascii="Times New Roman" w:eastAsia="Times New Roman" w:hAnsi="Times New Roman" w:cs="Times New Roman"/>
                <w:sz w:val="20"/>
                <w:szCs w:val="20"/>
                <w:lang w:eastAsia="sk-SK"/>
              </w:rPr>
              <w:t>.</w:t>
            </w:r>
          </w:p>
          <w:p w:rsidR="00A7788F" w:rsidRPr="002F6ADB" w:rsidRDefault="00A7788F" w:rsidP="00A7788F">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rFonts w:ascii="Times New Roman" w:eastAsia="Times New Roman" w:hAnsi="Times New Roman" w:cs="Times New Roman"/>
                <w:sz w:val="20"/>
                <w:szCs w:val="20"/>
                <w:lang w:eastAsia="sk-SK"/>
              </w:rPr>
            </w:pPr>
          </w:p>
          <w:p w:rsidR="001B23B7" w:rsidRPr="002F6ADB" w:rsidRDefault="001B23B7" w:rsidP="00A7788F">
            <w:pPr>
              <w:jc w:val="both"/>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C74040"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C7404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187182" w:rsidP="001B4FB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C7404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C740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C7404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C7404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0"/>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 xml:space="preserve">V prípade potreby uveďte doplňujúce informácie k identifikovaným vplyvom a ich analýzam. </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C74040"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Mgr</w:t>
            </w:r>
            <w:r w:rsidRPr="00AC3350">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Michal </w:t>
            </w:r>
            <w:proofErr w:type="spellStart"/>
            <w:r>
              <w:rPr>
                <w:rFonts w:ascii="Times New Roman" w:eastAsia="Times New Roman" w:hAnsi="Times New Roman" w:cs="Times New Roman"/>
                <w:sz w:val="20"/>
                <w:szCs w:val="20"/>
                <w:lang w:eastAsia="sk-SK"/>
              </w:rPr>
              <w:t>Ragan</w:t>
            </w:r>
            <w:proofErr w:type="spellEnd"/>
            <w:r>
              <w:rPr>
                <w:rFonts w:ascii="Times New Roman" w:eastAsia="Times New Roman" w:hAnsi="Times New Roman" w:cs="Times New Roman"/>
                <w:sz w:val="20"/>
                <w:szCs w:val="20"/>
                <w:lang w:eastAsia="sk-SK"/>
              </w:rPr>
              <w:t xml:space="preserve">, sekcia legislatívy, </w:t>
            </w:r>
            <w:hyperlink r:id="rId9" w:history="1">
              <w:r w:rsidRPr="00E04E91">
                <w:rPr>
                  <w:rStyle w:val="Hypertextovprepojenie"/>
                  <w:rFonts w:ascii="Times New Roman" w:eastAsia="Times New Roman" w:hAnsi="Times New Roman" w:cs="Times New Roman"/>
                  <w:sz w:val="20"/>
                  <w:szCs w:val="20"/>
                  <w:lang w:eastAsia="sk-SK"/>
                </w:rPr>
                <w:t>michal.ragan</w:t>
              </w:r>
              <w:r w:rsidRPr="00E04E91">
                <w:rPr>
                  <w:rStyle w:val="Hypertextovprepojenie"/>
                  <w:rFonts w:ascii="Times New Roman" w:eastAsia="Times New Roman" w:hAnsi="Times New Roman" w:cs="Times New Roman"/>
                  <w:sz w:val="20"/>
                  <w:szCs w:val="20"/>
                  <w:lang w:val="en-US" w:eastAsia="sk-SK"/>
                </w:rPr>
                <w:t>@</w:t>
              </w:r>
              <w:r w:rsidRPr="00E04E91">
                <w:rPr>
                  <w:rStyle w:val="Hypertextovprepojenie"/>
                  <w:rFonts w:ascii="Times New Roman" w:eastAsia="Times New Roman" w:hAnsi="Times New Roman" w:cs="Times New Roman"/>
                  <w:sz w:val="20"/>
                  <w:szCs w:val="20"/>
                  <w:lang w:eastAsia="sk-SK"/>
                </w:rPr>
                <w:t>justice.sk</w:t>
              </w:r>
            </w:hyperlink>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C74040" w:rsidP="000800FC">
            <w:pPr>
              <w:rPr>
                <w:rFonts w:ascii="Times New Roman" w:eastAsia="Times New Roman" w:hAnsi="Times New Roman" w:cs="Times New Roman"/>
                <w:sz w:val="20"/>
                <w:szCs w:val="20"/>
                <w:lang w:eastAsia="sk-SK"/>
              </w:rPr>
            </w:pPr>
            <w:r w:rsidRPr="00C74040">
              <w:rPr>
                <w:rFonts w:ascii="Times New Roman" w:eastAsia="Times New Roman" w:hAnsi="Times New Roman" w:cs="Times New Roman"/>
                <w:sz w:val="20"/>
                <w:szCs w:val="20"/>
                <w:lang w:eastAsia="sk-SK"/>
              </w:rPr>
              <w:t xml:space="preserve">Návrh zákona bol vypracovaný participatívnym spôsobom, pričom práce na jeho príprave začali v roku 2021. Prvýkrát bol predložený do medzirezortného pripomienkového konania v decembri 2021. Na podklade výsledkov vyhodnocovania pripomienok vrátane záverov z rozporových konaní predkladateľ vyhodnotil situáciu tak, že je potrebné, s ohľadom na podstatné zmeny v návrhu zákona, vykonať pripomienkové konanie znovu. Preto bol návrh zákona v novom znení predložený do pripomienkového konania opätovne v septembri 2022. Pripomienky, ktoré vzišli v poradí z druhého pripomienkového konania boli vyhodnocované za aktívnej účasti kolégia ministra spravodlivosti a expertných pracovných skupín, ktoré boli vytvorené podľa vecného zamerania pri ministerstve spravodlivosti. Na vyhodnocovaní pripomienok a s tým spojenej odbornej diskusii sa tak zúčastňovalo vyše 100 expertov na trestné právo, prípadne iné relevantné odvetvia. Predložený návrh zákona preto predstavuje materiál, ktorý je v prvom rade odborným pohľadom na vývoj trestnej politiky štátu. </w:t>
            </w:r>
          </w:p>
          <w:p w:rsidR="00C74040" w:rsidRPr="00B043B4" w:rsidRDefault="00C74040"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43B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43B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43B0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A43B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A43B0F"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A43B0F"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A43B0F"/>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B0F" w:rsidRDefault="00A43B0F" w:rsidP="001B23B7">
      <w:pPr>
        <w:spacing w:after="0" w:line="240" w:lineRule="auto"/>
      </w:pPr>
      <w:r>
        <w:separator/>
      </w:r>
    </w:p>
  </w:endnote>
  <w:endnote w:type="continuationSeparator" w:id="0">
    <w:p w:rsidR="00A43B0F" w:rsidRDefault="00A43B0F"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1E2A3D">
          <w:rPr>
            <w:rFonts w:ascii="Times New Roman" w:hAnsi="Times New Roman" w:cs="Times New Roman"/>
            <w:noProof/>
            <w:sz w:val="24"/>
            <w:szCs w:val="24"/>
          </w:rPr>
          <w:t>5</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B0F" w:rsidRDefault="00A43B0F" w:rsidP="001B23B7">
      <w:pPr>
        <w:spacing w:after="0" w:line="240" w:lineRule="auto"/>
      </w:pPr>
      <w:r>
        <w:separator/>
      </w:r>
    </w:p>
  </w:footnote>
  <w:footnote w:type="continuationSeparator" w:id="0">
    <w:p w:rsidR="00A43B0F" w:rsidRDefault="00A43B0F"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56D8C"/>
    <w:multiLevelType w:val="hybridMultilevel"/>
    <w:tmpl w:val="1E24C9D0"/>
    <w:lvl w:ilvl="0" w:tplc="13E829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D348F"/>
    <w:rsid w:val="000F2BE9"/>
    <w:rsid w:val="00113AE4"/>
    <w:rsid w:val="00187182"/>
    <w:rsid w:val="001B23B7"/>
    <w:rsid w:val="001E2A3D"/>
    <w:rsid w:val="001E3562"/>
    <w:rsid w:val="00203EE3"/>
    <w:rsid w:val="002243BB"/>
    <w:rsid w:val="0023360B"/>
    <w:rsid w:val="00243652"/>
    <w:rsid w:val="002F6ADB"/>
    <w:rsid w:val="003145AE"/>
    <w:rsid w:val="00385F93"/>
    <w:rsid w:val="003A057B"/>
    <w:rsid w:val="003A381E"/>
    <w:rsid w:val="00411898"/>
    <w:rsid w:val="00485D6F"/>
    <w:rsid w:val="0049476D"/>
    <w:rsid w:val="004A4383"/>
    <w:rsid w:val="004C6831"/>
    <w:rsid w:val="00591EC6"/>
    <w:rsid w:val="00591ED3"/>
    <w:rsid w:val="006D7E2F"/>
    <w:rsid w:val="006F678E"/>
    <w:rsid w:val="006F6B62"/>
    <w:rsid w:val="00720322"/>
    <w:rsid w:val="0075197E"/>
    <w:rsid w:val="00761208"/>
    <w:rsid w:val="007756BE"/>
    <w:rsid w:val="007B40C1"/>
    <w:rsid w:val="00865E81"/>
    <w:rsid w:val="008801B5"/>
    <w:rsid w:val="00881E07"/>
    <w:rsid w:val="008B222D"/>
    <w:rsid w:val="008C79B7"/>
    <w:rsid w:val="009431E3"/>
    <w:rsid w:val="009475F5"/>
    <w:rsid w:val="009717F5"/>
    <w:rsid w:val="009C424C"/>
    <w:rsid w:val="009E09F7"/>
    <w:rsid w:val="009F4832"/>
    <w:rsid w:val="00A340BB"/>
    <w:rsid w:val="00A43B0F"/>
    <w:rsid w:val="00A7788F"/>
    <w:rsid w:val="00AC30D6"/>
    <w:rsid w:val="00B547F5"/>
    <w:rsid w:val="00B84F87"/>
    <w:rsid w:val="00BA2BF4"/>
    <w:rsid w:val="00C74040"/>
    <w:rsid w:val="00CB08AE"/>
    <w:rsid w:val="00CE6AAE"/>
    <w:rsid w:val="00CF1A25"/>
    <w:rsid w:val="00D2313B"/>
    <w:rsid w:val="00D50F1E"/>
    <w:rsid w:val="00DF357C"/>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D1BF"/>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6D7E2F"/>
    <w:pPr>
      <w:ind w:left="720"/>
      <w:contextualSpacing/>
    </w:pPr>
  </w:style>
  <w:style w:type="character" w:styleId="Hypertextovprepojenie">
    <w:name w:val="Hyperlink"/>
    <w:basedOn w:val="Predvolenpsmoodseku"/>
    <w:uiPriority w:val="99"/>
    <w:unhideWhenUsed/>
    <w:rsid w:val="00C74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l.ragan@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C30350-8A36-4ABC-9D50-AA4AFCEC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2648</Words>
  <Characters>15098</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HANÁKOVÁ Michaela</cp:lastModifiedBy>
  <cp:revision>7</cp:revision>
  <cp:lastPrinted>2023-02-07T09:34:00Z</cp:lastPrinted>
  <dcterms:created xsi:type="dcterms:W3CDTF">2023-01-16T06:57:00Z</dcterms:created>
  <dcterms:modified xsi:type="dcterms:W3CDTF">2023-02-07T09:34:00Z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