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40" w:rsidRPr="00E12CC8" w:rsidRDefault="006B3740" w:rsidP="006B3740">
      <w:pPr>
        <w:pStyle w:val="Nadpis7"/>
        <w:rPr>
          <w:sz w:val="24"/>
          <w:szCs w:val="24"/>
        </w:rPr>
      </w:pPr>
      <w:r w:rsidRPr="00E12CC8">
        <w:rPr>
          <w:sz w:val="24"/>
          <w:szCs w:val="24"/>
        </w:rPr>
        <w:t>TABUĽKA ZHODY</w:t>
      </w:r>
    </w:p>
    <w:p w:rsidR="006B3740" w:rsidRPr="00E12CC8" w:rsidRDefault="006B3740" w:rsidP="006B3740">
      <w:pPr>
        <w:jc w:val="center"/>
        <w:rPr>
          <w:b/>
          <w:bCs/>
          <w:sz w:val="24"/>
        </w:rPr>
      </w:pPr>
      <w:r w:rsidRPr="00E12CC8">
        <w:rPr>
          <w:b/>
          <w:bCs/>
          <w:sz w:val="24"/>
        </w:rPr>
        <w:t>právneho predpisu s právom Európskej únie</w:t>
      </w:r>
    </w:p>
    <w:p w:rsidR="006B3740" w:rsidRPr="00E12CC8" w:rsidRDefault="006B3740" w:rsidP="006B3740">
      <w:pPr>
        <w:jc w:val="center"/>
        <w:rPr>
          <w:sz w:val="24"/>
        </w:rPr>
      </w:pPr>
    </w:p>
    <w:tbl>
      <w:tblPr>
        <w:tblW w:w="10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3402"/>
        <w:gridCol w:w="684"/>
        <w:gridCol w:w="24"/>
        <w:gridCol w:w="567"/>
        <w:gridCol w:w="142"/>
        <w:gridCol w:w="567"/>
        <w:gridCol w:w="2552"/>
        <w:gridCol w:w="425"/>
        <w:gridCol w:w="1226"/>
      </w:tblGrid>
      <w:tr w:rsidR="006B3740" w:rsidRPr="00E12CC8" w:rsidTr="006B3740">
        <w:trPr>
          <w:cantSplit/>
        </w:trPr>
        <w:tc>
          <w:tcPr>
            <w:tcW w:w="4821" w:type="dxa"/>
            <w:gridSpan w:val="4"/>
          </w:tcPr>
          <w:p w:rsidR="007E642F" w:rsidRDefault="007E642F" w:rsidP="007E642F">
            <w:pPr>
              <w:rPr>
                <w:rStyle w:val="Siln"/>
                <w:b w:val="0"/>
                <w:sz w:val="24"/>
              </w:rPr>
            </w:pPr>
            <w:r w:rsidRPr="007E642F">
              <w:rPr>
                <w:rStyle w:val="Siln"/>
                <w:b w:val="0"/>
                <w:sz w:val="24"/>
              </w:rPr>
              <w:t>Smernica Európskeho parlamentu a Rady 2011/62/EÚ z  8. júna 2011 , ktorou sa mení a dopĺňa smernica 2001/83/ES, ktorou sa ustanovuje zákonník Spoločenstva o humánnych liekoch, pokiaľ ide o predchádzanie vstupu falšovaných liekov do legálneho dodávateľského reťazca</w:t>
            </w:r>
            <w:r>
              <w:rPr>
                <w:rStyle w:val="Siln"/>
                <w:b w:val="0"/>
                <w:sz w:val="24"/>
              </w:rPr>
              <w:t>.</w:t>
            </w:r>
            <w:r w:rsidRPr="007E642F">
              <w:rPr>
                <w:rStyle w:val="Siln"/>
                <w:b w:val="0"/>
                <w:sz w:val="24"/>
              </w:rPr>
              <w:t xml:space="preserve"> </w:t>
            </w:r>
          </w:p>
          <w:p w:rsidR="006B3740" w:rsidRPr="007E642F" w:rsidRDefault="007E642F" w:rsidP="007E642F">
            <w:pPr>
              <w:rPr>
                <w:b/>
                <w:sz w:val="24"/>
              </w:rPr>
            </w:pPr>
            <w:r w:rsidRPr="007E642F">
              <w:rPr>
                <w:rStyle w:val="Siln"/>
                <w:b w:val="0"/>
                <w:sz w:val="24"/>
              </w:rPr>
              <w:t>Text s významom pre EHP</w:t>
            </w:r>
          </w:p>
        </w:tc>
        <w:tc>
          <w:tcPr>
            <w:tcW w:w="5479" w:type="dxa"/>
            <w:gridSpan w:val="6"/>
          </w:tcPr>
          <w:p w:rsidR="006B3740" w:rsidRPr="00E12CC8" w:rsidRDefault="006B3740" w:rsidP="00BB374F">
            <w:pPr>
              <w:pStyle w:val="Nadpis8"/>
              <w:jc w:val="left"/>
              <w:rPr>
                <w:sz w:val="24"/>
                <w:szCs w:val="24"/>
              </w:rPr>
            </w:pPr>
            <w:r w:rsidRPr="00C735DE">
              <w:rPr>
                <w:sz w:val="24"/>
                <w:szCs w:val="24"/>
              </w:rPr>
              <w:t xml:space="preserve">Návrh </w:t>
            </w:r>
            <w:r>
              <w:rPr>
                <w:sz w:val="24"/>
                <w:szCs w:val="24"/>
              </w:rPr>
              <w:t>zákona</w:t>
            </w:r>
            <w:r w:rsidRPr="00C735DE">
              <w:rPr>
                <w:sz w:val="24"/>
                <w:szCs w:val="24"/>
              </w:rPr>
              <w:t xml:space="preserve"> z .. 202</w:t>
            </w:r>
            <w:r w:rsidR="00BB374F">
              <w:rPr>
                <w:sz w:val="24"/>
                <w:szCs w:val="24"/>
              </w:rPr>
              <w:t>3</w:t>
            </w:r>
            <w:bookmarkStart w:id="0" w:name="_GoBack"/>
            <w:bookmarkEnd w:id="0"/>
            <w:r w:rsidRPr="00C735DE">
              <w:rPr>
                <w:sz w:val="24"/>
                <w:szCs w:val="24"/>
              </w:rPr>
              <w:t>, ktorým sa mení a  dopĺňa zákon č. 362/2011 Z. z. o liekoch  a zdravotníckych pomôckach a o zmene a doplnení niektorých zákonov v znení neskorších predpisov a ktorým sa menia a dopĺňajú niektoré zákony</w:t>
            </w:r>
          </w:p>
        </w:tc>
      </w:tr>
      <w:tr w:rsidR="006B3740" w:rsidRPr="00E12CC8" w:rsidTr="00C56C20">
        <w:trPr>
          <w:cantSplit/>
        </w:trPr>
        <w:tc>
          <w:tcPr>
            <w:tcW w:w="711" w:type="dxa"/>
          </w:tcPr>
          <w:p w:rsidR="006B3740" w:rsidRPr="00E12CC8" w:rsidRDefault="006B3740" w:rsidP="0087562C">
            <w:pPr>
              <w:jc w:val="center"/>
              <w:rPr>
                <w:sz w:val="24"/>
              </w:rPr>
            </w:pPr>
            <w:r w:rsidRPr="00E12CC8">
              <w:rPr>
                <w:sz w:val="24"/>
              </w:rPr>
              <w:t>1</w:t>
            </w:r>
          </w:p>
        </w:tc>
        <w:tc>
          <w:tcPr>
            <w:tcW w:w="3402" w:type="dxa"/>
          </w:tcPr>
          <w:p w:rsidR="006B3740" w:rsidRPr="00E12CC8" w:rsidRDefault="006B3740" w:rsidP="0087562C">
            <w:pPr>
              <w:jc w:val="center"/>
              <w:rPr>
                <w:sz w:val="24"/>
              </w:rPr>
            </w:pPr>
            <w:r w:rsidRPr="00E12CC8">
              <w:rPr>
                <w:sz w:val="24"/>
              </w:rPr>
              <w:t>2</w:t>
            </w:r>
          </w:p>
        </w:tc>
        <w:tc>
          <w:tcPr>
            <w:tcW w:w="684" w:type="dxa"/>
          </w:tcPr>
          <w:p w:rsidR="006B3740" w:rsidRPr="00E12CC8" w:rsidRDefault="006B3740" w:rsidP="0087562C">
            <w:pPr>
              <w:jc w:val="center"/>
              <w:rPr>
                <w:sz w:val="24"/>
              </w:rPr>
            </w:pPr>
            <w:r w:rsidRPr="00E12CC8">
              <w:rPr>
                <w:sz w:val="24"/>
              </w:rPr>
              <w:t>3</w:t>
            </w:r>
          </w:p>
        </w:tc>
        <w:tc>
          <w:tcPr>
            <w:tcW w:w="733" w:type="dxa"/>
            <w:gridSpan w:val="3"/>
          </w:tcPr>
          <w:p w:rsidR="006B3740" w:rsidRPr="00E12CC8" w:rsidRDefault="006B3740" w:rsidP="0087562C">
            <w:pPr>
              <w:jc w:val="center"/>
              <w:rPr>
                <w:sz w:val="24"/>
              </w:rPr>
            </w:pPr>
            <w:r w:rsidRPr="00E12CC8">
              <w:rPr>
                <w:sz w:val="24"/>
              </w:rPr>
              <w:t>4</w:t>
            </w:r>
          </w:p>
        </w:tc>
        <w:tc>
          <w:tcPr>
            <w:tcW w:w="567" w:type="dxa"/>
          </w:tcPr>
          <w:p w:rsidR="006B3740" w:rsidRPr="00E12CC8" w:rsidRDefault="006B3740" w:rsidP="0087562C">
            <w:pPr>
              <w:jc w:val="center"/>
              <w:rPr>
                <w:sz w:val="24"/>
              </w:rPr>
            </w:pPr>
            <w:r w:rsidRPr="00E12CC8">
              <w:rPr>
                <w:sz w:val="24"/>
              </w:rPr>
              <w:t>5</w:t>
            </w:r>
          </w:p>
        </w:tc>
        <w:tc>
          <w:tcPr>
            <w:tcW w:w="2552" w:type="dxa"/>
          </w:tcPr>
          <w:p w:rsidR="006B3740" w:rsidRPr="00E12CC8" w:rsidRDefault="006B3740" w:rsidP="0087562C">
            <w:pPr>
              <w:jc w:val="center"/>
              <w:rPr>
                <w:sz w:val="24"/>
              </w:rPr>
            </w:pPr>
            <w:r w:rsidRPr="00E12CC8">
              <w:rPr>
                <w:sz w:val="24"/>
              </w:rPr>
              <w:t>6</w:t>
            </w:r>
          </w:p>
        </w:tc>
        <w:tc>
          <w:tcPr>
            <w:tcW w:w="425" w:type="dxa"/>
          </w:tcPr>
          <w:p w:rsidR="006B3740" w:rsidRPr="00E12CC8" w:rsidRDefault="006B3740" w:rsidP="0087562C">
            <w:pPr>
              <w:jc w:val="center"/>
              <w:rPr>
                <w:sz w:val="24"/>
              </w:rPr>
            </w:pPr>
            <w:r w:rsidRPr="00E12CC8">
              <w:rPr>
                <w:sz w:val="24"/>
              </w:rPr>
              <w:t>7</w:t>
            </w:r>
          </w:p>
        </w:tc>
        <w:tc>
          <w:tcPr>
            <w:tcW w:w="1226" w:type="dxa"/>
          </w:tcPr>
          <w:p w:rsidR="006B3740" w:rsidRPr="00E12CC8" w:rsidRDefault="006B3740" w:rsidP="006B3740">
            <w:pPr>
              <w:jc w:val="center"/>
              <w:rPr>
                <w:sz w:val="24"/>
              </w:rPr>
            </w:pPr>
            <w:r w:rsidRPr="00E12CC8">
              <w:rPr>
                <w:sz w:val="24"/>
              </w:rPr>
              <w:t>8</w:t>
            </w:r>
          </w:p>
        </w:tc>
      </w:tr>
      <w:tr w:rsidR="006B3740" w:rsidRPr="00E12CC8" w:rsidTr="00C56C20">
        <w:trPr>
          <w:cantSplit/>
        </w:trPr>
        <w:tc>
          <w:tcPr>
            <w:tcW w:w="711" w:type="dxa"/>
          </w:tcPr>
          <w:p w:rsidR="006B3740" w:rsidRPr="00E12CC8" w:rsidRDefault="006B3740" w:rsidP="0087562C">
            <w:pPr>
              <w:jc w:val="both"/>
              <w:rPr>
                <w:sz w:val="24"/>
              </w:rPr>
            </w:pPr>
            <w:r w:rsidRPr="00E12CC8">
              <w:rPr>
                <w:sz w:val="24"/>
              </w:rPr>
              <w:t xml:space="preserve">Článok </w:t>
            </w:r>
          </w:p>
          <w:p w:rsidR="006B3740" w:rsidRPr="00E12CC8" w:rsidRDefault="006B3740" w:rsidP="0087562C">
            <w:pPr>
              <w:rPr>
                <w:sz w:val="24"/>
              </w:rPr>
            </w:pPr>
            <w:r w:rsidRPr="00E12CC8">
              <w:rPr>
                <w:sz w:val="24"/>
              </w:rPr>
              <w:t>(Č, O, V, P)</w:t>
            </w:r>
          </w:p>
        </w:tc>
        <w:tc>
          <w:tcPr>
            <w:tcW w:w="3402" w:type="dxa"/>
          </w:tcPr>
          <w:p w:rsidR="006B3740" w:rsidRPr="00E12CC8" w:rsidRDefault="006B3740" w:rsidP="0087562C">
            <w:pPr>
              <w:jc w:val="center"/>
              <w:rPr>
                <w:sz w:val="24"/>
              </w:rPr>
            </w:pPr>
            <w:r w:rsidRPr="00E12CC8">
              <w:rPr>
                <w:sz w:val="24"/>
              </w:rPr>
              <w:t>Text</w:t>
            </w:r>
          </w:p>
        </w:tc>
        <w:tc>
          <w:tcPr>
            <w:tcW w:w="684" w:type="dxa"/>
          </w:tcPr>
          <w:p w:rsidR="006B3740" w:rsidRPr="00E12CC8" w:rsidRDefault="006B3740" w:rsidP="0087562C">
            <w:pPr>
              <w:jc w:val="both"/>
              <w:rPr>
                <w:sz w:val="24"/>
              </w:rPr>
            </w:pPr>
            <w:r w:rsidRPr="00E12CC8">
              <w:rPr>
                <w:sz w:val="24"/>
              </w:rPr>
              <w:t>Spôsob</w:t>
            </w:r>
          </w:p>
          <w:p w:rsidR="006B3740" w:rsidRPr="00E12CC8" w:rsidRDefault="006B3740" w:rsidP="0087562C">
            <w:pPr>
              <w:jc w:val="both"/>
              <w:rPr>
                <w:sz w:val="24"/>
              </w:rPr>
            </w:pPr>
            <w:proofErr w:type="spellStart"/>
            <w:r w:rsidRPr="00E12CC8">
              <w:rPr>
                <w:sz w:val="24"/>
              </w:rPr>
              <w:t>transpo-zície</w:t>
            </w:r>
            <w:proofErr w:type="spellEnd"/>
          </w:p>
        </w:tc>
        <w:tc>
          <w:tcPr>
            <w:tcW w:w="591" w:type="dxa"/>
            <w:gridSpan w:val="2"/>
          </w:tcPr>
          <w:p w:rsidR="006B3740" w:rsidRPr="00E12CC8" w:rsidRDefault="006B3740" w:rsidP="0087562C">
            <w:pPr>
              <w:jc w:val="both"/>
              <w:rPr>
                <w:sz w:val="24"/>
              </w:rPr>
            </w:pPr>
            <w:r w:rsidRPr="00E12CC8">
              <w:rPr>
                <w:sz w:val="24"/>
              </w:rPr>
              <w:t>Číslo</w:t>
            </w:r>
          </w:p>
        </w:tc>
        <w:tc>
          <w:tcPr>
            <w:tcW w:w="709" w:type="dxa"/>
            <w:gridSpan w:val="2"/>
          </w:tcPr>
          <w:p w:rsidR="006B3740" w:rsidRPr="00E12CC8" w:rsidRDefault="006B3740" w:rsidP="0087562C">
            <w:pPr>
              <w:pStyle w:val="Spiatonadresanaoblke"/>
              <w:rPr>
                <w:b w:val="0"/>
                <w:bCs w:val="0"/>
                <w:color w:val="auto"/>
                <w:sz w:val="24"/>
                <w:szCs w:val="24"/>
              </w:rPr>
            </w:pPr>
            <w:r w:rsidRPr="00E12CC8">
              <w:rPr>
                <w:b w:val="0"/>
                <w:bCs w:val="0"/>
                <w:color w:val="auto"/>
                <w:sz w:val="24"/>
                <w:szCs w:val="24"/>
              </w:rPr>
              <w:t>Článok (Č, §, O, V, P)</w:t>
            </w:r>
          </w:p>
        </w:tc>
        <w:tc>
          <w:tcPr>
            <w:tcW w:w="2552" w:type="dxa"/>
          </w:tcPr>
          <w:p w:rsidR="006B3740" w:rsidRPr="00E12CC8" w:rsidRDefault="006B3740" w:rsidP="0087562C">
            <w:pPr>
              <w:jc w:val="center"/>
              <w:rPr>
                <w:sz w:val="24"/>
              </w:rPr>
            </w:pPr>
            <w:r w:rsidRPr="00E12CC8">
              <w:rPr>
                <w:sz w:val="24"/>
              </w:rPr>
              <w:t>Text</w:t>
            </w:r>
          </w:p>
        </w:tc>
        <w:tc>
          <w:tcPr>
            <w:tcW w:w="425" w:type="dxa"/>
          </w:tcPr>
          <w:p w:rsidR="006B3740" w:rsidRPr="00E12CC8" w:rsidRDefault="006B3740" w:rsidP="006B3740">
            <w:pPr>
              <w:rPr>
                <w:sz w:val="24"/>
              </w:rPr>
            </w:pPr>
            <w:r w:rsidRPr="00E12CC8">
              <w:rPr>
                <w:sz w:val="24"/>
              </w:rPr>
              <w:t>Zhoda</w:t>
            </w:r>
          </w:p>
        </w:tc>
        <w:tc>
          <w:tcPr>
            <w:tcW w:w="1226" w:type="dxa"/>
          </w:tcPr>
          <w:p w:rsidR="006B3740" w:rsidRPr="00E12CC8" w:rsidRDefault="006B3740" w:rsidP="006B3740">
            <w:pPr>
              <w:rPr>
                <w:sz w:val="24"/>
              </w:rPr>
            </w:pPr>
            <w:r w:rsidRPr="00E12CC8">
              <w:rPr>
                <w:sz w:val="24"/>
              </w:rPr>
              <w:t>Poznámky</w:t>
            </w:r>
          </w:p>
        </w:tc>
      </w:tr>
      <w:tr w:rsidR="007E642F" w:rsidRPr="00E12CC8" w:rsidTr="00C56C20">
        <w:trPr>
          <w:cantSplit/>
        </w:trPr>
        <w:tc>
          <w:tcPr>
            <w:tcW w:w="4797" w:type="dxa"/>
            <w:gridSpan w:val="3"/>
          </w:tcPr>
          <w:p w:rsidR="0034582D" w:rsidRPr="0034582D" w:rsidRDefault="0034582D" w:rsidP="0034582D">
            <w:pPr>
              <w:spacing w:before="50" w:after="50"/>
              <w:ind w:left="1070" w:right="150" w:hanging="1070"/>
              <w:jc w:val="center"/>
              <w:rPr>
                <w:sz w:val="24"/>
              </w:rPr>
            </w:pPr>
            <w:r w:rsidRPr="0034582D">
              <w:rPr>
                <w:sz w:val="24"/>
              </w:rPr>
              <w:lastRenderedPageBreak/>
              <w:t>HLAVA VI</w:t>
            </w:r>
          </w:p>
          <w:p w:rsidR="0034582D" w:rsidRPr="0034582D" w:rsidRDefault="0034582D" w:rsidP="0034582D">
            <w:pPr>
              <w:spacing w:before="50" w:after="50"/>
              <w:ind w:left="1070" w:right="150" w:hanging="1070"/>
              <w:jc w:val="center"/>
              <w:rPr>
                <w:sz w:val="24"/>
              </w:rPr>
            </w:pPr>
            <w:r w:rsidRPr="0034582D">
              <w:rPr>
                <w:sz w:val="24"/>
              </w:rPr>
              <w:t>TRIEDENIE LIEKOV</w:t>
            </w:r>
          </w:p>
          <w:p w:rsidR="0034582D" w:rsidRDefault="0034582D" w:rsidP="0034582D">
            <w:pPr>
              <w:spacing w:before="50" w:after="50"/>
              <w:ind w:left="1070" w:right="150" w:hanging="1070"/>
              <w:jc w:val="center"/>
              <w:rPr>
                <w:sz w:val="24"/>
              </w:rPr>
            </w:pPr>
          </w:p>
          <w:p w:rsidR="0034582D" w:rsidRDefault="0034582D" w:rsidP="0034582D">
            <w:pPr>
              <w:spacing w:before="50" w:after="50"/>
              <w:ind w:left="1070" w:right="150" w:hanging="1070"/>
              <w:jc w:val="center"/>
              <w:rPr>
                <w:sz w:val="24"/>
              </w:rPr>
            </w:pPr>
            <w:r w:rsidRPr="0034582D">
              <w:rPr>
                <w:sz w:val="24"/>
              </w:rPr>
              <w:t>Článok 70</w:t>
            </w:r>
          </w:p>
          <w:p w:rsidR="0034582D" w:rsidRPr="0034582D" w:rsidRDefault="0034582D" w:rsidP="0034582D">
            <w:pPr>
              <w:spacing w:before="50" w:after="50"/>
              <w:ind w:left="1070" w:right="150" w:hanging="1070"/>
              <w:jc w:val="both"/>
              <w:rPr>
                <w:sz w:val="24"/>
              </w:rPr>
            </w:pPr>
            <w:r w:rsidRPr="0034582D">
              <w:rPr>
                <w:sz w:val="24"/>
              </w:rPr>
              <w:t>1. Keď sa udelí povolenie na uvedenie na trh, príslušné orgány určia</w:t>
            </w:r>
          </w:p>
          <w:p w:rsidR="0034582D" w:rsidRPr="0034582D" w:rsidRDefault="0034582D" w:rsidP="0034582D">
            <w:pPr>
              <w:spacing w:before="50" w:after="50"/>
              <w:ind w:left="1070" w:right="150" w:hanging="1070"/>
              <w:jc w:val="both"/>
              <w:rPr>
                <w:sz w:val="24"/>
              </w:rPr>
            </w:pPr>
            <w:r w:rsidRPr="0034582D">
              <w:rPr>
                <w:sz w:val="24"/>
              </w:rPr>
              <w:t>zatriedenie lieku ako:</w:t>
            </w:r>
          </w:p>
          <w:p w:rsidR="0034582D" w:rsidRPr="0034582D" w:rsidRDefault="0034582D" w:rsidP="0034582D">
            <w:pPr>
              <w:spacing w:before="50" w:after="50"/>
              <w:ind w:left="1070" w:right="150" w:hanging="1070"/>
              <w:jc w:val="both"/>
              <w:rPr>
                <w:sz w:val="24"/>
              </w:rPr>
            </w:pPr>
            <w:r w:rsidRPr="0034582D">
              <w:rPr>
                <w:sz w:val="24"/>
              </w:rPr>
              <w:t>— liek viazaný na lekársky predpis,</w:t>
            </w:r>
          </w:p>
          <w:p w:rsidR="0034582D" w:rsidRPr="0034582D" w:rsidRDefault="0034582D" w:rsidP="0034582D">
            <w:pPr>
              <w:spacing w:before="50" w:after="50"/>
              <w:ind w:left="1070" w:right="150" w:hanging="1070"/>
              <w:jc w:val="both"/>
              <w:rPr>
                <w:sz w:val="24"/>
              </w:rPr>
            </w:pPr>
            <w:r w:rsidRPr="0034582D">
              <w:rPr>
                <w:sz w:val="24"/>
              </w:rPr>
              <w:t>— liek neviazaný na lekársky predpis.</w:t>
            </w:r>
          </w:p>
          <w:p w:rsidR="00A52E1C" w:rsidRDefault="0034582D" w:rsidP="0034582D">
            <w:pPr>
              <w:spacing w:before="50" w:after="50"/>
              <w:ind w:left="1070" w:right="150" w:hanging="1070"/>
              <w:jc w:val="both"/>
              <w:rPr>
                <w:sz w:val="24"/>
              </w:rPr>
            </w:pPr>
            <w:r w:rsidRPr="0034582D">
              <w:rPr>
                <w:sz w:val="24"/>
              </w:rPr>
              <w:t>Na tento účel sa použijú kritériá ustanovené v článku 71 ods. 1.</w:t>
            </w:r>
          </w:p>
          <w:p w:rsidR="0034582D" w:rsidRPr="0034582D" w:rsidRDefault="0034582D" w:rsidP="0034582D">
            <w:pPr>
              <w:spacing w:before="50" w:after="50"/>
              <w:ind w:left="1070" w:right="150" w:hanging="1070"/>
              <w:jc w:val="both"/>
              <w:rPr>
                <w:sz w:val="24"/>
              </w:rPr>
            </w:pPr>
            <w:r w:rsidRPr="0034582D">
              <w:rPr>
                <w:sz w:val="24"/>
              </w:rPr>
              <w:t>2.</w:t>
            </w:r>
            <w:r>
              <w:rPr>
                <w:sz w:val="24"/>
              </w:rPr>
              <w:t xml:space="preserve"> Príslušné orgány môžu stanoviť </w:t>
            </w:r>
            <w:proofErr w:type="spellStart"/>
            <w:r w:rsidRPr="0034582D">
              <w:rPr>
                <w:sz w:val="24"/>
              </w:rPr>
              <w:t>podkategórie</w:t>
            </w:r>
            <w:proofErr w:type="spellEnd"/>
            <w:r w:rsidRPr="0034582D">
              <w:rPr>
                <w:sz w:val="24"/>
              </w:rPr>
              <w:t xml:space="preserve"> liekov, ktoré môžu</w:t>
            </w:r>
            <w:r>
              <w:rPr>
                <w:sz w:val="24"/>
              </w:rPr>
              <w:t xml:space="preserve"> </w:t>
            </w:r>
            <w:r w:rsidRPr="0034582D">
              <w:rPr>
                <w:sz w:val="24"/>
              </w:rPr>
              <w:t>byť vydávané len na lekársky predpis. V takom prípade vychádzajú</w:t>
            </w:r>
            <w:r>
              <w:rPr>
                <w:sz w:val="24"/>
              </w:rPr>
              <w:t xml:space="preserve"> </w:t>
            </w:r>
            <w:r w:rsidRPr="0034582D">
              <w:rPr>
                <w:sz w:val="24"/>
              </w:rPr>
              <w:t>z tejto klasifikácie:</w:t>
            </w:r>
          </w:p>
          <w:p w:rsidR="0034582D" w:rsidRPr="0034582D" w:rsidRDefault="0034582D" w:rsidP="0034582D">
            <w:pPr>
              <w:spacing w:before="50" w:after="50"/>
              <w:ind w:left="1070" w:right="150" w:hanging="1070"/>
              <w:jc w:val="both"/>
              <w:rPr>
                <w:sz w:val="24"/>
              </w:rPr>
            </w:pPr>
            <w:r w:rsidRPr="0034582D">
              <w:rPr>
                <w:sz w:val="24"/>
              </w:rPr>
              <w:t xml:space="preserve"> (a) lieky na lekársky predpis s obnoviteľným alebo neobnoviteľným</w:t>
            </w:r>
            <w:r>
              <w:rPr>
                <w:sz w:val="24"/>
              </w:rPr>
              <w:t xml:space="preserve"> </w:t>
            </w:r>
            <w:r w:rsidRPr="0034582D">
              <w:rPr>
                <w:sz w:val="24"/>
              </w:rPr>
              <w:t>výdajom;</w:t>
            </w:r>
          </w:p>
          <w:p w:rsidR="0034582D" w:rsidRPr="0034582D" w:rsidRDefault="0034582D" w:rsidP="0034582D">
            <w:pPr>
              <w:spacing w:before="50" w:after="50"/>
              <w:ind w:left="1070" w:right="150" w:hanging="1070"/>
              <w:jc w:val="both"/>
              <w:rPr>
                <w:sz w:val="24"/>
              </w:rPr>
            </w:pPr>
            <w:r w:rsidRPr="0034582D">
              <w:rPr>
                <w:sz w:val="24"/>
              </w:rPr>
              <w:t xml:space="preserve"> (b) lieky viazané na osobitný lekársky predpis;</w:t>
            </w:r>
          </w:p>
          <w:p w:rsidR="00A52E1C" w:rsidRDefault="0034582D" w:rsidP="0034582D">
            <w:pPr>
              <w:spacing w:before="50" w:after="50"/>
              <w:ind w:left="1070" w:right="150" w:hanging="1070"/>
              <w:jc w:val="both"/>
              <w:rPr>
                <w:sz w:val="24"/>
              </w:rPr>
            </w:pPr>
            <w:r w:rsidRPr="0034582D">
              <w:rPr>
                <w:sz w:val="24"/>
              </w:rPr>
              <w:t xml:space="preserve"> (c) lieky na „obmedzený“; lekársky predpis, vyhradené pre používanie</w:t>
            </w:r>
            <w:r>
              <w:rPr>
                <w:sz w:val="24"/>
              </w:rPr>
              <w:t xml:space="preserve"> </w:t>
            </w:r>
            <w:r w:rsidRPr="0034582D">
              <w:rPr>
                <w:sz w:val="24"/>
              </w:rPr>
              <w:t>v určitom špecializovanom prostredí.</w:t>
            </w:r>
          </w:p>
          <w:p w:rsidR="00A52E1C" w:rsidRDefault="00A52E1C" w:rsidP="007E642F">
            <w:pPr>
              <w:spacing w:before="50" w:after="50"/>
              <w:ind w:left="1070" w:right="150" w:hanging="1070"/>
              <w:jc w:val="both"/>
              <w:rPr>
                <w:sz w:val="24"/>
              </w:rPr>
            </w:pPr>
          </w:p>
          <w:p w:rsidR="00A52E1C" w:rsidRDefault="00A52E1C" w:rsidP="007E642F">
            <w:pPr>
              <w:spacing w:before="50" w:after="50"/>
              <w:ind w:left="1070" w:right="150" w:hanging="1070"/>
              <w:jc w:val="both"/>
              <w:rPr>
                <w:sz w:val="24"/>
              </w:rPr>
            </w:pPr>
          </w:p>
          <w:p w:rsidR="0034582D" w:rsidRPr="0034582D" w:rsidRDefault="0034582D" w:rsidP="0034582D">
            <w:pPr>
              <w:spacing w:before="50" w:after="50"/>
              <w:ind w:left="1070" w:right="150" w:hanging="1070"/>
              <w:jc w:val="center"/>
              <w:rPr>
                <w:sz w:val="24"/>
              </w:rPr>
            </w:pPr>
            <w:r w:rsidRPr="0034582D">
              <w:rPr>
                <w:sz w:val="24"/>
              </w:rPr>
              <w:t>Článok 71</w:t>
            </w:r>
          </w:p>
          <w:p w:rsidR="0034582D" w:rsidRPr="0034582D" w:rsidRDefault="0034582D" w:rsidP="0034582D">
            <w:pPr>
              <w:spacing w:before="50" w:after="50"/>
              <w:ind w:left="1070" w:right="150" w:hanging="1070"/>
              <w:jc w:val="both"/>
              <w:rPr>
                <w:sz w:val="24"/>
              </w:rPr>
            </w:pPr>
            <w:r w:rsidRPr="0034582D">
              <w:rPr>
                <w:sz w:val="24"/>
              </w:rPr>
              <w:t>1. Lieky sú viazané na lekársky predpis, keď:</w:t>
            </w:r>
          </w:p>
          <w:p w:rsidR="0034582D" w:rsidRPr="0034582D" w:rsidRDefault="0034582D" w:rsidP="0034582D">
            <w:pPr>
              <w:spacing w:before="50" w:after="50"/>
              <w:ind w:left="1070" w:right="150" w:hanging="1070"/>
              <w:jc w:val="both"/>
              <w:rPr>
                <w:sz w:val="24"/>
              </w:rPr>
            </w:pPr>
            <w:r w:rsidRPr="0034582D">
              <w:rPr>
                <w:sz w:val="24"/>
              </w:rPr>
              <w:t>— môžu predstavovať priamo alebo nepriamo nebezpečenstvo, aj keď</w:t>
            </w:r>
            <w:r>
              <w:rPr>
                <w:sz w:val="24"/>
              </w:rPr>
              <w:t xml:space="preserve"> </w:t>
            </w:r>
            <w:r w:rsidRPr="0034582D">
              <w:rPr>
                <w:sz w:val="24"/>
              </w:rPr>
              <w:t>sa používajú správne, ak sa užívajú bez lekárskeho dozoru, alebo</w:t>
            </w:r>
            <w:r>
              <w:rPr>
                <w:sz w:val="24"/>
              </w:rPr>
              <w:t xml:space="preserve"> </w:t>
            </w:r>
          </w:p>
          <w:p w:rsidR="0034582D" w:rsidRPr="0034582D" w:rsidRDefault="0034582D" w:rsidP="0034582D">
            <w:pPr>
              <w:spacing w:before="50" w:after="50"/>
              <w:ind w:left="1070" w:right="150" w:hanging="1070"/>
              <w:jc w:val="both"/>
              <w:rPr>
                <w:sz w:val="24"/>
              </w:rPr>
            </w:pPr>
            <w:r w:rsidRPr="0034582D">
              <w:rPr>
                <w:sz w:val="24"/>
              </w:rPr>
              <w:t>— sa často a vo veľkom rozsahu používajú nesprávne a v</w:t>
            </w:r>
            <w:r>
              <w:rPr>
                <w:sz w:val="24"/>
              </w:rPr>
              <w:t> </w:t>
            </w:r>
            <w:r w:rsidRPr="0034582D">
              <w:rPr>
                <w:sz w:val="24"/>
              </w:rPr>
              <w:t>dôsledku</w:t>
            </w:r>
            <w:r>
              <w:rPr>
                <w:sz w:val="24"/>
              </w:rPr>
              <w:t xml:space="preserve"> </w:t>
            </w:r>
            <w:r w:rsidRPr="0034582D">
              <w:rPr>
                <w:sz w:val="24"/>
              </w:rPr>
              <w:t>toho predstavujú priame alebo nepriame nebezpečenstvo pre ľudské</w:t>
            </w:r>
            <w:r>
              <w:rPr>
                <w:sz w:val="24"/>
              </w:rPr>
              <w:t xml:space="preserve"> </w:t>
            </w:r>
            <w:r w:rsidRPr="0034582D">
              <w:rPr>
                <w:sz w:val="24"/>
              </w:rPr>
              <w:t>zdravie, alebo</w:t>
            </w:r>
          </w:p>
          <w:p w:rsidR="0034582D" w:rsidRPr="0034582D" w:rsidRDefault="0034582D" w:rsidP="0034582D">
            <w:pPr>
              <w:spacing w:before="50" w:after="50"/>
              <w:ind w:left="1070" w:right="150" w:hanging="1070"/>
              <w:jc w:val="both"/>
              <w:rPr>
                <w:sz w:val="24"/>
              </w:rPr>
            </w:pPr>
            <w:r w:rsidRPr="0034582D">
              <w:rPr>
                <w:sz w:val="24"/>
              </w:rPr>
              <w:t>— obsahujú látky alebo preparáty z nich, ktorých pôsobenie a/alebo</w:t>
            </w:r>
            <w:r>
              <w:rPr>
                <w:sz w:val="24"/>
              </w:rPr>
              <w:t xml:space="preserve"> </w:t>
            </w:r>
            <w:r w:rsidRPr="0034582D">
              <w:rPr>
                <w:sz w:val="24"/>
              </w:rPr>
              <w:t>nežiaduce účinky vyžadujú ďalší výskum, alebo</w:t>
            </w:r>
          </w:p>
          <w:p w:rsidR="0034582D" w:rsidRPr="0034582D" w:rsidRDefault="0034582D" w:rsidP="0034582D">
            <w:pPr>
              <w:spacing w:before="50" w:after="50"/>
              <w:ind w:left="1070" w:right="150" w:hanging="1070"/>
              <w:jc w:val="both"/>
              <w:rPr>
                <w:sz w:val="24"/>
              </w:rPr>
            </w:pPr>
            <w:r w:rsidRPr="0034582D">
              <w:rPr>
                <w:sz w:val="24"/>
              </w:rPr>
              <w:t xml:space="preserve">— zvyčajne ich predpisuje lekár na </w:t>
            </w:r>
            <w:proofErr w:type="spellStart"/>
            <w:r w:rsidRPr="0034582D">
              <w:rPr>
                <w:sz w:val="24"/>
              </w:rPr>
              <w:t>parenterálne</w:t>
            </w:r>
            <w:proofErr w:type="spellEnd"/>
            <w:r w:rsidRPr="0034582D">
              <w:rPr>
                <w:sz w:val="24"/>
              </w:rPr>
              <w:t xml:space="preserve"> podanie.</w:t>
            </w:r>
          </w:p>
          <w:p w:rsidR="0034582D" w:rsidRPr="0034582D" w:rsidRDefault="0034582D" w:rsidP="0034582D">
            <w:pPr>
              <w:spacing w:before="50" w:after="50"/>
              <w:ind w:left="1070" w:right="150" w:hanging="1070"/>
              <w:jc w:val="both"/>
              <w:rPr>
                <w:sz w:val="24"/>
              </w:rPr>
            </w:pPr>
            <w:r w:rsidRPr="0034582D">
              <w:rPr>
                <w:sz w:val="24"/>
              </w:rPr>
              <w:t xml:space="preserve">2. Pri zostavovaní </w:t>
            </w:r>
            <w:proofErr w:type="spellStart"/>
            <w:r w:rsidRPr="0034582D">
              <w:rPr>
                <w:sz w:val="24"/>
              </w:rPr>
              <w:t>podkategórie</w:t>
            </w:r>
            <w:proofErr w:type="spellEnd"/>
            <w:r w:rsidRPr="0034582D">
              <w:rPr>
                <w:sz w:val="24"/>
              </w:rPr>
              <w:t xml:space="preserve"> liekov viazaných na osobitný</w:t>
            </w:r>
            <w:r>
              <w:rPr>
                <w:sz w:val="24"/>
              </w:rPr>
              <w:t xml:space="preserve"> </w:t>
            </w:r>
            <w:r w:rsidRPr="0034582D">
              <w:rPr>
                <w:sz w:val="24"/>
              </w:rPr>
              <w:t>lekársky predpis členské štáty zohľadnia tieto faktory:</w:t>
            </w:r>
          </w:p>
          <w:p w:rsidR="0034582D" w:rsidRPr="0034582D" w:rsidRDefault="0034582D" w:rsidP="0034582D">
            <w:pPr>
              <w:spacing w:before="50" w:after="50"/>
              <w:ind w:left="1070" w:right="150" w:hanging="1070"/>
              <w:jc w:val="both"/>
              <w:rPr>
                <w:sz w:val="24"/>
              </w:rPr>
            </w:pPr>
            <w:r w:rsidRPr="0034582D">
              <w:rPr>
                <w:sz w:val="24"/>
              </w:rPr>
              <w:lastRenderedPageBreak/>
              <w:t>— liek obsahuje, v nevyňatom množstve látku klasifikovanú ako</w:t>
            </w:r>
            <w:r>
              <w:rPr>
                <w:sz w:val="24"/>
              </w:rPr>
              <w:t xml:space="preserve"> </w:t>
            </w:r>
            <w:r w:rsidRPr="0034582D">
              <w:rPr>
                <w:sz w:val="24"/>
              </w:rPr>
              <w:t>omamná látka alebo psychotropná látka v zmysle platných medzinárodných dohovorov, ako sú dohovory Organizácie spojených</w:t>
            </w:r>
            <w:r>
              <w:rPr>
                <w:sz w:val="24"/>
              </w:rPr>
              <w:t xml:space="preserve"> </w:t>
            </w:r>
            <w:r w:rsidRPr="0034582D">
              <w:rPr>
                <w:sz w:val="24"/>
              </w:rPr>
              <w:t>národov z roku 1961 a 1971, alebo</w:t>
            </w:r>
          </w:p>
          <w:p w:rsidR="0034582D" w:rsidRPr="0034582D" w:rsidRDefault="0034582D" w:rsidP="0034582D">
            <w:pPr>
              <w:spacing w:before="50" w:after="50"/>
              <w:ind w:left="1070" w:right="150" w:hanging="1070"/>
              <w:jc w:val="both"/>
              <w:rPr>
                <w:sz w:val="24"/>
              </w:rPr>
            </w:pPr>
            <w:r w:rsidRPr="0034582D">
              <w:rPr>
                <w:sz w:val="24"/>
              </w:rPr>
              <w:t>— liek môže pri nesprávnom použití predstavovať významné riziko</w:t>
            </w:r>
            <w:r>
              <w:rPr>
                <w:sz w:val="24"/>
              </w:rPr>
              <w:t xml:space="preserve"> </w:t>
            </w:r>
            <w:r w:rsidRPr="0034582D">
              <w:rPr>
                <w:sz w:val="24"/>
              </w:rPr>
              <w:t>liečebného zneužitia, viesť k návyku alebo závislosti, alebo môže</w:t>
            </w:r>
            <w:r>
              <w:rPr>
                <w:sz w:val="24"/>
              </w:rPr>
              <w:t xml:space="preserve"> </w:t>
            </w:r>
            <w:r w:rsidRPr="0034582D">
              <w:rPr>
                <w:sz w:val="24"/>
              </w:rPr>
              <w:t>byť zneužitý na nelegálne účely, alebo</w:t>
            </w:r>
          </w:p>
          <w:p w:rsidR="0034582D" w:rsidRPr="0034582D" w:rsidRDefault="0034582D" w:rsidP="0034582D">
            <w:pPr>
              <w:spacing w:before="50" w:after="50"/>
              <w:ind w:left="1070" w:right="150" w:hanging="1070"/>
              <w:jc w:val="both"/>
              <w:rPr>
                <w:sz w:val="24"/>
              </w:rPr>
            </w:pPr>
            <w:r w:rsidRPr="0034582D">
              <w:rPr>
                <w:sz w:val="24"/>
              </w:rPr>
              <w:t>— liek obsahuje látku, ktorá sa z dôvodu svojej novosti alebo vlastností</w:t>
            </w:r>
            <w:r>
              <w:rPr>
                <w:sz w:val="24"/>
              </w:rPr>
              <w:t xml:space="preserve"> </w:t>
            </w:r>
            <w:r w:rsidRPr="0034582D">
              <w:rPr>
                <w:sz w:val="24"/>
              </w:rPr>
              <w:t>môže považovať za patriacu do skupiny uvedenej v druhej zarážke</w:t>
            </w:r>
            <w:r>
              <w:rPr>
                <w:sz w:val="24"/>
              </w:rPr>
              <w:t xml:space="preserve"> </w:t>
            </w:r>
            <w:r w:rsidRPr="0034582D">
              <w:rPr>
                <w:sz w:val="24"/>
              </w:rPr>
              <w:t>ako preventívne opatrenie.</w:t>
            </w:r>
          </w:p>
          <w:p w:rsidR="0034582D" w:rsidRPr="0034582D" w:rsidRDefault="0034582D" w:rsidP="0034582D">
            <w:pPr>
              <w:spacing w:before="50" w:after="50"/>
              <w:ind w:left="1070" w:right="150" w:hanging="1070"/>
              <w:jc w:val="both"/>
              <w:rPr>
                <w:sz w:val="24"/>
              </w:rPr>
            </w:pPr>
            <w:r w:rsidRPr="0034582D">
              <w:rPr>
                <w:sz w:val="24"/>
              </w:rPr>
              <w:t xml:space="preserve">3. Pri zostavovaní </w:t>
            </w:r>
            <w:proofErr w:type="spellStart"/>
            <w:r w:rsidRPr="0034582D">
              <w:rPr>
                <w:sz w:val="24"/>
              </w:rPr>
              <w:t>podkategórie</w:t>
            </w:r>
            <w:proofErr w:type="spellEnd"/>
            <w:r w:rsidRPr="0034582D">
              <w:rPr>
                <w:sz w:val="24"/>
              </w:rPr>
              <w:t xml:space="preserve"> liekov viazaných na obmedzený</w:t>
            </w:r>
            <w:r>
              <w:rPr>
                <w:sz w:val="24"/>
              </w:rPr>
              <w:t xml:space="preserve"> </w:t>
            </w:r>
            <w:r w:rsidRPr="0034582D">
              <w:rPr>
                <w:sz w:val="24"/>
              </w:rPr>
              <w:t>lekársky predpis členské štáty zohľadnia tieto faktory:</w:t>
            </w:r>
          </w:p>
          <w:p w:rsidR="0034582D" w:rsidRPr="0034582D" w:rsidRDefault="0034582D" w:rsidP="0034582D">
            <w:pPr>
              <w:spacing w:before="50" w:after="50"/>
              <w:ind w:left="1070" w:right="150" w:hanging="1070"/>
              <w:jc w:val="both"/>
              <w:rPr>
                <w:sz w:val="24"/>
              </w:rPr>
            </w:pPr>
            <w:r w:rsidRPr="0034582D">
              <w:rPr>
                <w:sz w:val="24"/>
              </w:rPr>
              <w:t>— liek kvôli svojim farmakologickým vlastnostiam alebo pre novosť,</w:t>
            </w:r>
            <w:r>
              <w:rPr>
                <w:sz w:val="24"/>
              </w:rPr>
              <w:t xml:space="preserve"> </w:t>
            </w:r>
            <w:r w:rsidRPr="0034582D">
              <w:rPr>
                <w:sz w:val="24"/>
              </w:rPr>
              <w:t>alebo v záujme verejného zdravotníctva, je vyhradený na liečbu,</w:t>
            </w:r>
            <w:r>
              <w:rPr>
                <w:sz w:val="24"/>
              </w:rPr>
              <w:t xml:space="preserve"> </w:t>
            </w:r>
            <w:r w:rsidRPr="0034582D">
              <w:rPr>
                <w:sz w:val="24"/>
              </w:rPr>
              <w:t>ktorá sa môže uskutočňovať iba v nemocničnom prostredí,</w:t>
            </w:r>
          </w:p>
          <w:p w:rsidR="0034582D" w:rsidRPr="0034582D" w:rsidRDefault="0034582D" w:rsidP="0034582D">
            <w:pPr>
              <w:spacing w:before="50" w:after="50"/>
              <w:ind w:left="1070" w:right="150" w:hanging="1070"/>
              <w:jc w:val="both"/>
              <w:rPr>
                <w:sz w:val="24"/>
              </w:rPr>
            </w:pPr>
            <w:r w:rsidRPr="0034582D">
              <w:rPr>
                <w:sz w:val="24"/>
              </w:rPr>
              <w:t>— liek sa používa pri liečbe stavov, ktoré musia byť diagnostikované</w:t>
            </w:r>
            <w:r>
              <w:rPr>
                <w:sz w:val="24"/>
              </w:rPr>
              <w:t xml:space="preserve"> </w:t>
            </w:r>
            <w:r w:rsidRPr="0034582D">
              <w:rPr>
                <w:sz w:val="24"/>
              </w:rPr>
              <w:t>v nemocničnom prostredí, alebo v ustanovizniach s</w:t>
            </w:r>
            <w:r>
              <w:rPr>
                <w:sz w:val="24"/>
              </w:rPr>
              <w:t> </w:t>
            </w:r>
            <w:r w:rsidRPr="0034582D">
              <w:rPr>
                <w:sz w:val="24"/>
              </w:rPr>
              <w:t>primeraným</w:t>
            </w:r>
            <w:r>
              <w:rPr>
                <w:sz w:val="24"/>
              </w:rPr>
              <w:t xml:space="preserve"> </w:t>
            </w:r>
            <w:r w:rsidRPr="0034582D">
              <w:rPr>
                <w:sz w:val="24"/>
              </w:rPr>
              <w:t>diagnostickým vybavením, napriek tomu, že podávanie</w:t>
            </w:r>
            <w:r>
              <w:rPr>
                <w:sz w:val="24"/>
              </w:rPr>
              <w:t xml:space="preserve"> </w:t>
            </w:r>
            <w:r w:rsidRPr="0034582D">
              <w:rPr>
                <w:sz w:val="24"/>
              </w:rPr>
              <w:t>a sledovanie sa môže uskutočniť aj inde, alebo</w:t>
            </w:r>
          </w:p>
          <w:p w:rsidR="0034582D" w:rsidRPr="0034582D" w:rsidRDefault="0034582D" w:rsidP="0034582D">
            <w:pPr>
              <w:spacing w:before="50" w:after="50"/>
              <w:ind w:left="1070" w:right="150" w:hanging="1070"/>
              <w:jc w:val="both"/>
              <w:rPr>
                <w:sz w:val="24"/>
              </w:rPr>
            </w:pPr>
            <w:r w:rsidRPr="0034582D">
              <w:rPr>
                <w:sz w:val="24"/>
              </w:rPr>
              <w:t>— liek je určený pre ambulantných pacientov, ale jeho používanie</w:t>
            </w:r>
            <w:r>
              <w:rPr>
                <w:sz w:val="24"/>
              </w:rPr>
              <w:t xml:space="preserve"> </w:t>
            </w:r>
            <w:r w:rsidRPr="0034582D">
              <w:rPr>
                <w:sz w:val="24"/>
              </w:rPr>
              <w:t>môže vyvolať veľmi závažné nežiaduce účinky, ktoré si vyžadujú</w:t>
            </w:r>
            <w:r>
              <w:rPr>
                <w:sz w:val="24"/>
              </w:rPr>
              <w:t xml:space="preserve"> </w:t>
            </w:r>
            <w:r w:rsidRPr="0034582D">
              <w:rPr>
                <w:sz w:val="24"/>
              </w:rPr>
              <w:t>predpis vypracovaný podľa požiadaviek špecialistu a</w:t>
            </w:r>
            <w:r>
              <w:rPr>
                <w:sz w:val="24"/>
              </w:rPr>
              <w:t> </w:t>
            </w:r>
            <w:r w:rsidRPr="0034582D">
              <w:rPr>
                <w:sz w:val="24"/>
              </w:rPr>
              <w:t>špeciálny</w:t>
            </w:r>
            <w:r>
              <w:rPr>
                <w:sz w:val="24"/>
              </w:rPr>
              <w:t xml:space="preserve"> </w:t>
            </w:r>
            <w:r w:rsidRPr="0034582D">
              <w:rPr>
                <w:sz w:val="24"/>
              </w:rPr>
              <w:t>dozor počas celej liečby.</w:t>
            </w:r>
          </w:p>
          <w:p w:rsidR="0034582D" w:rsidRPr="0034582D" w:rsidRDefault="0034582D" w:rsidP="0034582D">
            <w:pPr>
              <w:spacing w:before="50" w:after="50"/>
              <w:ind w:left="1070" w:right="150" w:hanging="1070"/>
              <w:jc w:val="both"/>
              <w:rPr>
                <w:sz w:val="24"/>
              </w:rPr>
            </w:pPr>
            <w:r w:rsidRPr="0034582D">
              <w:rPr>
                <w:sz w:val="24"/>
              </w:rPr>
              <w:t>4. Príslušný orgán môže upustiť od uplatňovania odsekov 1, 2 a 3 so</w:t>
            </w:r>
          </w:p>
          <w:p w:rsidR="0034582D" w:rsidRPr="0034582D" w:rsidRDefault="0034582D" w:rsidP="0034582D">
            <w:pPr>
              <w:spacing w:before="50" w:after="50"/>
              <w:ind w:left="1070" w:right="150" w:hanging="1070"/>
              <w:jc w:val="both"/>
              <w:rPr>
                <w:sz w:val="24"/>
              </w:rPr>
            </w:pPr>
            <w:r w:rsidRPr="0034582D">
              <w:rPr>
                <w:sz w:val="24"/>
              </w:rPr>
              <w:t>zreteľom na:</w:t>
            </w:r>
          </w:p>
          <w:p w:rsidR="0034582D" w:rsidRPr="0034582D" w:rsidRDefault="0034582D" w:rsidP="0034582D">
            <w:pPr>
              <w:spacing w:before="50" w:after="50"/>
              <w:ind w:left="1070" w:right="150" w:hanging="1070"/>
              <w:jc w:val="both"/>
              <w:rPr>
                <w:sz w:val="24"/>
              </w:rPr>
            </w:pPr>
            <w:r w:rsidRPr="0034582D">
              <w:rPr>
                <w:sz w:val="24"/>
              </w:rPr>
              <w:t>(a) maximálnu jednotlivú dávku, maximálnu dennú dávku, koncentráciu</w:t>
            </w:r>
          </w:p>
          <w:p w:rsidR="0034582D" w:rsidRPr="0034582D" w:rsidRDefault="0034582D" w:rsidP="0034582D">
            <w:pPr>
              <w:spacing w:before="50" w:after="50"/>
              <w:ind w:left="1070" w:right="150" w:hanging="1070"/>
              <w:jc w:val="both"/>
              <w:rPr>
                <w:sz w:val="24"/>
              </w:rPr>
            </w:pPr>
            <w:r w:rsidRPr="0034582D">
              <w:rPr>
                <w:sz w:val="24"/>
              </w:rPr>
              <w:lastRenderedPageBreak/>
              <w:t>(silu), liekovú formu, niektoré typy balenia; a/alebo</w:t>
            </w:r>
          </w:p>
          <w:p w:rsidR="0034582D" w:rsidRDefault="0034582D" w:rsidP="0034582D">
            <w:pPr>
              <w:spacing w:before="50" w:after="50"/>
              <w:ind w:left="1070" w:right="150" w:hanging="1070"/>
              <w:jc w:val="both"/>
              <w:rPr>
                <w:sz w:val="24"/>
              </w:rPr>
            </w:pPr>
            <w:r w:rsidRPr="0034582D">
              <w:rPr>
                <w:sz w:val="24"/>
              </w:rPr>
              <w:t>(b) iné okolnosti používania, ktoré špecifikoval.</w:t>
            </w:r>
          </w:p>
          <w:p w:rsidR="0034582D" w:rsidRPr="0034582D" w:rsidRDefault="0034582D" w:rsidP="0034582D">
            <w:pPr>
              <w:spacing w:before="50" w:after="50"/>
              <w:ind w:left="1070" w:right="150" w:hanging="1070"/>
              <w:jc w:val="both"/>
              <w:rPr>
                <w:sz w:val="24"/>
              </w:rPr>
            </w:pPr>
          </w:p>
          <w:p w:rsidR="0034582D" w:rsidRPr="0034582D" w:rsidRDefault="0034582D" w:rsidP="0034582D">
            <w:pPr>
              <w:spacing w:before="50" w:after="50"/>
              <w:ind w:left="1070" w:right="150" w:hanging="1070"/>
              <w:jc w:val="both"/>
              <w:rPr>
                <w:sz w:val="24"/>
              </w:rPr>
            </w:pPr>
            <w:r w:rsidRPr="0034582D">
              <w:rPr>
                <w:sz w:val="24"/>
              </w:rPr>
              <w:t xml:space="preserve">5. Ak príslušný orgán nezaradí lieky do </w:t>
            </w:r>
            <w:proofErr w:type="spellStart"/>
            <w:r w:rsidRPr="0034582D">
              <w:rPr>
                <w:sz w:val="24"/>
              </w:rPr>
              <w:t>podkategórií</w:t>
            </w:r>
            <w:proofErr w:type="spellEnd"/>
            <w:r w:rsidRPr="0034582D">
              <w:rPr>
                <w:sz w:val="24"/>
              </w:rPr>
              <w:t xml:space="preserve"> uvedených</w:t>
            </w:r>
            <w:r>
              <w:rPr>
                <w:sz w:val="24"/>
              </w:rPr>
              <w:t xml:space="preserve"> </w:t>
            </w:r>
            <w:r w:rsidRPr="0034582D">
              <w:rPr>
                <w:sz w:val="24"/>
              </w:rPr>
              <w:t>v článku 70 ods. 2, bez ohľadu na to zohľadní kritériá uvedené</w:t>
            </w:r>
            <w:r>
              <w:rPr>
                <w:sz w:val="24"/>
              </w:rPr>
              <w:t xml:space="preserve"> </w:t>
            </w:r>
            <w:r w:rsidRPr="0034582D">
              <w:rPr>
                <w:sz w:val="24"/>
              </w:rPr>
              <w:t>v odsekoch 2 a 3 tohto článku pri určovaní, či niektorý liek bude</w:t>
            </w:r>
            <w:r>
              <w:rPr>
                <w:sz w:val="24"/>
              </w:rPr>
              <w:t xml:space="preserve"> </w:t>
            </w:r>
            <w:r w:rsidRPr="0034582D">
              <w:rPr>
                <w:sz w:val="24"/>
              </w:rPr>
              <w:t>zatriedený ako liek viazaný iba na lekársky predpis.</w:t>
            </w:r>
          </w:p>
          <w:p w:rsidR="0034582D" w:rsidRDefault="0034582D" w:rsidP="0034582D">
            <w:pPr>
              <w:spacing w:before="50" w:after="50"/>
              <w:ind w:left="1070" w:right="150" w:hanging="1070"/>
              <w:jc w:val="both"/>
              <w:rPr>
                <w:sz w:val="24"/>
              </w:rPr>
            </w:pPr>
          </w:p>
          <w:p w:rsidR="0034582D" w:rsidRPr="0034582D" w:rsidRDefault="0034582D" w:rsidP="0034582D">
            <w:pPr>
              <w:spacing w:before="50" w:after="50"/>
              <w:ind w:left="1070" w:right="150" w:hanging="1070"/>
              <w:jc w:val="center"/>
              <w:rPr>
                <w:sz w:val="24"/>
              </w:rPr>
            </w:pPr>
            <w:r w:rsidRPr="0034582D">
              <w:rPr>
                <w:sz w:val="24"/>
              </w:rPr>
              <w:t>Článok 72</w:t>
            </w:r>
          </w:p>
          <w:p w:rsidR="0034582D" w:rsidRDefault="0034582D" w:rsidP="0034582D">
            <w:pPr>
              <w:spacing w:before="50" w:after="50"/>
              <w:ind w:left="1070" w:right="150" w:hanging="1070"/>
              <w:jc w:val="both"/>
              <w:rPr>
                <w:sz w:val="24"/>
              </w:rPr>
            </w:pPr>
            <w:r w:rsidRPr="0034582D">
              <w:rPr>
                <w:sz w:val="24"/>
              </w:rPr>
              <w:t>Liekmi vydávanými bez lekárskeho predpisu sú tie, ktoré nespĺňajú</w:t>
            </w:r>
            <w:r>
              <w:rPr>
                <w:sz w:val="24"/>
              </w:rPr>
              <w:t xml:space="preserve"> </w:t>
            </w:r>
            <w:r w:rsidRPr="0034582D">
              <w:rPr>
                <w:sz w:val="24"/>
              </w:rPr>
              <w:t>kritériá vymenované v článku 71.</w:t>
            </w:r>
          </w:p>
          <w:p w:rsidR="0034582D" w:rsidRPr="0034582D" w:rsidRDefault="0034582D" w:rsidP="0034582D">
            <w:pPr>
              <w:spacing w:before="50" w:after="50"/>
              <w:ind w:left="1070" w:right="150" w:hanging="1070"/>
              <w:jc w:val="both"/>
              <w:rPr>
                <w:sz w:val="24"/>
              </w:rPr>
            </w:pPr>
          </w:p>
          <w:p w:rsidR="0034582D" w:rsidRPr="0034582D" w:rsidRDefault="0034582D" w:rsidP="0034582D">
            <w:pPr>
              <w:spacing w:before="50" w:after="50"/>
              <w:ind w:left="1070" w:right="150" w:hanging="1070"/>
              <w:jc w:val="center"/>
              <w:rPr>
                <w:sz w:val="24"/>
              </w:rPr>
            </w:pPr>
            <w:r w:rsidRPr="0034582D">
              <w:rPr>
                <w:sz w:val="24"/>
              </w:rPr>
              <w:t>Článok 73</w:t>
            </w:r>
          </w:p>
          <w:p w:rsidR="0034582D" w:rsidRPr="0034582D" w:rsidRDefault="0034582D" w:rsidP="0034582D">
            <w:pPr>
              <w:spacing w:before="50" w:after="50"/>
              <w:ind w:left="1070" w:right="150" w:hanging="1070"/>
              <w:jc w:val="both"/>
              <w:rPr>
                <w:sz w:val="24"/>
              </w:rPr>
            </w:pPr>
            <w:r w:rsidRPr="0034582D">
              <w:rPr>
                <w:sz w:val="24"/>
              </w:rPr>
              <w:t>Príslušné orgány vypracujú zoznam liekov, ktoré sú na ich území</w:t>
            </w:r>
          </w:p>
          <w:p w:rsidR="0034582D" w:rsidRPr="0034582D" w:rsidRDefault="0034582D" w:rsidP="0034582D">
            <w:pPr>
              <w:spacing w:before="50" w:after="50"/>
              <w:ind w:left="1070" w:right="150" w:hanging="1070"/>
              <w:jc w:val="both"/>
              <w:rPr>
                <w:sz w:val="24"/>
              </w:rPr>
            </w:pPr>
            <w:r w:rsidRPr="0034582D">
              <w:rPr>
                <w:sz w:val="24"/>
              </w:rPr>
              <w:t>viazané na lekársky predpis, s uvedením v prípade potreby kategórie</w:t>
            </w:r>
          </w:p>
          <w:p w:rsidR="00A52E1C" w:rsidRDefault="0034582D" w:rsidP="0034582D">
            <w:pPr>
              <w:spacing w:before="50" w:after="50"/>
              <w:ind w:left="1070" w:right="150" w:hanging="1070"/>
              <w:jc w:val="both"/>
              <w:rPr>
                <w:sz w:val="24"/>
              </w:rPr>
            </w:pPr>
            <w:r w:rsidRPr="0034582D">
              <w:rPr>
                <w:sz w:val="24"/>
              </w:rPr>
              <w:t>triedenia. Tento zoznam budú každoročne aktualizovať.</w:t>
            </w:r>
          </w:p>
          <w:p w:rsidR="00A52E1C" w:rsidRDefault="00A52E1C" w:rsidP="007E642F">
            <w:pPr>
              <w:spacing w:before="50" w:after="50"/>
              <w:ind w:left="1070" w:right="150" w:hanging="1070"/>
              <w:jc w:val="both"/>
              <w:rPr>
                <w:sz w:val="24"/>
              </w:rPr>
            </w:pPr>
          </w:p>
          <w:p w:rsidR="0034582D" w:rsidRPr="0034582D" w:rsidRDefault="0034582D" w:rsidP="0034582D">
            <w:pPr>
              <w:spacing w:before="50" w:after="50"/>
              <w:ind w:left="1070" w:right="150" w:hanging="1070"/>
              <w:jc w:val="center"/>
              <w:rPr>
                <w:sz w:val="24"/>
              </w:rPr>
            </w:pPr>
            <w:r w:rsidRPr="0034582D">
              <w:rPr>
                <w:sz w:val="24"/>
              </w:rPr>
              <w:t>Článok 74</w:t>
            </w:r>
          </w:p>
          <w:p w:rsidR="0034582D" w:rsidRDefault="0034582D" w:rsidP="0034582D">
            <w:pPr>
              <w:spacing w:before="50" w:after="50"/>
              <w:ind w:left="1070" w:right="150" w:hanging="1070"/>
              <w:jc w:val="both"/>
              <w:rPr>
                <w:sz w:val="24"/>
              </w:rPr>
            </w:pPr>
            <w:r w:rsidRPr="0034582D">
              <w:rPr>
                <w:sz w:val="24"/>
              </w:rPr>
              <w:t>Ak sa príslušné orgány dozvedia nové fakty, posúdia ich a</w:t>
            </w:r>
            <w:r>
              <w:rPr>
                <w:sz w:val="24"/>
              </w:rPr>
              <w:t> </w:t>
            </w:r>
            <w:r w:rsidRPr="0034582D">
              <w:rPr>
                <w:sz w:val="24"/>
              </w:rPr>
              <w:t>prípadne</w:t>
            </w:r>
            <w:r>
              <w:rPr>
                <w:sz w:val="24"/>
              </w:rPr>
              <w:t xml:space="preserve"> </w:t>
            </w:r>
            <w:r w:rsidRPr="0034582D">
              <w:rPr>
                <w:sz w:val="24"/>
              </w:rPr>
              <w:t>zmenia klasifikáciu lieku uplatnením kritérií uvedených v článku 71.</w:t>
            </w:r>
          </w:p>
          <w:p w:rsidR="0034582D" w:rsidRPr="0034582D" w:rsidRDefault="0034582D" w:rsidP="0034582D">
            <w:pPr>
              <w:spacing w:before="50" w:after="50"/>
              <w:ind w:left="1070" w:right="150" w:hanging="1070"/>
              <w:jc w:val="both"/>
              <w:rPr>
                <w:sz w:val="24"/>
              </w:rPr>
            </w:pPr>
          </w:p>
          <w:p w:rsidR="0034582D" w:rsidRPr="0034582D" w:rsidRDefault="0034582D" w:rsidP="0034582D">
            <w:pPr>
              <w:spacing w:before="50" w:after="50"/>
              <w:ind w:left="1070" w:right="150" w:hanging="1070"/>
              <w:jc w:val="center"/>
              <w:rPr>
                <w:sz w:val="24"/>
              </w:rPr>
            </w:pPr>
            <w:r w:rsidRPr="0034582D">
              <w:rPr>
                <w:sz w:val="24"/>
              </w:rPr>
              <w:t>Článok 74a</w:t>
            </w:r>
          </w:p>
          <w:p w:rsidR="00A52E1C" w:rsidRDefault="0034582D" w:rsidP="0034582D">
            <w:pPr>
              <w:spacing w:before="50" w:after="50"/>
              <w:ind w:left="1070" w:right="150" w:hanging="1070"/>
              <w:jc w:val="both"/>
              <w:rPr>
                <w:sz w:val="24"/>
              </w:rPr>
            </w:pPr>
            <w:r w:rsidRPr="0034582D">
              <w:rPr>
                <w:sz w:val="24"/>
              </w:rPr>
              <w:t>Ak bola povolená zmena klasifikácie lieku na základe významných</w:t>
            </w:r>
            <w:r>
              <w:rPr>
                <w:sz w:val="24"/>
              </w:rPr>
              <w:t xml:space="preserve"> </w:t>
            </w:r>
            <w:r w:rsidRPr="0034582D">
              <w:rPr>
                <w:sz w:val="24"/>
              </w:rPr>
              <w:t>predklinických skúšok alebo klinických skúšok, príslušný orgán sa</w:t>
            </w:r>
            <w:r>
              <w:rPr>
                <w:sz w:val="24"/>
              </w:rPr>
              <w:t xml:space="preserve"> </w:t>
            </w:r>
            <w:r w:rsidRPr="0034582D">
              <w:rPr>
                <w:sz w:val="24"/>
              </w:rPr>
              <w:t>nemôže odvolávať na tieto skúšky alebo pokusy pri posudzovaní</w:t>
            </w:r>
            <w:r>
              <w:rPr>
                <w:sz w:val="24"/>
              </w:rPr>
              <w:t xml:space="preserve"> </w:t>
            </w:r>
            <w:r w:rsidRPr="0034582D">
              <w:rPr>
                <w:sz w:val="24"/>
              </w:rPr>
              <w:t>žiadosti iného žiadateľa o vydanie povolenia na uvedenie na trh alebo</w:t>
            </w:r>
            <w:r>
              <w:rPr>
                <w:sz w:val="24"/>
              </w:rPr>
              <w:t xml:space="preserve"> </w:t>
            </w:r>
            <w:r w:rsidRPr="0034582D">
              <w:rPr>
                <w:sz w:val="24"/>
              </w:rPr>
              <w:t>držiteľa povolenia na uvedenie na trh týkajúcej sa zmeny klasifikácie tej</w:t>
            </w:r>
            <w:r>
              <w:rPr>
                <w:sz w:val="24"/>
              </w:rPr>
              <w:t xml:space="preserve"> </w:t>
            </w:r>
            <w:r w:rsidRPr="0034582D">
              <w:rPr>
                <w:sz w:val="24"/>
              </w:rPr>
              <w:t>istej látky, a to v priebehu jedného roku od povolenia prvotnej zmeny.</w:t>
            </w:r>
          </w:p>
          <w:p w:rsidR="00A52E1C" w:rsidRDefault="00A52E1C" w:rsidP="007E642F">
            <w:pPr>
              <w:spacing w:before="50" w:after="50"/>
              <w:ind w:left="1070" w:right="150" w:hanging="1070"/>
              <w:jc w:val="both"/>
              <w:rPr>
                <w:sz w:val="24"/>
              </w:rPr>
            </w:pPr>
          </w:p>
          <w:p w:rsidR="00A52E1C" w:rsidRDefault="00A52E1C" w:rsidP="007E642F">
            <w:pPr>
              <w:spacing w:before="50" w:after="50"/>
              <w:ind w:left="1070" w:right="150" w:hanging="1070"/>
              <w:jc w:val="both"/>
              <w:rPr>
                <w:sz w:val="24"/>
              </w:rPr>
            </w:pPr>
          </w:p>
          <w:p w:rsidR="0034582D" w:rsidRPr="0034582D" w:rsidRDefault="0034582D" w:rsidP="0034582D">
            <w:pPr>
              <w:spacing w:before="50" w:after="50"/>
              <w:ind w:left="1070" w:right="150" w:hanging="1070"/>
              <w:jc w:val="center"/>
              <w:rPr>
                <w:sz w:val="24"/>
              </w:rPr>
            </w:pPr>
            <w:r w:rsidRPr="0034582D">
              <w:rPr>
                <w:sz w:val="24"/>
              </w:rPr>
              <w:t>Článok 75</w:t>
            </w:r>
          </w:p>
          <w:p w:rsidR="00833558" w:rsidRDefault="0034582D" w:rsidP="0034582D">
            <w:pPr>
              <w:spacing w:before="50" w:after="50"/>
              <w:ind w:left="1070" w:right="150" w:hanging="1070"/>
              <w:jc w:val="both"/>
              <w:rPr>
                <w:sz w:val="24"/>
              </w:rPr>
            </w:pPr>
            <w:r w:rsidRPr="0034582D">
              <w:rPr>
                <w:sz w:val="24"/>
              </w:rPr>
              <w:t xml:space="preserve">Každý rok </w:t>
            </w:r>
            <w:r w:rsidR="00833558">
              <w:rPr>
                <w:sz w:val="24"/>
              </w:rPr>
              <w:t xml:space="preserve">členské štáty oznámia Komisii a </w:t>
            </w:r>
          </w:p>
          <w:p w:rsidR="00833558" w:rsidRDefault="0034582D" w:rsidP="0034582D">
            <w:pPr>
              <w:spacing w:before="50" w:after="50"/>
              <w:ind w:left="1070" w:right="150" w:hanging="1070"/>
              <w:jc w:val="both"/>
              <w:rPr>
                <w:sz w:val="24"/>
              </w:rPr>
            </w:pPr>
            <w:r w:rsidRPr="0034582D">
              <w:rPr>
                <w:sz w:val="24"/>
              </w:rPr>
              <w:t>ostatným členským štátom</w:t>
            </w:r>
            <w:r>
              <w:rPr>
                <w:sz w:val="24"/>
              </w:rPr>
              <w:t xml:space="preserve"> </w:t>
            </w:r>
            <w:r w:rsidRPr="0034582D">
              <w:rPr>
                <w:sz w:val="24"/>
              </w:rPr>
              <w:t xml:space="preserve">zmeny, ktoré boli </w:t>
            </w:r>
          </w:p>
          <w:p w:rsidR="00A52E1C" w:rsidRDefault="0034582D" w:rsidP="007E642F">
            <w:pPr>
              <w:spacing w:before="50" w:after="50"/>
              <w:ind w:left="1070" w:right="150" w:hanging="1070"/>
              <w:jc w:val="both"/>
              <w:rPr>
                <w:sz w:val="24"/>
              </w:rPr>
            </w:pPr>
            <w:r w:rsidRPr="0034582D">
              <w:rPr>
                <w:sz w:val="24"/>
              </w:rPr>
              <w:t>vykonané v zozname uvedenom v článku 73.</w:t>
            </w:r>
          </w:p>
          <w:p w:rsidR="00A52E1C" w:rsidRPr="00E12CC8" w:rsidRDefault="00A52E1C" w:rsidP="007E642F">
            <w:pPr>
              <w:spacing w:before="50" w:after="50"/>
              <w:ind w:left="1070" w:right="150" w:hanging="1070"/>
              <w:jc w:val="both"/>
              <w:rPr>
                <w:sz w:val="24"/>
              </w:rPr>
            </w:pPr>
          </w:p>
        </w:tc>
        <w:tc>
          <w:tcPr>
            <w:tcW w:w="733" w:type="dxa"/>
            <w:gridSpan w:val="3"/>
          </w:tcPr>
          <w:p w:rsidR="007E642F" w:rsidRPr="00E12CC8" w:rsidRDefault="007E642F" w:rsidP="0087562C">
            <w:pPr>
              <w:jc w:val="both"/>
              <w:rPr>
                <w:sz w:val="24"/>
              </w:rPr>
            </w:pPr>
          </w:p>
        </w:tc>
        <w:tc>
          <w:tcPr>
            <w:tcW w:w="567" w:type="dxa"/>
          </w:tcPr>
          <w:p w:rsidR="007E642F" w:rsidRPr="00E12CC8" w:rsidRDefault="007E642F" w:rsidP="0087562C">
            <w:pPr>
              <w:pStyle w:val="Spiatonadresanaoblke"/>
              <w:rPr>
                <w:b w:val="0"/>
                <w:bCs w:val="0"/>
                <w:color w:val="auto"/>
                <w:sz w:val="24"/>
                <w:szCs w:val="24"/>
              </w:rPr>
            </w:pPr>
          </w:p>
        </w:tc>
        <w:tc>
          <w:tcPr>
            <w:tcW w:w="2552" w:type="dxa"/>
          </w:tcPr>
          <w:p w:rsidR="0039578F" w:rsidRPr="00EE0ADB" w:rsidRDefault="0039578F" w:rsidP="0039578F">
            <w:pPr>
              <w:spacing w:before="50" w:after="50"/>
              <w:ind w:right="150"/>
              <w:jc w:val="both"/>
              <w:rPr>
                <w:sz w:val="24"/>
              </w:rPr>
            </w:pPr>
          </w:p>
          <w:p w:rsidR="00EE0ADB" w:rsidRPr="00EE0ADB" w:rsidRDefault="00EE0ADB" w:rsidP="0039578F">
            <w:pPr>
              <w:spacing w:before="50" w:after="50"/>
              <w:ind w:right="150"/>
              <w:jc w:val="both"/>
              <w:rPr>
                <w:sz w:val="24"/>
              </w:rPr>
            </w:pPr>
          </w:p>
          <w:p w:rsidR="00EE0ADB" w:rsidRPr="00EE0ADB" w:rsidRDefault="00EE0ADB" w:rsidP="0039578F">
            <w:pPr>
              <w:spacing w:before="50" w:after="50"/>
              <w:ind w:right="150"/>
              <w:jc w:val="both"/>
              <w:rPr>
                <w:sz w:val="24"/>
              </w:rPr>
            </w:pPr>
          </w:p>
          <w:p w:rsidR="00EE0ADB" w:rsidRPr="00EE0ADB" w:rsidRDefault="00EE0ADB" w:rsidP="0039578F">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Pr="0028400C" w:rsidRDefault="0028400C" w:rsidP="0028400C">
            <w:pPr>
              <w:spacing w:before="50" w:after="50"/>
              <w:ind w:right="150"/>
              <w:jc w:val="both"/>
              <w:rPr>
                <w:sz w:val="24"/>
              </w:rPr>
            </w:pPr>
            <w:r w:rsidRPr="0028400C">
              <w:rPr>
                <w:sz w:val="24"/>
              </w:rPr>
              <w:t>31.</w:t>
            </w:r>
            <w:r w:rsidRPr="0028400C">
              <w:rPr>
                <w:sz w:val="24"/>
              </w:rPr>
              <w:tab/>
              <w:t>V § 51 odsek 5 znie:</w:t>
            </w:r>
          </w:p>
          <w:p w:rsidR="0028400C" w:rsidRDefault="0028400C" w:rsidP="0028400C">
            <w:pPr>
              <w:spacing w:before="50" w:after="50"/>
              <w:ind w:right="150"/>
              <w:jc w:val="both"/>
              <w:rPr>
                <w:sz w:val="24"/>
              </w:rPr>
            </w:pPr>
            <w:r w:rsidRPr="0028400C">
              <w:rPr>
                <w:sz w:val="24"/>
              </w:rPr>
              <w:t xml:space="preserve">„(5) Štátny ústav zatriedi humánny liek do skupiny humánnych </w:t>
            </w:r>
            <w:r w:rsidRPr="0028400C">
              <w:rPr>
                <w:sz w:val="24"/>
              </w:rPr>
              <w:lastRenderedPageBreak/>
              <w:t xml:space="preserve">liekov, ktorých výdaj nie je viazaný na lekársky predpis, ak humánny liek nespĺňa kritériá uvedené v odsekoch 2 až 4. </w:t>
            </w: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r w:rsidRPr="0028400C">
              <w:rPr>
                <w:sz w:val="24"/>
              </w:rPr>
              <w:t>Štátny ústav môže rozhodnutím  obmedziť výdaj lieku, ktorý nie je viazaný na lekársky predpis, ak humánny liek môže predstavovať riziko poškodenia zdravia, ktorému možno zamedziť určením obmedzení pre takýto výdaj. Za takéto obmedzenie sa považuje stanovenie dávky pre jednotlivé podania, obmedzenie množstva lieku vydávaného jednému pacientovi v určenom období</w:t>
            </w:r>
            <w:r>
              <w:rPr>
                <w:sz w:val="24"/>
              </w:rPr>
              <w:t xml:space="preserve"> </w:t>
            </w:r>
            <w:r w:rsidRPr="0028400C">
              <w:rPr>
                <w:sz w:val="24"/>
              </w:rPr>
              <w:t>alebo upozornenie pre lekárnika pri výdaji lieku.“.</w:t>
            </w: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28400C" w:rsidRDefault="0028400C" w:rsidP="0028400C">
            <w:pPr>
              <w:spacing w:before="50" w:after="50"/>
              <w:ind w:right="150"/>
              <w:jc w:val="both"/>
              <w:rPr>
                <w:sz w:val="24"/>
              </w:rPr>
            </w:pPr>
          </w:p>
          <w:p w:rsidR="00EE0ADB" w:rsidRPr="00EE0ADB" w:rsidRDefault="0028400C" w:rsidP="0028400C">
            <w:pPr>
              <w:spacing w:before="50" w:after="50"/>
              <w:ind w:right="150"/>
              <w:jc w:val="both"/>
              <w:rPr>
                <w:sz w:val="24"/>
              </w:rPr>
            </w:pPr>
            <w:r w:rsidRPr="0028400C">
              <w:rPr>
                <w:sz w:val="24"/>
              </w:rPr>
              <w:t>Štátny ústav môže rozhodnutím  obmedziť výdaj lieku, ktorý nie je viazaný na lekársky predpis, ak humánny liek môže predstavovať riziko poškodenia zdravia, ktorému možno zamedziť určením obmedzení pre takýto výdaj. Za takéto obmedzenie sa považuje stanovenie dávky pre jednotlivé podania, obmedzenie množstva lieku vydávaného jednému pacientovi v určenom období alebo upozornenie pre lekárnika pri výdaji lieku.“.</w:t>
            </w:r>
          </w:p>
        </w:tc>
        <w:tc>
          <w:tcPr>
            <w:tcW w:w="425" w:type="dxa"/>
          </w:tcPr>
          <w:p w:rsidR="007E642F" w:rsidRPr="00E12CC8" w:rsidRDefault="007E642F" w:rsidP="00EC7998">
            <w:pPr>
              <w:jc w:val="center"/>
              <w:rPr>
                <w:sz w:val="24"/>
              </w:rPr>
            </w:pPr>
          </w:p>
        </w:tc>
        <w:tc>
          <w:tcPr>
            <w:tcW w:w="1226" w:type="dxa"/>
          </w:tcPr>
          <w:p w:rsidR="007E642F" w:rsidRPr="00E12CC8" w:rsidRDefault="007E642F" w:rsidP="0087562C">
            <w:pPr>
              <w:jc w:val="both"/>
              <w:rPr>
                <w:sz w:val="24"/>
              </w:rPr>
            </w:pPr>
          </w:p>
        </w:tc>
      </w:tr>
    </w:tbl>
    <w:p w:rsidR="00935A4F" w:rsidRDefault="00935A4F"/>
    <w:sectPr w:rsidR="0093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5C1A"/>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0484F19"/>
    <w:multiLevelType w:val="hybridMultilevel"/>
    <w:tmpl w:val="0EA8A2FA"/>
    <w:lvl w:ilvl="0" w:tplc="7B0856F2">
      <w:start w:val="13"/>
      <w:numFmt w:val="bullet"/>
      <w:lvlText w:val="-"/>
      <w:lvlJc w:val="left"/>
      <w:pPr>
        <w:ind w:left="644" w:hanging="360"/>
      </w:pPr>
      <w:rPr>
        <w:rFonts w:ascii="Calibri" w:eastAsia="Calibri" w:hAnsi="Calibri" w:cs="Calibri"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2" w15:restartNumberingAfterBreak="0">
    <w:nsid w:val="65F0666B"/>
    <w:multiLevelType w:val="hybridMultilevel"/>
    <w:tmpl w:val="1AB85E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F813985"/>
    <w:multiLevelType w:val="hybridMultilevel"/>
    <w:tmpl w:val="6A7A5A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40"/>
    <w:rsid w:val="00016D16"/>
    <w:rsid w:val="0014224D"/>
    <w:rsid w:val="001B460B"/>
    <w:rsid w:val="00217ED4"/>
    <w:rsid w:val="0024342D"/>
    <w:rsid w:val="0025740F"/>
    <w:rsid w:val="0028400C"/>
    <w:rsid w:val="002E6AFA"/>
    <w:rsid w:val="00326819"/>
    <w:rsid w:val="0034582D"/>
    <w:rsid w:val="00364D74"/>
    <w:rsid w:val="00385DB9"/>
    <w:rsid w:val="0039578F"/>
    <w:rsid w:val="003F7D85"/>
    <w:rsid w:val="00406B1F"/>
    <w:rsid w:val="004E3FFF"/>
    <w:rsid w:val="004E7777"/>
    <w:rsid w:val="00510A4D"/>
    <w:rsid w:val="005A2B75"/>
    <w:rsid w:val="006B3740"/>
    <w:rsid w:val="007C034B"/>
    <w:rsid w:val="007E642F"/>
    <w:rsid w:val="00833558"/>
    <w:rsid w:val="008424BD"/>
    <w:rsid w:val="008B0154"/>
    <w:rsid w:val="00935A4F"/>
    <w:rsid w:val="00957276"/>
    <w:rsid w:val="00A52E1C"/>
    <w:rsid w:val="00B67084"/>
    <w:rsid w:val="00B83B20"/>
    <w:rsid w:val="00BB374F"/>
    <w:rsid w:val="00BB7DF9"/>
    <w:rsid w:val="00C56C20"/>
    <w:rsid w:val="00C675FD"/>
    <w:rsid w:val="00CC1FE0"/>
    <w:rsid w:val="00EC4129"/>
    <w:rsid w:val="00EC5DB5"/>
    <w:rsid w:val="00EC7998"/>
    <w:rsid w:val="00EE0A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9C6B"/>
  <w15:chartTrackingRefBased/>
  <w15:docId w15:val="{5F4D7E39-1089-4191-B489-5775110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3740"/>
    <w:pPr>
      <w:spacing w:after="0" w:line="240" w:lineRule="auto"/>
    </w:pPr>
    <w:rPr>
      <w:rFonts w:ascii="Times New Roman" w:eastAsia="Times New Roman" w:hAnsi="Times New Roman" w:cs="Times New Roman"/>
      <w:sz w:val="28"/>
      <w:szCs w:val="24"/>
      <w:lang w:eastAsia="sk-SK"/>
    </w:rPr>
  </w:style>
  <w:style w:type="paragraph" w:styleId="Nadpis7">
    <w:name w:val="heading 7"/>
    <w:basedOn w:val="Normlny"/>
    <w:next w:val="Normlny"/>
    <w:link w:val="Nadpis7Char"/>
    <w:uiPriority w:val="9"/>
    <w:qFormat/>
    <w:rsid w:val="006B3740"/>
    <w:pPr>
      <w:keepNext/>
      <w:jc w:val="center"/>
      <w:outlineLvl w:val="6"/>
    </w:pPr>
    <w:rPr>
      <w:b/>
      <w:bCs/>
      <w:szCs w:val="28"/>
      <w:lang w:eastAsia="cs-CZ"/>
    </w:rPr>
  </w:style>
  <w:style w:type="paragraph" w:styleId="Nadpis8">
    <w:name w:val="heading 8"/>
    <w:basedOn w:val="Normlny"/>
    <w:next w:val="Normlny"/>
    <w:link w:val="Nadpis8Char"/>
    <w:uiPriority w:val="9"/>
    <w:qFormat/>
    <w:rsid w:val="006B3740"/>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B3740"/>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rsid w:val="006B3740"/>
    <w:rPr>
      <w:rFonts w:ascii="Times New Roman" w:eastAsia="Times New Roman" w:hAnsi="Times New Roman" w:cs="Times New Roman"/>
      <w:sz w:val="28"/>
      <w:szCs w:val="28"/>
      <w:lang w:eastAsia="cs-CZ"/>
    </w:rPr>
  </w:style>
  <w:style w:type="paragraph" w:styleId="Spiatonadresanaoblke">
    <w:name w:val="envelope return"/>
    <w:basedOn w:val="Normlny"/>
    <w:uiPriority w:val="99"/>
    <w:semiHidden/>
    <w:rsid w:val="006B3740"/>
    <w:rPr>
      <w:b/>
      <w:bCs/>
      <w:shadow/>
      <w:color w:val="000000"/>
      <w:sz w:val="20"/>
      <w:szCs w:val="20"/>
      <w:lang w:eastAsia="cs-CZ"/>
    </w:rPr>
  </w:style>
  <w:style w:type="character" w:customStyle="1" w:styleId="no-parag">
    <w:name w:val="no-parag"/>
    <w:basedOn w:val="Predvolenpsmoodseku"/>
    <w:rsid w:val="00EC7998"/>
  </w:style>
  <w:style w:type="character" w:styleId="Siln">
    <w:name w:val="Strong"/>
    <w:basedOn w:val="Predvolenpsmoodseku"/>
    <w:uiPriority w:val="22"/>
    <w:qFormat/>
    <w:rsid w:val="007E642F"/>
    <w:rPr>
      <w:b/>
      <w:bCs/>
    </w:rPr>
  </w:style>
  <w:style w:type="paragraph" w:styleId="Odsekzoznamu">
    <w:name w:val="List Paragraph"/>
    <w:aliases w:val="body,Odsek zoznamu2,Odsek,Odsek zoznamu1"/>
    <w:basedOn w:val="Normlny"/>
    <w:link w:val="OdsekzoznamuChar"/>
    <w:uiPriority w:val="34"/>
    <w:qFormat/>
    <w:rsid w:val="003F7D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3F7D85"/>
  </w:style>
  <w:style w:type="paragraph" w:customStyle="1" w:styleId="xxmsonormal">
    <w:name w:val="x_xmsonormal"/>
    <w:basedOn w:val="Normlny"/>
    <w:rsid w:val="003F7D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7907">
      <w:bodyDiv w:val="1"/>
      <w:marLeft w:val="0"/>
      <w:marRight w:val="0"/>
      <w:marTop w:val="0"/>
      <w:marBottom w:val="0"/>
      <w:divBdr>
        <w:top w:val="none" w:sz="0" w:space="0" w:color="auto"/>
        <w:left w:val="none" w:sz="0" w:space="0" w:color="auto"/>
        <w:bottom w:val="none" w:sz="0" w:space="0" w:color="auto"/>
        <w:right w:val="none" w:sz="0" w:space="0" w:color="auto"/>
      </w:divBdr>
    </w:div>
    <w:div w:id="528418724">
      <w:bodyDiv w:val="1"/>
      <w:marLeft w:val="0"/>
      <w:marRight w:val="0"/>
      <w:marTop w:val="0"/>
      <w:marBottom w:val="0"/>
      <w:divBdr>
        <w:top w:val="none" w:sz="0" w:space="0" w:color="auto"/>
        <w:left w:val="none" w:sz="0" w:space="0" w:color="auto"/>
        <w:bottom w:val="none" w:sz="0" w:space="0" w:color="auto"/>
        <w:right w:val="none" w:sz="0" w:space="0" w:color="auto"/>
      </w:divBdr>
      <w:divsChild>
        <w:div w:id="449324055">
          <w:marLeft w:val="0"/>
          <w:marRight w:val="0"/>
          <w:marTop w:val="0"/>
          <w:marBottom w:val="0"/>
          <w:divBdr>
            <w:top w:val="none" w:sz="0" w:space="0" w:color="auto"/>
            <w:left w:val="none" w:sz="0" w:space="0" w:color="auto"/>
            <w:bottom w:val="none" w:sz="0" w:space="0" w:color="auto"/>
            <w:right w:val="none" w:sz="0" w:space="0" w:color="auto"/>
          </w:divBdr>
        </w:div>
      </w:divsChild>
    </w:div>
    <w:div w:id="715200682">
      <w:bodyDiv w:val="1"/>
      <w:marLeft w:val="0"/>
      <w:marRight w:val="0"/>
      <w:marTop w:val="0"/>
      <w:marBottom w:val="0"/>
      <w:divBdr>
        <w:top w:val="none" w:sz="0" w:space="0" w:color="auto"/>
        <w:left w:val="none" w:sz="0" w:space="0" w:color="auto"/>
        <w:bottom w:val="none" w:sz="0" w:space="0" w:color="auto"/>
        <w:right w:val="none" w:sz="0" w:space="0" w:color="auto"/>
      </w:divBdr>
    </w:div>
    <w:div w:id="1000159963">
      <w:bodyDiv w:val="1"/>
      <w:marLeft w:val="0"/>
      <w:marRight w:val="0"/>
      <w:marTop w:val="0"/>
      <w:marBottom w:val="0"/>
      <w:divBdr>
        <w:top w:val="none" w:sz="0" w:space="0" w:color="auto"/>
        <w:left w:val="none" w:sz="0" w:space="0" w:color="auto"/>
        <w:bottom w:val="none" w:sz="0" w:space="0" w:color="auto"/>
        <w:right w:val="none" w:sz="0" w:space="0" w:color="auto"/>
      </w:divBdr>
    </w:div>
    <w:div w:id="1450785416">
      <w:bodyDiv w:val="1"/>
      <w:marLeft w:val="0"/>
      <w:marRight w:val="0"/>
      <w:marTop w:val="0"/>
      <w:marBottom w:val="0"/>
      <w:divBdr>
        <w:top w:val="none" w:sz="0" w:space="0" w:color="auto"/>
        <w:left w:val="none" w:sz="0" w:space="0" w:color="auto"/>
        <w:bottom w:val="none" w:sz="0" w:space="0" w:color="auto"/>
        <w:right w:val="none" w:sz="0" w:space="0" w:color="auto"/>
      </w:divBdr>
    </w:div>
    <w:div w:id="1670912113">
      <w:bodyDiv w:val="1"/>
      <w:marLeft w:val="0"/>
      <w:marRight w:val="0"/>
      <w:marTop w:val="0"/>
      <w:marBottom w:val="0"/>
      <w:divBdr>
        <w:top w:val="none" w:sz="0" w:space="0" w:color="auto"/>
        <w:left w:val="none" w:sz="0" w:space="0" w:color="auto"/>
        <w:bottom w:val="none" w:sz="0" w:space="0" w:color="auto"/>
        <w:right w:val="none" w:sz="0" w:space="0" w:color="auto"/>
      </w:divBdr>
    </w:div>
    <w:div w:id="21024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882</Words>
  <Characters>5031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3</cp:revision>
  <dcterms:created xsi:type="dcterms:W3CDTF">2023-01-09T14:22:00Z</dcterms:created>
  <dcterms:modified xsi:type="dcterms:W3CDTF">2023-02-09T09:51:00Z</dcterms:modified>
</cp:coreProperties>
</file>