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69" w:rsidRPr="00476E46" w:rsidRDefault="003E0E69" w:rsidP="003E0E6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3E0E69" w:rsidRPr="00476E46" w:rsidRDefault="003E0E69" w:rsidP="003E0E6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návrhu zákona</w:t>
      </w:r>
      <w:r w:rsidRPr="00476E46">
        <w:rPr>
          <w:rFonts w:ascii="Book Antiqua" w:hAnsi="Book Antiqua"/>
          <w:sz w:val="22"/>
          <w:szCs w:val="22"/>
        </w:rPr>
        <w:t xml:space="preserve"> </w:t>
      </w:r>
      <w:r w:rsidRPr="00476E4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3E0E69" w:rsidRPr="00476E46" w:rsidRDefault="003E0E69" w:rsidP="003E0E6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 </w:t>
      </w:r>
    </w:p>
    <w:p w:rsidR="003E0E69" w:rsidRPr="00476E46" w:rsidRDefault="003E0E69" w:rsidP="003E0E69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Navrhovateľ zákona:</w:t>
      </w:r>
      <w:r>
        <w:rPr>
          <w:rFonts w:ascii="Book Antiqua" w:hAnsi="Book Antiqua"/>
          <w:sz w:val="22"/>
          <w:szCs w:val="22"/>
        </w:rPr>
        <w:t xml:space="preserve"> poslanec </w:t>
      </w:r>
      <w:r w:rsidRPr="00476E46">
        <w:rPr>
          <w:rFonts w:ascii="Book Antiqua" w:hAnsi="Book Antiqua"/>
          <w:sz w:val="22"/>
          <w:szCs w:val="22"/>
        </w:rPr>
        <w:t>Národnej rady Slovenskej republiky</w:t>
      </w:r>
      <w:r>
        <w:rPr>
          <w:rFonts w:ascii="Book Antiqua" w:hAnsi="Book Antiqua"/>
          <w:sz w:val="22"/>
          <w:szCs w:val="22"/>
        </w:rPr>
        <w:t xml:space="preserve"> Milan Vetrák</w:t>
      </w:r>
    </w:p>
    <w:p w:rsidR="003E0E69" w:rsidRPr="00476E46" w:rsidRDefault="003E0E69" w:rsidP="003E0E6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 </w:t>
      </w:r>
    </w:p>
    <w:p w:rsidR="003E0E69" w:rsidRPr="00476E46" w:rsidRDefault="003E0E69" w:rsidP="003E0E69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Názov návrhu zákona</w:t>
      </w:r>
      <w:r w:rsidRPr="00476E46">
        <w:rPr>
          <w:rFonts w:ascii="Book Antiqua" w:hAnsi="Book Antiqua"/>
          <w:bCs/>
          <w:sz w:val="22"/>
          <w:szCs w:val="22"/>
        </w:rPr>
        <w:t xml:space="preserve">: návrh </w:t>
      </w:r>
      <w:r w:rsidRPr="00476E46">
        <w:rPr>
          <w:rFonts w:ascii="Book Antiqua" w:hAnsi="Book Antiqua"/>
          <w:sz w:val="22"/>
          <w:szCs w:val="22"/>
        </w:rPr>
        <w:t xml:space="preserve">zákona, </w:t>
      </w:r>
      <w:r w:rsidRPr="005F302F">
        <w:rPr>
          <w:rFonts w:ascii="Book Antiqua" w:hAnsi="Book Antiqua"/>
          <w:sz w:val="22"/>
          <w:szCs w:val="22"/>
        </w:rPr>
        <w:t>ktorým sa mení a dopĺňa zákon č. 300/2005 Z. z. Trestný zákon v znení neskorších predpisov a ktorým sa mení zákon č. 301/2005 Z. z. Trestný poriadok v znení neskorších predpisov</w:t>
      </w:r>
    </w:p>
    <w:p w:rsidR="003E0E69" w:rsidRPr="00476E46" w:rsidRDefault="003E0E69" w:rsidP="003E0E6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3E0E69" w:rsidRPr="00DC4013" w:rsidRDefault="003E0E69" w:rsidP="003E0E6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C4013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3E0E69" w:rsidRPr="00DC4013" w:rsidRDefault="003E0E69" w:rsidP="003E0E69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C4013">
        <w:rPr>
          <w:rFonts w:ascii="Book Antiqua" w:hAnsi="Book Antiqua"/>
          <w:bCs/>
          <w:sz w:val="22"/>
          <w:szCs w:val="22"/>
        </w:rPr>
        <w:t xml:space="preserve">je upravený v primárnom práve Európskej únie, a to </w:t>
      </w:r>
      <w:r w:rsidRPr="00954E95">
        <w:rPr>
          <w:rFonts w:ascii="Book Antiqua" w:hAnsi="Book Antiqua"/>
          <w:sz w:val="22"/>
          <w:szCs w:val="22"/>
        </w:rPr>
        <w:t>čl. 47 a 48 Charty základných práv Európskej únie a čl. 87 až 89 Zmluvy o fungovaní Európskej únie,</w:t>
      </w:r>
    </w:p>
    <w:p w:rsidR="003E0E69" w:rsidRPr="00DC4013" w:rsidRDefault="003E0E69" w:rsidP="003E0E69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C4013">
        <w:rPr>
          <w:rFonts w:ascii="Book Antiqua" w:hAnsi="Book Antiqua"/>
          <w:bCs/>
          <w:sz w:val="22"/>
          <w:szCs w:val="22"/>
        </w:rPr>
        <w:t xml:space="preserve">je upravený v sekundárnom práve </w:t>
      </w:r>
      <w:r>
        <w:rPr>
          <w:rFonts w:ascii="Book Antiqua" w:hAnsi="Book Antiqua"/>
          <w:bCs/>
          <w:sz w:val="22"/>
          <w:szCs w:val="22"/>
        </w:rPr>
        <w:t>Európskej únie, a to v smernici</w:t>
      </w:r>
      <w:r w:rsidRPr="009B7654">
        <w:rPr>
          <w:i/>
        </w:rPr>
        <w:t xml:space="preserve"> </w:t>
      </w:r>
      <w:r w:rsidRPr="00954E95">
        <w:rPr>
          <w:rFonts w:ascii="Book Antiqua" w:hAnsi="Book Antiqua"/>
          <w:sz w:val="22"/>
          <w:szCs w:val="22"/>
        </w:rPr>
        <w:t>Európskeho parlamentu a Rady 2014/42/EÚ z 3. apríla 2014 o zaistení a konfiškácii prostriedkov a príjmov z trestnej činnosti v Európskej únii (Ú. v. EÚ L 127, 29. 4. 2014) v platnom znení</w:t>
      </w:r>
      <w:r w:rsidRPr="00954E95">
        <w:rPr>
          <w:rFonts w:ascii="Book Antiqua" w:hAnsi="Book Antiqua"/>
          <w:bCs/>
          <w:sz w:val="22"/>
          <w:szCs w:val="22"/>
        </w:rPr>
        <w:t>,</w:t>
      </w:r>
    </w:p>
    <w:p w:rsidR="003E0E69" w:rsidRPr="00DC4013" w:rsidRDefault="003E0E69" w:rsidP="003E0E69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C4013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3E0E69" w:rsidRPr="00DC4013" w:rsidRDefault="003E0E69" w:rsidP="003E0E6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3E0E69" w:rsidRPr="00DC4013" w:rsidRDefault="003E0E69" w:rsidP="003E0E69">
      <w:pPr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 Antiqua" w:hAnsi="Book Antiqua"/>
          <w:b/>
          <w:i/>
        </w:rPr>
      </w:pPr>
      <w:r w:rsidRPr="00DC4013">
        <w:rPr>
          <w:rFonts w:ascii="Book Antiqua" w:hAnsi="Book Antiqua"/>
          <w:b/>
        </w:rPr>
        <w:t>Záväzky Slovenskej republiky vo vzťahu k Európskej únii:</w:t>
      </w:r>
    </w:p>
    <w:p w:rsidR="003E0E69" w:rsidRPr="00DC4013" w:rsidRDefault="003E0E69" w:rsidP="003E0E69">
      <w:pPr>
        <w:numPr>
          <w:ilvl w:val="0"/>
          <w:numId w:val="5"/>
        </w:numPr>
        <w:spacing w:before="120" w:after="0" w:line="276" w:lineRule="auto"/>
        <w:jc w:val="both"/>
        <w:rPr>
          <w:rFonts w:ascii="Book Antiqua" w:hAnsi="Book Antiqua"/>
        </w:rPr>
      </w:pPr>
      <w:r w:rsidRPr="00DC4013">
        <w:rPr>
          <w:rFonts w:ascii="Book Antiqua" w:hAnsi="Book Antiqua"/>
        </w:rPr>
        <w:t>lehota na transpozíciu smer</w:t>
      </w:r>
      <w:r>
        <w:rPr>
          <w:rFonts w:ascii="Book Antiqua" w:hAnsi="Book Antiqua"/>
        </w:rPr>
        <w:t xml:space="preserve">nice uvedenej v bode 3 písm. b) tejto doložky zlučiteľnosti bola stanovená </w:t>
      </w:r>
      <w:r w:rsidRPr="00DC4013">
        <w:rPr>
          <w:rFonts w:ascii="Book Antiqua" w:hAnsi="Book Antiqua"/>
        </w:rPr>
        <w:t xml:space="preserve">do </w:t>
      </w:r>
      <w:r w:rsidRPr="00DC4013">
        <w:rPr>
          <w:rFonts w:ascii="Book Antiqua" w:hAnsi="Book Antiqua" w:cs="Tahoma"/>
        </w:rPr>
        <w:t>21</w:t>
      </w:r>
      <w:r>
        <w:rPr>
          <w:rFonts w:ascii="Book Antiqua" w:hAnsi="Book Antiqua" w:cs="Tahoma"/>
        </w:rPr>
        <w:t>. mája 2011,</w:t>
      </w:r>
      <w:r w:rsidRPr="00DC4013">
        <w:rPr>
          <w:rFonts w:ascii="Book Antiqua" w:hAnsi="Book Antiqua"/>
        </w:rPr>
        <w:t xml:space="preserve"> </w:t>
      </w:r>
    </w:p>
    <w:p w:rsidR="003E0E69" w:rsidRPr="00DC4013" w:rsidRDefault="003E0E69" w:rsidP="003E0E69">
      <w:pPr>
        <w:numPr>
          <w:ilvl w:val="0"/>
          <w:numId w:val="5"/>
        </w:numPr>
        <w:spacing w:before="120" w:after="0" w:line="276" w:lineRule="auto"/>
        <w:jc w:val="both"/>
        <w:rPr>
          <w:rFonts w:ascii="Book Antiqua" w:hAnsi="Book Antiqua"/>
        </w:rPr>
      </w:pPr>
      <w:r w:rsidRPr="00DC4013">
        <w:rPr>
          <w:rFonts w:ascii="Book Antiqua" w:hAnsi="Book Antiqua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3E0E69" w:rsidRPr="00DC4013" w:rsidRDefault="003E0E69" w:rsidP="003E0E69">
      <w:pPr>
        <w:numPr>
          <w:ilvl w:val="0"/>
          <w:numId w:val="5"/>
        </w:numPr>
        <w:spacing w:before="120" w:after="0" w:line="276" w:lineRule="auto"/>
        <w:jc w:val="both"/>
        <w:rPr>
          <w:rFonts w:ascii="Book Antiqua" w:hAnsi="Book Antiqua"/>
        </w:rPr>
      </w:pPr>
      <w:r w:rsidRPr="00DC4013">
        <w:rPr>
          <w:rFonts w:ascii="Book Antiqua" w:hAnsi="Book Antiqua"/>
        </w:rPr>
        <w:t>smernic</w:t>
      </w:r>
      <w:r>
        <w:rPr>
          <w:rFonts w:ascii="Book Antiqua" w:hAnsi="Book Antiqua"/>
        </w:rPr>
        <w:t>a</w:t>
      </w:r>
      <w:r w:rsidRPr="00DC4013">
        <w:rPr>
          <w:rFonts w:ascii="Book Antiqua" w:hAnsi="Book Antiqua"/>
        </w:rPr>
        <w:t xml:space="preserve"> uvedená v bode 3 písm. b) tejto doložky zlučiteľnosti bol</w:t>
      </w:r>
      <w:r>
        <w:rPr>
          <w:rFonts w:ascii="Book Antiqua" w:hAnsi="Book Antiqua"/>
        </w:rPr>
        <w:t>a</w:t>
      </w:r>
      <w:r w:rsidRPr="00DC4013">
        <w:rPr>
          <w:rFonts w:ascii="Book Antiqua" w:hAnsi="Book Antiqua"/>
        </w:rPr>
        <w:t xml:space="preserve"> úplne transponovan</w:t>
      </w:r>
      <w:r>
        <w:rPr>
          <w:rFonts w:ascii="Book Antiqua" w:hAnsi="Book Antiqua"/>
        </w:rPr>
        <w:t xml:space="preserve">á </w:t>
      </w:r>
      <w:r w:rsidRPr="00DC4013">
        <w:rPr>
          <w:rFonts w:ascii="Book Antiqua" w:hAnsi="Book Antiqua"/>
        </w:rPr>
        <w:t>do nasledujúcich právnych predpisov: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bookmarkStart w:id="0" w:name="FIELD_SK"/>
      <w:r>
        <w:rPr>
          <w:rFonts w:ascii="Book Antiqua" w:hAnsi="Book Antiqua"/>
        </w:rPr>
        <w:t>z</w:t>
      </w:r>
      <w:bookmarkEnd w:id="0"/>
      <w:r w:rsidRPr="00954E95">
        <w:rPr>
          <w:rFonts w:ascii="Book Antiqua" w:hAnsi="Book Antiqua"/>
        </w:rPr>
        <w:t xml:space="preserve">ákon č. 300/2005 Z. z. Trestný zákon v znení </w:t>
      </w:r>
      <w:r>
        <w:rPr>
          <w:rFonts w:ascii="Book Antiqua" w:hAnsi="Book Antiqua"/>
        </w:rPr>
        <w:t>neskorších predpisov,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z</w:t>
      </w:r>
      <w:r w:rsidRPr="00954E95">
        <w:rPr>
          <w:rFonts w:ascii="Book Antiqua" w:hAnsi="Book Antiqua"/>
        </w:rPr>
        <w:t>ákon č. 301/2005 Z. z. Trestný poriadok v z</w:t>
      </w:r>
      <w:r>
        <w:rPr>
          <w:rFonts w:ascii="Book Antiqua" w:hAnsi="Book Antiqua"/>
        </w:rPr>
        <w:t>není neskorších predpisov,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z</w:t>
      </w:r>
      <w:r w:rsidRPr="00954E95">
        <w:rPr>
          <w:rFonts w:ascii="Book Antiqua" w:hAnsi="Book Antiqua"/>
        </w:rPr>
        <w:t>ákon č. 91/2016 Z. z. o trestnej zodpovednosti právnických osôb a o zmene a doplnení niektorých zákonov v znení neskorších</w:t>
      </w:r>
      <w:r>
        <w:rPr>
          <w:rFonts w:ascii="Book Antiqua" w:hAnsi="Book Antiqua"/>
        </w:rPr>
        <w:t xml:space="preserve"> predpisov, 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z</w:t>
      </w:r>
      <w:r w:rsidRPr="00954E95">
        <w:rPr>
          <w:rFonts w:ascii="Book Antiqua" w:hAnsi="Book Antiqua"/>
        </w:rPr>
        <w:t>ákon č. 101/2010 Z. z. o preukazovaní pôv</w:t>
      </w:r>
      <w:r>
        <w:rPr>
          <w:rFonts w:ascii="Book Antiqua" w:hAnsi="Book Antiqua"/>
        </w:rPr>
        <w:t>odu majetku,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z</w:t>
      </w:r>
      <w:r w:rsidRPr="00954E95">
        <w:rPr>
          <w:rFonts w:ascii="Book Antiqua" w:hAnsi="Book Antiqua"/>
        </w:rPr>
        <w:t>ákon č. 460/1992 Z. z. Ústava Slovenskej republiky</w:t>
      </w:r>
      <w:r>
        <w:rPr>
          <w:rFonts w:ascii="Book Antiqua" w:hAnsi="Book Antiqua"/>
          <w:b/>
        </w:rPr>
        <w:t>,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z</w:t>
      </w:r>
      <w:r w:rsidRPr="00954E95">
        <w:rPr>
          <w:rFonts w:ascii="Book Antiqua" w:hAnsi="Book Antiqua"/>
        </w:rPr>
        <w:t>ákon č. 575/2001 Z. z. o organizácii činnosti vlády a organizácii ústrednej štá</w:t>
      </w:r>
      <w:r>
        <w:rPr>
          <w:rFonts w:ascii="Book Antiqua" w:hAnsi="Book Antiqua"/>
        </w:rPr>
        <w:t>tnej správy,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z</w:t>
      </w:r>
      <w:r w:rsidRPr="00954E95">
        <w:rPr>
          <w:rFonts w:ascii="Book Antiqua" w:hAnsi="Book Antiqua"/>
        </w:rPr>
        <w:t>ákon č. 312/2020 o výkone rozhodnutia o zaistení majetku a správe zaisteného majetku a o zmene a doplnení niektor</w:t>
      </w:r>
      <w:r>
        <w:rPr>
          <w:rFonts w:ascii="Book Antiqua" w:hAnsi="Book Antiqua"/>
        </w:rPr>
        <w:t>ých zákonov,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lastRenderedPageBreak/>
        <w:t>z</w:t>
      </w:r>
      <w:r w:rsidRPr="00954E95">
        <w:rPr>
          <w:rFonts w:ascii="Book Antiqua" w:hAnsi="Book Antiqua"/>
        </w:rPr>
        <w:t>ákon č. 154/2015 Z. z. o európskom zatýkacom rozkaze v znení neskorších</w:t>
      </w:r>
      <w:r>
        <w:rPr>
          <w:rFonts w:ascii="Book Antiqua" w:hAnsi="Book Antiqua"/>
        </w:rPr>
        <w:t xml:space="preserve"> predpisov,</w:t>
      </w:r>
    </w:p>
    <w:p w:rsidR="003E0E69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 w:rsidRPr="00954E95">
        <w:rPr>
          <w:rFonts w:ascii="Book Antiqua" w:hAnsi="Book Antiqua"/>
        </w:rPr>
        <w:t>zákon č. 171/1993 Z. z. o Policajnom zbo</w:t>
      </w:r>
      <w:r>
        <w:rPr>
          <w:rFonts w:ascii="Book Antiqua" w:hAnsi="Book Antiqua"/>
        </w:rPr>
        <w:t>re v znení neskorších predpisov</w:t>
      </w:r>
      <w:r>
        <w:rPr>
          <w:rFonts w:ascii="Book Antiqua" w:hAnsi="Book Antiqua"/>
          <w:color w:val="000000"/>
        </w:rPr>
        <w:t>,</w:t>
      </w:r>
    </w:p>
    <w:p w:rsidR="003E0E69" w:rsidRPr="00954E95" w:rsidRDefault="003E0E69" w:rsidP="003E0E69">
      <w:pPr>
        <w:numPr>
          <w:ilvl w:val="0"/>
          <w:numId w:val="6"/>
        </w:numPr>
        <w:spacing w:before="120" w:after="0" w:line="276" w:lineRule="auto"/>
        <w:ind w:left="1423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z</w:t>
      </w:r>
      <w:r w:rsidRPr="00954E95">
        <w:rPr>
          <w:rFonts w:ascii="Book Antiqua" w:hAnsi="Book Antiqua"/>
        </w:rPr>
        <w:t>ákon č. 316/2016 Z. z. o uznávaní a výkone majetkového rozhodnutia vydaného v trestnom konaní v Európskej únii a o zmene a doplnen</w:t>
      </w:r>
      <w:r>
        <w:rPr>
          <w:rFonts w:ascii="Book Antiqua" w:hAnsi="Book Antiqua"/>
        </w:rPr>
        <w:t>í niektorých zákonov.</w:t>
      </w:r>
    </w:p>
    <w:p w:rsidR="003E0E69" w:rsidRPr="00DC4013" w:rsidRDefault="003E0E69" w:rsidP="003E0E69">
      <w:pPr>
        <w:spacing w:before="120" w:after="0" w:line="276" w:lineRule="auto"/>
        <w:jc w:val="both"/>
        <w:rPr>
          <w:rFonts w:ascii="Book Antiqua" w:hAnsi="Book Antiqua"/>
          <w:color w:val="000000"/>
        </w:rPr>
      </w:pPr>
      <w:r w:rsidRPr="00DC4013">
        <w:rPr>
          <w:rFonts w:ascii="Book Antiqua" w:hAnsi="Book Antiqua"/>
          <w:color w:val="000000"/>
        </w:rPr>
        <w:t xml:space="preserve"> </w:t>
      </w:r>
    </w:p>
    <w:p w:rsidR="003E0E69" w:rsidRPr="00DC4013" w:rsidRDefault="003E0E69" w:rsidP="003E0E69">
      <w:pPr>
        <w:numPr>
          <w:ilvl w:val="0"/>
          <w:numId w:val="4"/>
        </w:numPr>
        <w:tabs>
          <w:tab w:val="left" w:pos="341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 Antiqua" w:hAnsi="Book Antiqua"/>
          <w:b/>
          <w:color w:val="000000"/>
        </w:rPr>
      </w:pPr>
      <w:r w:rsidRPr="00DC4013">
        <w:rPr>
          <w:rFonts w:ascii="Book Antiqua" w:hAnsi="Book Antiqua"/>
          <w:b/>
          <w:color w:val="000000"/>
        </w:rPr>
        <w:t>Stupeň zlučiteľnosti návrhu zákona s právom Európskej únie</w:t>
      </w:r>
    </w:p>
    <w:p w:rsidR="003E0E69" w:rsidRDefault="003E0E69" w:rsidP="003E0E6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C4013">
        <w:rPr>
          <w:rFonts w:ascii="Book Antiqua" w:hAnsi="Book Antiqua"/>
          <w:color w:val="000000"/>
          <w:sz w:val="22"/>
          <w:szCs w:val="22"/>
        </w:rPr>
        <w:t>úplný.</w:t>
      </w:r>
      <w:r w:rsidRPr="00DC4013">
        <w:rPr>
          <w:rFonts w:ascii="Book Antiqua" w:hAnsi="Book Antiqua"/>
          <w:color w:val="000000"/>
          <w:sz w:val="22"/>
          <w:szCs w:val="22"/>
        </w:rPr>
        <w:br/>
      </w:r>
    </w:p>
    <w:p w:rsidR="003E0E69" w:rsidRPr="004C0A51" w:rsidRDefault="003E0E69" w:rsidP="003E0E6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254726" w:rsidRDefault="00254726">
      <w:bookmarkStart w:id="1" w:name="_GoBack"/>
      <w:bookmarkEnd w:id="1"/>
    </w:p>
    <w:sectPr w:rsidR="0025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7BE7"/>
    <w:multiLevelType w:val="hybridMultilevel"/>
    <w:tmpl w:val="947E0AFE"/>
    <w:lvl w:ilvl="0" w:tplc="5ADCFFA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A27755"/>
    <w:multiLevelType w:val="hybridMultilevel"/>
    <w:tmpl w:val="B68CBE52"/>
    <w:lvl w:ilvl="0" w:tplc="8CAACAF8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D"/>
    <w:rsid w:val="00254726"/>
    <w:rsid w:val="003E0E69"/>
    <w:rsid w:val="00B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8133-C804-4CF7-8889-D81024A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E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E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Michal</dc:creator>
  <cp:keywords/>
  <dc:description/>
  <cp:lastModifiedBy>RAGAN Michal</cp:lastModifiedBy>
  <cp:revision>2</cp:revision>
  <dcterms:created xsi:type="dcterms:W3CDTF">2023-01-31T11:05:00Z</dcterms:created>
  <dcterms:modified xsi:type="dcterms:W3CDTF">2023-01-31T11:05:00Z</dcterms:modified>
</cp:coreProperties>
</file>