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31C27" w:rsidRDefault="00231C27">
      <w:pPr>
        <w:jc w:val="center"/>
        <w:divId w:val="2048796994"/>
        <w:rPr>
          <w:rFonts w:ascii="Times" w:hAnsi="Times" w:cs="Times"/>
          <w:sz w:val="25"/>
          <w:szCs w:val="25"/>
        </w:rPr>
      </w:pPr>
      <w:r>
        <w:rPr>
          <w:rFonts w:ascii="Times" w:hAnsi="Times" w:cs="Times"/>
          <w:sz w:val="25"/>
          <w:szCs w:val="25"/>
        </w:rPr>
        <w:t>Nariadenie vlády Slovenskej republiky, ktorým sa vyhlasuje chránený areál Pramenná oblasť Rimavy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31C27" w:rsidP="00231C27">
            <w:pPr>
              <w:spacing w:after="0" w:line="240" w:lineRule="auto"/>
              <w:rPr>
                <w:rFonts w:ascii="Times New Roman" w:hAnsi="Times New Roman" w:cs="Calibri"/>
                <w:sz w:val="20"/>
                <w:szCs w:val="20"/>
              </w:rPr>
            </w:pPr>
            <w:r>
              <w:rPr>
                <w:rFonts w:ascii="Times" w:hAnsi="Times" w:cs="Times"/>
                <w:sz w:val="25"/>
                <w:szCs w:val="25"/>
              </w:rPr>
              <w:t>20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31C27" w:rsidP="00231C27">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31C27" w:rsidP="00231C27">
            <w:pPr>
              <w:spacing w:after="0" w:line="240" w:lineRule="auto"/>
              <w:rPr>
                <w:rFonts w:ascii="Times New Roman" w:hAnsi="Times New Roman" w:cs="Calibri"/>
                <w:sz w:val="20"/>
                <w:szCs w:val="20"/>
              </w:rPr>
            </w:pPr>
            <w:r>
              <w:rPr>
                <w:rFonts w:ascii="Times" w:hAnsi="Times" w:cs="Times"/>
                <w:sz w:val="25"/>
                <w:szCs w:val="25"/>
              </w:rPr>
              <w:t>14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31C27" w:rsidP="00231C2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31C27" w:rsidP="00231C27">
            <w:pPr>
              <w:spacing w:after="0" w:line="240" w:lineRule="auto"/>
              <w:rPr>
                <w:rFonts w:ascii="Times New Roman" w:hAnsi="Times New Roman" w:cs="Calibri"/>
                <w:sz w:val="20"/>
                <w:szCs w:val="20"/>
              </w:rPr>
            </w:pPr>
            <w:r>
              <w:rPr>
                <w:rFonts w:ascii="Times" w:hAnsi="Times" w:cs="Times"/>
                <w:sz w:val="25"/>
                <w:szCs w:val="25"/>
              </w:rPr>
              <w:t>6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31C27" w:rsidRDefault="00231C2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31C27">
        <w:trPr>
          <w:divId w:val="6266625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Vôbec nezaslali</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sz w:val="20"/>
                <w:szCs w:val="20"/>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sz w:val="20"/>
                <w:szCs w:val="20"/>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sz w:val="20"/>
                <w:szCs w:val="20"/>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sz w:val="20"/>
                <w:szCs w:val="20"/>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x</w:t>
            </w:r>
          </w:p>
        </w:tc>
      </w:tr>
      <w:tr w:rsidR="00231C27">
        <w:trPr>
          <w:divId w:val="626662529"/>
          <w:jc w:val="center"/>
        </w:trPr>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20 (15o,5z)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C27" w:rsidRDefault="00231C2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31C27" w:rsidRDefault="00231C2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Spôsob vyhodnotenia</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Celé teraz navrhované územie CHA Pramenná oblasť Rimavy bolo pri návrhu vyhlasovania Národného parku Muránska planina (NP MP) vyňaté z pôvodného národného parku so zdôvodnením súčasného riaditeľa NP MP – citujem: „z NP je vypustená oblasť povodia Rimavy, kde sú najviac zastúpené poľnohospodársky obrábané plochy, na ktorých sa účel a cieľ národného parku nedá naplniť.“ – viď Zápis z pracovného stretnutia na OÚ Muráň dňa 21.9.2020 za účelom prerokovania návrhu zonácie NP Muránska planina, konaného z podnetu ministra pôdohospodárstva SR Jána Mičovského. Je preto paradoxné, že naďalej v CHA POR na celom území ostáva 3°OP tak, ako bol odteraz. Išlo len o to, aby sa znížila výmera NP MP hlavne na neštátnych pozemkoch a teda došlo k obídeniu vlastníkov neštátnych pozemkov pri návrhu zonácie NP MP a na základe politického rozhodnutia prijatie zonácie NP MP. Pokiaľ by územie navrhovaného CHA POR zostalo v území NP MP, bolo by potrebné množstvo rokovaní s rozdrobenými vlastníkmi poľnohospodárskej pôdy a takto sa tento proces obišiel. Zdôvodnenie: Cieľom a účelom ochrany CHA Pramenná oblasť Rimavy je podľa projektu ochrany „potrebné v predmetnom území zachovať, resp. v prípade vybraných druhov a biotopov, ktoré sú predmetom ochrany CHA Pramenná oblasť Rimavy, obnoviť ich priaznivý stav. Cieľom je tiež zachovať abiotické javy, ktoré sú predmetom ochrany. Hlavný cieľ ochrany: </w:t>
            </w:r>
            <w:r>
              <w:rPr>
                <w:rFonts w:ascii="Times" w:hAnsi="Times" w:cs="Times"/>
                <w:sz w:val="25"/>
                <w:szCs w:val="25"/>
              </w:rPr>
              <w:lastRenderedPageBreak/>
              <w:t>Zachovanie alebo zlepšovanie stavu biotopov a druhov, ktoré sú predmetom ochrany územia v súlade s nastavenými cieľmi ochrany pre jednotlivé biotopy a druhy európskeho významu podľa kapitoly 2.2.“ Upozorňujeme, že v Projekte ochrany CHA Pramenná oblasť Rimavy sa v kapitole 2.1 uvádzajú druhy, ktoré určite na trávnatých porastoch – poľnohospodárskej pôde nemajú stále stanovište a doterajší spôsob obhospodarovania im vyhovoval – ide napr. o tetrova holniaka či hlucháňa hôrneho. Uvedené veľkosti populácie – počet rezidentných jedincov Canis lupus, Lynx lynx, Ursus arctos, výmera potencionálneho biotopu v rámci celej výmery CHA POR sú zavádzajúce údaje. Skutočné počty nie sú reálne zistené, na medveďa by vychádzal areál cca 700 ha na rezidentného jedinca. Domovské teritórium medveďa je individuálne a zaberá podľa viacerých autorov (Hell 1999) cca 1500 až 3000 ha v závislosti od pohlavia, veku ale hlavne od dostupnosti zdrojov potravy. Preto uvažovať s 700 ha na jedinca je scestné. Návrh riešenia: Navrhujeme, aby bol stupeň ochrany v CHA POR na poľnohospodárskych pozemkoch znížený na druhý stupeň, pričom doterajším spôsobom obhospodarovania nedôjde k zníženiu hodnoty územia z pohľadu ochrany prírody. Inak sa bude zvyšovať administratívna záťaž vlastníkov pozemkov pri povoľovaní činností v zmysle §14 ods. 2 zákona č. 543/2002 Z. z. V kapitole 2.2 uvádzať v tabuľkách reálne hodnoty merateľných indikátorov a cieľovej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 xml:space="preserve">K zámeru zonácie NP Muránska planina a vymedzenia hraníc tohto NP a jeho ochranného pásma, zverejnenému v januári 2020, bolo vznesených vyše 500 pripomienok, ktoré boli postupne vyhodnotené a zapracované do materiálu. Subjekty, ktoré sa zúčastnili prerokovaní návrhu zonácie NP Muránska planina a vymedzenia hraníc NP a ochranného pásma (15. -17.02.2022 a 23. – 24.02.2022), boli informované o úprave hraníc NP tak, že niektoré časti budú z NP vyčlenené a vyhlásené ako 4 samostatné chránené územia. Územie navrhovaného chráneného areálu (CHA) Pramenná oblasť Rimavy zodpovedá manažmentovej kategórii podľa príručky IUCN Chránená krajina – kategória V. Tá je definovaná ako chránené územia, v ktorých interakcia medzi človekom a prírodou dala vznik krajine so špecifickým charakterom s významnými ekologickými, </w:t>
            </w:r>
            <w:r>
              <w:rPr>
                <w:rFonts w:ascii="Times" w:hAnsi="Times" w:cs="Times"/>
                <w:sz w:val="25"/>
                <w:szCs w:val="25"/>
              </w:rPr>
              <w:lastRenderedPageBreak/>
              <w:t xml:space="preserve">biologickými, kultúrnymi a krajinárskymi hodnotami; udržiavanie integrity tejto interakcie je nevyhnutné pre ochranu a zachovanie takýchto území a na ne viazaných prírodo-ochranných a ďalších hodnôt. Ku dňu účinnosti nariadenia vlády č. 278/2022 Z. z., ktorým sa vyhlasuje Národný park Muránska planina, jeho zóny a ochranné pásmo (1.10.2022) bolo územie navrhovaného CHA Pramenná oblasť Rimavy vyčlenené z NP Muránska planina. Vyčlenenie územia z národného parku nemalo za následok zníženia stupňa ochrany, nakoľko celé predmetné územie sa nachádza v SKUEV0225 Muránska planina, na ktorom platí 3. stupeň ochrany, navrhuje sa zachovať súčasný 3. stupeň ochrany podľa § 14 zákona č. 543/2002 Z. z. o ochrane prírody a krajiny v znení neskorších predpisov (ďalej len „zákon č. 543/2002 Z. z.“). Vyčlenenie územia CHA Pramenná oblasť Rimavy z NP Muránska planina nie je obchádzanie procesu rokovaní s rozdrobenými vlastníkmi poľnohospodárskej pôdy, </w:t>
            </w:r>
            <w:r>
              <w:rPr>
                <w:rFonts w:ascii="Times" w:hAnsi="Times" w:cs="Times"/>
                <w:sz w:val="25"/>
                <w:szCs w:val="25"/>
              </w:rPr>
              <w:lastRenderedPageBreak/>
              <w:t xml:space="preserve">nakoľko zverejnením zámeru vyhlásiť CHA Pramenná oblasť Rimavy (23.05.2022) podľa § 50 ods. 4 zákona č. 543/2002 Z. z. vlastník, správca a nájomca dotknutého pozemku, obec a dotknutý orgán štátnej správy má právo podať k nemu písomné pripomienky orgánu ochrany prírody. Na základe doručených pripomienok boli uskutočnené rokovania v dňoch 12. – 13. 10.2022. Uvedené druhy v podkapitole 2.1 projektu ochrany sú predmetom ochrany chráneného vtáčieho územia (CHVÚ) SKCHVU017 Muránska planina – Stolica, ktorého predmetom sú druhy ako tetrov hoľniak a hlucháň hôrny. Nakoľko sa CHVÚ prekrýva s navrhovaným CHA Pramenná oblasť Rimavy a v tomto navrhovanom CHA sú predmetom ochrany lesné porasty, tak sa nevylučuje aj výskyt spomenutých druhov. Individuálne okrsky veľkých šeliem sa nenachádzajú len v území navrhovaného CHA, ale zasahujú aj mimo neho, pričom cieľový stav vyjadruje počet jedincov, ktorých </w:t>
            </w:r>
            <w:r>
              <w:rPr>
                <w:rFonts w:ascii="Times" w:hAnsi="Times" w:cs="Times"/>
                <w:sz w:val="25"/>
                <w:szCs w:val="25"/>
              </w:rPr>
              <w:lastRenderedPageBreak/>
              <w:t>okrsky zasahujú do CHA. Na rozporovom konaní na odbornej úrovni, ktoré sa konalo 18. 01. 2023, zástupca AZZZ SR apeloval na problémy s obhospodarovaním pozemkov v 3. stupni ochrany. Na rozporovom konaní na úrovni štatutárov, ktoré sa konalo 07.02.2023, zástupca AZZZ SR opakovane apeloval na problémy s obhospodarovaním pozemkov v 3. stupni ochrany. Po rozporovom konaní rozpor pretrváva.</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Doložky ku návrhu uznesenia vlády sú bez reálneho vyčíslenia dopadov na štátnu správu, samosprávu, podnikateľské prostredie ap. Tým vzniká klamlivý dojem, že vyhlásenie CHA PRO nemá žiadne dopady, čo však v zmysle pripomienok vyššie nie ej pravda. Zdôvodnenie: Z pripomienky č. 4 je zrejmé, že je potrebné vyčísliť napr. výšku poskytnutia náhrady za obmedzenie bežného obhospodarovania a teda nie je možné akceptovať prehlásenie v doložke vplyvov, že nie je žiadny dopad napr. na podnikateľské prostredie, v zmysle pripomienky č. 3 je zrejmé, že sa neuplatňuje mechanizmus znižovania byrokracie a nákladov, pričom v doložke vplyvov nie je zaškrtnutá žiadna alternatíva. Návrh riešenia: Na základe zapracovania pripomienok vyššie vyhodnotiť nanovo doložku </w:t>
            </w:r>
            <w:r>
              <w:rPr>
                <w:rFonts w:ascii="Times" w:hAnsi="Times" w:cs="Times"/>
                <w:sz w:val="25"/>
                <w:szCs w:val="25"/>
              </w:rPr>
              <w:lastRenderedPageBreak/>
              <w:t>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 xml:space="preserve">Ku dňu účinnosti nariadenia vlády č. 278/2022 Z. z., ktorým sa vyhlasuje Národný park Muránska planina, jeho zóny a ochranné pásmo (1.10.2022) bolo územie navrhovaného CHA Pramenná oblasť Rimavy vyčlenené z NP Muránska planina. Vyčlenenie územia z národného parku nemalo za následok zníženia stupňa ochrany, nakoľko celé predmetné územie sa nachádza v SKUEV0225 Muránska planina, na ktorom platí 3. stupeň ochrany, navrhuje sa zachovať súčasný 3. stupeň ochrany podľa § 14 </w:t>
            </w:r>
            <w:r>
              <w:rPr>
                <w:rFonts w:ascii="Times" w:hAnsi="Times" w:cs="Times"/>
                <w:sz w:val="25"/>
                <w:szCs w:val="25"/>
              </w:rPr>
              <w:lastRenderedPageBreak/>
              <w:t>zákona č. 543/2002 Z. z. V území nedôjde k zmene podmienok ochrany – navrhuje sa zachovať 3. stupeň ochrany na celej výmere, t. j. 2 058,67 ha. Rovnako z dôvodu vyhlásenia CHA nedôjde ku obmedzeniu bežného obhospodarovania vyplývajúceho zo zákazov a iných podmienok ochrany prírody a krajiny. Jediný vplyv, ktorý vznikne, je vplyv na rozpočet verejnej správy, ktorý bol vyčíslený na 643,1 € a to na označenie hraníc CHA Pramenná oblasť Rimavy a je uvedený v analýze vplyvov na rozpočet verejnej správy, na zamestnanosť vo verejnej správe a financovanie návrhu, ktorá je prílohou č. 2 k predmetnému materiálu. Na rozporovom konaní na odbornej úrovni, ktoré sa konalo 18. 01. 2023, bolo zo strany AZZZ SR konštatované, že aktuálne účinnú právnu úpravu považuje za nevyhovujúcu. Rozpor po vysvetlení odstránený.</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ku kap. 3.2. projektu ochrany.</w:t>
            </w:r>
            <w:r>
              <w:rPr>
                <w:rFonts w:ascii="Times" w:hAnsi="Times" w:cs="Times"/>
                <w:sz w:val="25"/>
                <w:szCs w:val="25"/>
              </w:rPr>
              <w:br/>
              <w:t xml:space="preserve">Nesúhlasíme, aby ku dňu účinnosti nariadenia vlády, ktorým sa vyhlási CHA Pramenná oblasť Rimavy, okresný úrad v sídle </w:t>
            </w:r>
            <w:r>
              <w:rPr>
                <w:rFonts w:ascii="Times" w:hAnsi="Times" w:cs="Times"/>
                <w:sz w:val="25"/>
                <w:szCs w:val="25"/>
              </w:rPr>
              <w:lastRenderedPageBreak/>
              <w:t>kraja vyhradil miesta, na ktorých nebudú zakázané činnosti v 3. stupni ochrany súvisiace s rekreačným či športovým využitím (tj. pohybovať sa mimo vyznačeného turistického, alebo náučného chodníka...). Zdôvodnenie: Uvedenými výnimkami sa stráca zmysel 3° ochrany prírody a pohybom turistov po celom území CHA bude dochádzať napr. k nekontrolovateľnému zošľapávaniu trávnych porastov a plašeniu živočíchov, ktoré sú predmetom ochrany. Návrh riešenia: Jediný prijateľný spôsob vyhradenia miest pre rekreačné a športové využitie je ich adresné identifikovanie cez správne konanie, t.j. vydanie výnimky z príslušných obmedzení príslušným orgánom štátnej správy, v rámci ktorých sa určia podmienky a spôsoby pohybu po týchto miestach spolu s určením zodpovednosti navrhovateľa za prípadné poškodenia zdravia, ako aj jeho povinnosti vykonania (zabezpečenia) nevyhnutných bezpečnostných opatrení. V rámci tohoto správneho konania bude potrebné zároveň posúdiť vplyv takto navrhovanej rekreačnej a športovej činnosti na územia NATURA 2000 (§28 ods. 4,5 zákona OPaK), nakoľko rekreačné a športové využitie územia nie je činnosť ktorá súvisí so starostlivosťou o chránené územie, ani nie je preň potrebná a reálne tu hrozí poškodenie, alebo zničenie biotopov, alebo druhov európskeho významu, alebo môže dôjsť k významnému vyrušovaniu týchto druhov v prirodzenom vývine.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 xml:space="preserve">V § 14 zákona č. 543/2002 Z. z. sú uvedené zakázane činnosti, ktoré platia aj aktuálne na navrhovanom </w:t>
            </w:r>
            <w:r>
              <w:rPr>
                <w:rFonts w:ascii="Times" w:hAnsi="Times" w:cs="Times"/>
                <w:sz w:val="25"/>
                <w:szCs w:val="25"/>
              </w:rPr>
              <w:lastRenderedPageBreak/>
              <w:t xml:space="preserve">území CHA Pramenná oblasť Rimavy. Ku dňu účinnosti nariadenia vlády Slovenskej republiky, ktorým sa vyhlasuje chránený areál Pramenná oblasť Rimavy sa navrhuje, aby Okresný úrad v sídle kraja (OÚ) vyhradil miesta, na ktorých nebudú zakázané činnosti podľa § 14 ods. 3 písm. b) zákona č. 543/2002 Z. z. Uverejnenie zo zoznamu týchto miest na úradnej tabuli OÚ Banská Bystrica, webovom sídle a na úradnej tabuli dotknutej obce nemá trvalý charakter. V prípade, ak dôjde k poškodeniu alebo zničeniu biotopov, orgán ochrany prírody podá podnet na OÚ, ktorý zruší uverejnený zoznam vyhradených miest. Rovnako uvádzame, že územie navrhovaného CHA Pramenná oblasť Rimavy bolo do účinnosti nariadenia vlády č. 278/2022 Z. z., ktorým sa vyhlasuje Národný park Muránska planina, jeho zóny a ochranné pásmo, súčasťou NP Muránska planina a v rámci návštevného poriadku bolo navrhované územie vymedzené ako „zóna voľného pohybu“. Pre </w:t>
            </w:r>
            <w:r>
              <w:rPr>
                <w:rFonts w:ascii="Times" w:hAnsi="Times" w:cs="Times"/>
                <w:sz w:val="25"/>
                <w:szCs w:val="25"/>
              </w:rPr>
              <w:lastRenderedPageBreak/>
              <w:t>zabezpečenie priaznivého stavu biotopov a druhov biotopov, ktoré sú predmetom ochrany navrhovaného CHA, pohyb osôb mimo chodníka nemá vplyv. Po rozporovom konaní na úrovni štatutárov rozpor po vysvetlení odstránený.</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Orgán ochrany prírody písomne neoznámil zámer vyhlásiť chránené územie správcovi dotknutých pozemkov (LESY SR, š. p.), napriek tomu, že je ho možné identifikovať z evidencie katastra nehnuteľností, čím si orgán štátnej správy nesplnil zákonnú povinnosť vyplývajúcu z § 50 ods. 1 zákona č. 543/2002 Z. z. o ochrane prírody a krajiny (ďalej len zákon OPaK). Zdôvodnenie: § 50 Vyhlasovanie ochrany osobitne chránených častí prírody a krajiny (1) Orgán ochrany prírody je povinný vlastníkovi, správcovi a nájomcovi pozemku dotknutého zamýšľanou ochranou, ktorého možno zistiť z evidencie v katastri nehnuteľností, dotknutej obci a dotknutým orgánom štátnej správy písomne oznámiť zámer vyhlásiť chránené územie, zóny chráneného územia alebo chránený strom (ďalej len „zámer“). Orgán ochrany prírody je povinný oznámiť zámer na základe predloženého projektu ochrany (§54 ods. 13); ak projekt predkladá organizácia ochrany prírody, orgán ochrany prírody oznámi zámer v lehote do 60 dní odo dňa jeho predloženia. Ak je dotknutý väčší počet vlastníkov pozemkov alebo ak ich pobyt nie je známy, možno oznámenie zámeru </w:t>
            </w:r>
            <w:r>
              <w:rPr>
                <w:rFonts w:ascii="Times" w:hAnsi="Times" w:cs="Times"/>
                <w:sz w:val="25"/>
                <w:szCs w:val="25"/>
              </w:rPr>
              <w:lastRenderedPageBreak/>
              <w:t>doručiť verejnou vyhláškou; ak ide o pozemkové spoločenstvo, oznámenie zámeru sa doručí aj jeho štatutárnemu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OÚ Banská Bystrica pri príprave oznámenia zámeru vyhlásiť CHA Pramenná oblasť Rimavy postupoval podľa § 50 zákona č. 543/2002 Z. z. Identifikácia vlastníkov, správcov a nájomcov pozemkov bola vykonaná podľa evidencie katastra nehnuteľností k 1. októbru 2021. Vzhľadom na vysoký počet dotknutých subjektov OÚ Banská Bystrica zvolil formu verejnej vyhlášky, v ktorej bola uvedená lehota na predloženie pripomienok v čase do 30 dní od doručenia verejnej vyhlášky. Na rozporovom konaní na odbornej úrovni, ktoré sa konalo 18. 01. 2023, zástupca AZZZ SR stiahol pripomienku. Rozpor po vysvetlení odstránený.</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Projekte ochrany CHA Pramenná oblasť Rimavy je kapitola č. 4, s ktorého znením nie je možné súhlasiť: 4. NÁVRH RIEŠENIA SPÔSOBU A URČENIA VÝŠKY POSKYTNUTIA NÁHRADY ZA OBMEDZENIE BEŽNÉHO OBHOSPODAROVANIA V CHA Pramenná oblasť Rimavy sa nepredpokladá obmedzenie bežného obhospodarovania vyplývajúce zo zákazov a iných podmienok ochrany prírody a krajiny v dôsledku vyhlásenia CHA Pramenná oblasť Rimavy. Zdôvodnenie: Takéto vyjadrenie však nie je možné akceptovať, nakoľko v 3° ochrany prírody platia určité obmedzenia oproti bežnému obhospodarovaniu či už na lesných ale aj poľnohospodárskych pozemkoch. Návrh riešenia: Do Projektu ochrany CHA Pramenná oblasť Rimavy je nevyhnutné pripraviť a doplniť podmienky riešenia spôsobu a určenia výšky poskytnutia náhrady za obmedzenie bežného obhospodarovania.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Vyhlásením CHA Pramenná oblasť Rimavy nedochádza k zmene stupňa ochrany a nepredpokladá sa ani obmedzenie bežného obhospodarovania. Na rozporovom konaní na odbornej úrovni, ktoré sa konalo 18. 01. 2023, zástupca AZZZ SR konštatoval, že už predchádzajúcu právnu úpravu považuje za nevyhovujúcu. Rozpor po vysvetlení odstránený.</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vzhľadom na rozsah návrhu nariadenia vlády vypustiť nadpisy paragrafov, v čl. I § 1 druhej vete na konci čiarku nahradiť bodkou a v tretej vete na konci doplniť bodku, v § 2 ods. 2 slovo „Mapy“ nahradiť slovom „Mapa“, v prílohe č. 1 časti „Popis hranice chráneného areálu“ tretej vete slová „vodného roku“ nahradiť slovami „vodného toku“, v desiatej vete za slovami „lesnej ceste“ vložiť čiarku a v </w:t>
            </w:r>
            <w:r>
              <w:rPr>
                <w:rFonts w:ascii="Times" w:hAnsi="Times" w:cs="Times"/>
                <w:sz w:val="25"/>
                <w:szCs w:val="25"/>
              </w:rPr>
              <w:lastRenderedPageBreak/>
              <w:t>poslednej vete slovo „východzieho“ nahradiť slovom „východiskového“).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 formálneho hľadiska je potrebné v tabuľke č. 1 Analýzy vplyvov na rozpočet verejnej správy, na zamestnanosť vo verejnej správe a financovanie návrhu upraviť sumu v stĺpci v roku „2024“ v riadku „Financovanie zabezpečené v rozpočte“, a to z „01“ na „0“.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Do bodu 3 písm. b) doložky zlučiteľnosti žiadame doplniť aj smernicu Európskeho parlamentu a Rady 2009/147/ES z 30. novembra 2009 o ochrane voľne žijúceho vtáctva (kodifikované znenie) (Ú. v. EÚ L 20, 26.1.2010) v platnom znení, vrátane jej gestora. V súvislosti s doplnením smernice 2009/147/ES v platnom znení žiadame taktiež vyplniť aj bod 4. písm. a) až c)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2. Naopak biotopy druhov živočíchov európskeho významu „kováčik fialový (Limoniscus violaceus)“ a „drevník ryhovaný (Rhysodes sulcatus)“ nie sú v prílohe I smernice 92/43/EHS v platnom znení a rovnako ani v prílohe č. 5 časť A k vyhláške č. 170/2021 Z. z. uvedené ako prioritný druh, preto žiadame z pred ich názvu odstrániť označenie hviezdičky.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4 písm. b) doložky zlučiteľnosti odporúčame uvádzať </w:t>
            </w:r>
            <w:r>
              <w:rPr>
                <w:rFonts w:ascii="Times" w:hAnsi="Times" w:cs="Times"/>
                <w:sz w:val="25"/>
                <w:szCs w:val="25"/>
              </w:rPr>
              <w:lastRenderedPageBreak/>
              <w:t>aj informácie o prípadných ďalších prebiehajúcich konaniach zo strany Európskej komisie voči SR vo vzťahu k smernici 92/43/EHS v platnom znení. Taktiež odporúčame uviesť aj informácie o prípadnom prebiehajúcom konaní zo strany Európskej komisie voči SR k smernici 2009/147/ES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3. Pri vymedzovaní biotopov druhov živočíchov európskeho významu žiadame v súlade s prílohou č. 5 časť A k vyhláške č. 170/2021 Z. z. slovenský názov druhu „ďateľ trojprstý“ nahradiť názvom „ďubník trojprstý“, slovenský názov druhu „kuvik kapcavý“ nahradiť názvom „pôtik kapcavý“ a slovenský názov druhu „muchárik červenohrdlý“ nahradiť názvom „muchárik malý“.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4 písm. c) doložky zlučiteľnosti žiadame uvádzať transpozičné opatrenia smernice 2009/147/ES v platnom znení, ktoré boli notifikované Európskej komisii, nakoľko sa táto smernica doplní do bodu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 xml:space="preserve">4. Upozorňujeme, že podľa smernice 2009/147/ES v platnom znení a rovnako ani v prílohe č. 5 časť A k vyhláške č. 170/2021 Z. z. druh „žltochvost hôrny (Phoenicurus phoenicurus)“ nepatrí medzi biotopy druhov živočíchov európskeho významu, ale je zaradený medzi biotopy druhov živočíchov národného významu. Žiadame preto tento druh z biotopov druhov živočíchov </w:t>
            </w:r>
            <w:r>
              <w:rPr>
                <w:rFonts w:ascii="Times" w:hAnsi="Times" w:cs="Times"/>
                <w:sz w:val="25"/>
                <w:szCs w:val="25"/>
              </w:rPr>
              <w:lastRenderedPageBreak/>
              <w:t>európskeho významu vypustiť a zaradiť medzi biotopy druhov živočíchov národného významu.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 xml:space="preserve">Neakceptujeme navrhované zaradenie medzi biotopy druhov živočíchov národného významu. Druh žltochvost hôrny (Phoenicurus phoenicurus) totiž nie je uvedený v zozname biotopov druhov živočíchov európskeho významu, ale v samostatnej kategórii </w:t>
            </w:r>
            <w:r>
              <w:rPr>
                <w:rFonts w:ascii="Times" w:hAnsi="Times" w:cs="Times"/>
                <w:sz w:val="25"/>
                <w:szCs w:val="25"/>
              </w:rPr>
              <w:lastRenderedPageBreak/>
              <w:t>„Druhy vtákov“, medzi ktorými sa nachádzajú druhy vtákov európskeho i národného významu podľa prílohy č. 5 k vyhlášky Ministerstva životného prostredia Slovenskej republiky č. 170/2021 Z. z., ktorou sa vykonáva zákon č. 543/2002 Z. z. o ochrane prírody a krajiny v znení neskorších predpisov.</w:t>
            </w: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5. Medzi biotopy druhov živočíchov národného významu je zaradený druh „modráčik čiernoškvrnný (Maculinea arion)“. Upozorňujeme, že podľa prílohy I smernice 92/43/EHS v platnom znení ako aj podľa prílohy č. 5 časť A k vyhláške č. 170/2021 Z. z. ide o biotop druhu živočícha európskeho významu. Žiadame ho preto z biotopov druhov živočíchov národného významu vypustiť a priradiť medzi biotopy druhov živočíchov európskeho významu.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6. Názov biotopu druhu živočícha národného významu „modráčik horcový Rebelov (Maculinea alcon rebeli)“ žiadame zosúladiť s názvom podľa prílohy č. 5 časť A k vyhláške č. 170/2021 Z. z. nasledovne: „modráčik horcový (Maculinea alcon)“.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 xml:space="preserve">Do odôvodnenia K § 3 a prílohe č. 2 odporúčame doplniť aj </w:t>
            </w:r>
            <w:r>
              <w:rPr>
                <w:rFonts w:ascii="Times" w:hAnsi="Times" w:cs="Times"/>
                <w:sz w:val="25"/>
                <w:szCs w:val="25"/>
              </w:rPr>
              <w:lastRenderedPageBreak/>
              <w:t>smernicu 2009/147/ES v platnom znení, a to z dôvodu, že v prílohe č. 2 k návrhu nariadenia medzi predmet ochrany chráneného areálu sú zaradené ako biotopy druhov živočíchov európskeho významu i vtáky podľa prílohy č. 5 časť A k vyhláške č. 170/2021 Z. z., do ktorej je transponovaná práve smernica 2009/147/ES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Upozorňujeme, že biotopy druhov živočíchov európskeho významu „spriadač kostihojový (Euplagia quadripunctari)“ a „fuzáč alpský (Rosalia alpina)“ sú v prílohe I smernice 92/43/EHS v platnom znení a rovnako aj v prílohe č. 5 časť A k vyhláške č. 170/2021 Z. z. uvedené ako prioritný druh, preto žiadame k ich názvu priradiť označenie hviezdičky.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 3 ods. 1</w:t>
            </w:r>
            <w:r>
              <w:rPr>
                <w:rFonts w:ascii="Times" w:hAnsi="Times" w:cs="Times"/>
                <w:sz w:val="25"/>
                <w:szCs w:val="25"/>
              </w:rPr>
              <w:br/>
              <w:t>V navrhovanom § 3 ods. 1 návrhu nariadenia žiadame slová „predmetov ochrany chráneného areálu, ktoré sú uvedené“ uviesť v jednotnom čísle. Odôvodnenie: Príloha č. 2 k návrhu nariadenia vlády má nadpis „Predmet ochrany chráneného areálu“.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1. V dôvodovej správe je uvedené nesprávne označenie správneho orgánu na úseku katastra nehnuteľností, t. j. odporúčame označenie „správa katastra nehnuteľností“ nahradiť označením „okresný úrad, katastrálny odbor“.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p>
        </w:tc>
      </w:tr>
      <w:tr w:rsidR="00231C27">
        <w:trPr>
          <w:divId w:val="425588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r>
            <w:r>
              <w:rPr>
                <w:rFonts w:ascii="Times" w:hAnsi="Times" w:cs="Times"/>
                <w:sz w:val="25"/>
                <w:szCs w:val="25"/>
              </w:rPr>
              <w:lastRenderedPageBreak/>
              <w:t>V dôvodovej správe odporúčame skontrolovať odkazy na zákonné ustanovenia. Odkazuje sa na ustanovenia zákona č. 543/2002 Z. z. o ochrane prírody a krajiny v znení neskorších predpisov, pričom niektoré ustanovenia sú v súčasnosti prečíslované.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C27" w:rsidRDefault="00231C27">
            <w:pPr>
              <w:rPr>
                <w:rFonts w:ascii="Times" w:hAnsi="Times" w:cs="Times"/>
                <w:sz w:val="25"/>
                <w:szCs w:val="25"/>
              </w:rPr>
            </w:pPr>
            <w:r>
              <w:rPr>
                <w:rFonts w:ascii="Times" w:hAnsi="Times" w:cs="Times"/>
                <w:sz w:val="25"/>
                <w:szCs w:val="25"/>
              </w:rPr>
              <w:t xml:space="preserve">V odôvodnení k § 2 odkaz na "§ 51 </w:t>
            </w:r>
            <w:r>
              <w:rPr>
                <w:rFonts w:ascii="Times" w:hAnsi="Times" w:cs="Times"/>
                <w:sz w:val="25"/>
                <w:szCs w:val="25"/>
              </w:rPr>
              <w:lastRenderedPageBreak/>
              <w:t>ods. 4" nahradený odkazom na "§ 51 ods. 5".</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77" w:rsidRDefault="00F77477" w:rsidP="000A67D5">
      <w:pPr>
        <w:spacing w:after="0" w:line="240" w:lineRule="auto"/>
      </w:pPr>
      <w:r>
        <w:separator/>
      </w:r>
    </w:p>
  </w:endnote>
  <w:endnote w:type="continuationSeparator" w:id="0">
    <w:p w:rsidR="00F77477" w:rsidRDefault="00F7747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77" w:rsidRDefault="00F77477" w:rsidP="000A67D5">
      <w:pPr>
        <w:spacing w:after="0" w:line="240" w:lineRule="auto"/>
      </w:pPr>
      <w:r>
        <w:separator/>
      </w:r>
    </w:p>
  </w:footnote>
  <w:footnote w:type="continuationSeparator" w:id="0">
    <w:p w:rsidR="00F77477" w:rsidRDefault="00F7747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31C27"/>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015B3"/>
    <w:rsid w:val="00E85710"/>
    <w:rsid w:val="00EB772A"/>
    <w:rsid w:val="00EF1425"/>
    <w:rsid w:val="00F26A4A"/>
    <w:rsid w:val="00F727F0"/>
    <w:rsid w:val="00F77477"/>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8882">
      <w:bodyDiv w:val="1"/>
      <w:marLeft w:val="0"/>
      <w:marRight w:val="0"/>
      <w:marTop w:val="0"/>
      <w:marBottom w:val="0"/>
      <w:divBdr>
        <w:top w:val="none" w:sz="0" w:space="0" w:color="auto"/>
        <w:left w:val="none" w:sz="0" w:space="0" w:color="auto"/>
        <w:bottom w:val="none" w:sz="0" w:space="0" w:color="auto"/>
        <w:right w:val="none" w:sz="0" w:space="0" w:color="auto"/>
      </w:divBdr>
    </w:div>
    <w:div w:id="131944932">
      <w:bodyDiv w:val="1"/>
      <w:marLeft w:val="0"/>
      <w:marRight w:val="0"/>
      <w:marTop w:val="0"/>
      <w:marBottom w:val="0"/>
      <w:divBdr>
        <w:top w:val="none" w:sz="0" w:space="0" w:color="auto"/>
        <w:left w:val="none" w:sz="0" w:space="0" w:color="auto"/>
        <w:bottom w:val="none" w:sz="0" w:space="0" w:color="auto"/>
        <w:right w:val="none" w:sz="0" w:space="0" w:color="auto"/>
      </w:divBdr>
    </w:div>
    <w:div w:id="530074444">
      <w:bodyDiv w:val="1"/>
      <w:marLeft w:val="0"/>
      <w:marRight w:val="0"/>
      <w:marTop w:val="0"/>
      <w:marBottom w:val="0"/>
      <w:divBdr>
        <w:top w:val="none" w:sz="0" w:space="0" w:color="auto"/>
        <w:left w:val="none" w:sz="0" w:space="0" w:color="auto"/>
        <w:bottom w:val="none" w:sz="0" w:space="0" w:color="auto"/>
        <w:right w:val="none" w:sz="0" w:space="0" w:color="auto"/>
      </w:divBdr>
    </w:div>
    <w:div w:id="626662529">
      <w:bodyDiv w:val="1"/>
      <w:marLeft w:val="0"/>
      <w:marRight w:val="0"/>
      <w:marTop w:val="0"/>
      <w:marBottom w:val="0"/>
      <w:divBdr>
        <w:top w:val="none" w:sz="0" w:space="0" w:color="auto"/>
        <w:left w:val="none" w:sz="0" w:space="0" w:color="auto"/>
        <w:bottom w:val="none" w:sz="0" w:space="0" w:color="auto"/>
        <w:right w:val="none" w:sz="0" w:space="0" w:color="auto"/>
      </w:divBdr>
    </w:div>
    <w:div w:id="1129517911">
      <w:bodyDiv w:val="1"/>
      <w:marLeft w:val="0"/>
      <w:marRight w:val="0"/>
      <w:marTop w:val="0"/>
      <w:marBottom w:val="0"/>
      <w:divBdr>
        <w:top w:val="none" w:sz="0" w:space="0" w:color="auto"/>
        <w:left w:val="none" w:sz="0" w:space="0" w:color="auto"/>
        <w:bottom w:val="none" w:sz="0" w:space="0" w:color="auto"/>
        <w:right w:val="none" w:sz="0" w:space="0" w:color="auto"/>
      </w:divBdr>
    </w:div>
    <w:div w:id="1561746378">
      <w:bodyDiv w:val="1"/>
      <w:marLeft w:val="0"/>
      <w:marRight w:val="0"/>
      <w:marTop w:val="0"/>
      <w:marBottom w:val="0"/>
      <w:divBdr>
        <w:top w:val="none" w:sz="0" w:space="0" w:color="auto"/>
        <w:left w:val="none" w:sz="0" w:space="0" w:color="auto"/>
        <w:bottom w:val="none" w:sz="0" w:space="0" w:color="auto"/>
        <w:right w:val="none" w:sz="0" w:space="0" w:color="auto"/>
      </w:divBdr>
    </w:div>
    <w:div w:id="1745224113">
      <w:bodyDiv w:val="1"/>
      <w:marLeft w:val="0"/>
      <w:marRight w:val="0"/>
      <w:marTop w:val="0"/>
      <w:marBottom w:val="0"/>
      <w:divBdr>
        <w:top w:val="none" w:sz="0" w:space="0" w:color="auto"/>
        <w:left w:val="none" w:sz="0" w:space="0" w:color="auto"/>
        <w:bottom w:val="none" w:sz="0" w:space="0" w:color="auto"/>
        <w:right w:val="none" w:sz="0" w:space="0" w:color="auto"/>
      </w:divBdr>
    </w:div>
    <w:div w:id="20487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23 14:54:50"/>
    <f:field ref="objchangedby" par="" text="Administrator, System"/>
    <f:field ref="objmodifiedat" par="" text="8.2.2023 14:54: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3691</Words>
  <Characters>21041</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2023-02-08T14:03:00Z</dcterms:created>
  <dcterms:modified xsi:type="dcterms:W3CDTF">2023-02-08T14:03:00Z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chránený areál Pramenná oblasť Rimavy bol listom Okresného úradu Banská Bystrica č. OU-BB-OSZP1-2022/016195-005 z&amp;nbsp;24. mája 2022 oznámený dotknutým subjektom v&amp;nbsp;súlade s § 50 ods. 1 a&amp;nbsp;2 zákona č. 543/2002 Z. z. o ochrane prí</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prostredie_x000d_
Ochrana životného prostredia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Valéria Hallonová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Pramenná oblasť Rimavy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 v platnom znení,_x000d_
§ 21 ods. 1 a 4 zákona č. 543/2002 Z. z o ochrane prírody a krajiny v znení neskorších predpisov</vt:lpwstr>
  </property>
  <property fmtid="{D5CDD505-2E9C-101B-9397-08002B2CF9AE}" pid="22" name="FSC#SKEDITIONSLOVLEX@103.510:plnynazovpredpis">
    <vt:lpwstr> Nariadenie vlády  Slovenskej republiky, ktorým sa vyhlasuje chránený areál Pramenná oblasť Rimavy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13523/2022-1.15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 Smernica Rady 92/43/EHS z 21. mája 1992 o ochrane prirodzených biotopov a voľne    žijúcich živočíchov a rastlín (Ú. v. ES L 206, 22.7.1992; Mimoriadne vydanie Ú. v. EÚ, kap. 15/ zv. 2) v platnom znení         gestor: Ministerstvo životného prostredia 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1"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21. 10. 2022</vt:lpwstr>
  </property>
  <property fmtid="{D5CDD505-2E9C-101B-9397-08002B2CF9AE}" pid="58" name="FSC#SKEDITIONSLOVLEX@103.510:AttrDateDocPropUkonceniePKK">
    <vt:lpwstr>31. 12. 2022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&lt;p&gt;Územie predstavuje mozaiku trvalých trávnych porastov a lesov, ktoré sú tvorené rôznymi sukcesnými štádiami lesa od prípravných formácií tvorených pionierskymi krovinami a stromami až po prirodzené lesy tvorené drevinami klimaxového štádia, na niekoľký</vt:lpwstr>
  </property>
  <property fmtid="{D5CDD505-2E9C-101B-9397-08002B2CF9AE}" pid="65" name="FSC#SKEDITIONSLOVLEX@103.510:AttrStrListDocPropAltRiesenia">
    <vt:lpwstr>Alternatívne riešenie sa týka celkovo vyhlásenia/nevyhlásenia CHA Pramenná oblasť Rimavy.Dôvodom vyhlásenia CHA Pramenná oblasť Rimavy je splnenie požiadavky vyplývajúcej z článku 4 ods. 4 smernice 92/43/EHS v platnom znení, podľa ktorého členské štáty oz</vt:lpwstr>
  </property>
  <property fmtid="{D5CDD505-2E9C-101B-9397-08002B2CF9AE}" pid="66" name="FSC#SKEDITIONSLOVLEX@103.510:AttrStrListDocPropStanoviskoGest">
    <vt:lpwstr>Súhlasné s návrhom na dopracovanie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style="margin-left:7.1pt;"&gt;Ministerstvo životného prostredia Slovenskej republiky (MŽP SR) predkladá podľa § 21 ods. 1 a&amp;nbsp;4 zákona č. 543/2002 Z. z. o&amp;nbsp;ochrane prírody a&amp;nbsp;krajiny v&amp;nbsp;znení neskorších predpisov (ďalej len „zákon č. 543/20</vt:lpwstr>
  </property>
  <property fmtid="{D5CDD505-2E9C-101B-9397-08002B2CF9AE}" pid="149" name="FSC#COOSYSTEM@1.1:Container">
    <vt:lpwstr>COO.2145.1000.3.5501871</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8. 2. 2023</vt:lpwstr>
  </property>
</Properties>
</file>