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D41138" w:rsidRDefault="00D41138" w:rsidP="00F37E5A">
      <w:pPr>
        <w:pStyle w:val="western"/>
        <w:spacing w:after="198" w:afterAutospacing="0" w:line="360" w:lineRule="auto"/>
        <w:jc w:val="both"/>
        <w:divId w:val="1241134281"/>
      </w:pPr>
      <w:bookmarkStart w:id="0" w:name="_GoBack"/>
      <w:bookmarkEnd w:id="0"/>
      <w:r>
        <w:t xml:space="preserve">Verejnosť bola o príprave návrhu nariadenia vlády,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informovaná prostredníctvom zverejnenia predbežnej informácie. </w:t>
      </w:r>
    </w:p>
    <w:p w:rsidR="004D7A15" w:rsidRPr="00E55392" w:rsidRDefault="00D41138" w:rsidP="004D7A15">
      <w:pPr>
        <w:widowControl/>
        <w:rPr>
          <w:lang w:val="en-US"/>
        </w:rPr>
      </w:pPr>
      <w:r>
        <w:br/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F283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753AB"/>
    <w:rsid w:val="00C15152"/>
    <w:rsid w:val="00C9479C"/>
    <w:rsid w:val="00CD4237"/>
    <w:rsid w:val="00D41138"/>
    <w:rsid w:val="00D8599B"/>
    <w:rsid w:val="00E266D6"/>
    <w:rsid w:val="00E55392"/>
    <w:rsid w:val="00ED21F7"/>
    <w:rsid w:val="00F37E5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customStyle="1" w:styleId="western">
    <w:name w:val="western"/>
    <w:basedOn w:val="Normlny"/>
    <w:rsid w:val="00D4113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2.2023 17:28:58"/>
    <f:field ref="objchangedby" par="" text="Administrator, System"/>
    <f:field ref="objmodifiedat" par="" text="8.2.2023 17:29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Szakácsová Zuzana</cp:lastModifiedBy>
  <cp:revision>4</cp:revision>
  <cp:lastPrinted>2023-03-08T09:31:00Z</cp:lastPrinted>
  <dcterms:created xsi:type="dcterms:W3CDTF">2023-03-08T09:30:00Z</dcterms:created>
  <dcterms:modified xsi:type="dcterms:W3CDTF">2023-03-08T09:41:00Z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Zdravotníctvo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Vladimír Lengvarský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18" name="FSC#SKEDITIONSLOVLEX@103.510:rezortcislopredpis">
    <vt:lpwstr>S14336-2023-OL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LP/2023/51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Vladimír Lengvarský_x000d_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 class="western" style="margin-bottom: 0cm"&gt;&amp;nbsp;&lt;/p&gt;&lt;p align="justify" style="line-height: 100%; text-indent: 1.25cm; margin-top: 0.49cm; margin-bottom: 0.49cm"&gt;&lt;font face="Times New Roman, serif"&gt;&lt;font size="3" style="font-size: 12pt"&gt;</vt:lpwstr>
  </property>
  <property fmtid="{D5CDD505-2E9C-101B-9397-08002B2CF9AE}" pid="135" name="FSC#COOSYSTEM@1.1:Container">
    <vt:lpwstr>COO.2145.1000.3.5501895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 class="western" style="margin-bottom: 0.35cm"&gt;&amp;nbsp;&lt;/p&gt;&lt;p align="justify" class="western" style="margin-bottom: 0.35cm"&gt;&lt;br /&gt;&amp;nbsp;&lt;/p&gt;&lt;p align="justify" class="western" style="line-height: 150%; margin-bottom: 0.35cm"&gt;&lt;a name="_GoBack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h pracovných činností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čných odborov a sústave certifikovaných pracovných činností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8. 2. 2023</vt:lpwstr>
  </property>
</Properties>
</file>