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FE06" w14:textId="77777777" w:rsidR="008B4539" w:rsidRPr="00CC67FC" w:rsidRDefault="008B4539" w:rsidP="006210F5">
      <w:pPr>
        <w:spacing w:after="0" w:line="240" w:lineRule="auto"/>
        <w:jc w:val="center"/>
        <w:rPr>
          <w:rFonts w:cs="Times New Roman"/>
          <w:b/>
          <w:caps/>
          <w:spacing w:val="30"/>
          <w:szCs w:val="24"/>
        </w:rPr>
      </w:pPr>
      <w:bookmarkStart w:id="0" w:name="_GoBack"/>
      <w:bookmarkEnd w:id="0"/>
      <w:r w:rsidRPr="00CC67FC">
        <w:rPr>
          <w:rFonts w:cs="Times New Roman"/>
          <w:b/>
          <w:caps/>
          <w:spacing w:val="30"/>
          <w:szCs w:val="24"/>
        </w:rPr>
        <w:t xml:space="preserve">SPrÁva o Účasti verejnosti na Tvorbe právnych Predpisov </w:t>
      </w:r>
    </w:p>
    <w:p w14:paraId="55DDF64D" w14:textId="18F652E9" w:rsidR="008B4539" w:rsidRPr="00CC67FC" w:rsidRDefault="008B4539" w:rsidP="006210F5">
      <w:pPr>
        <w:spacing w:after="0" w:line="240" w:lineRule="auto"/>
        <w:rPr>
          <w:rFonts w:cs="Times New Roman"/>
          <w:szCs w:val="24"/>
        </w:rPr>
      </w:pPr>
    </w:p>
    <w:p w14:paraId="3CD76606" w14:textId="77777777" w:rsidR="008B4539" w:rsidRPr="00CC67FC" w:rsidRDefault="008B4539" w:rsidP="006210F5">
      <w:pPr>
        <w:spacing w:after="0" w:line="240" w:lineRule="auto"/>
        <w:rPr>
          <w:rFonts w:cs="Times New Roman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CC67FC" w:rsidRPr="00CC67FC" w14:paraId="549DDBCA" w14:textId="77777777" w:rsidTr="00AA5FE1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8CCB9B" w14:textId="77777777" w:rsidR="008B4539" w:rsidRPr="00CC67FC" w:rsidRDefault="008B4539" w:rsidP="006210F5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67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Správa o účasti verejnosti na tvorbe právneho predpisu</w:t>
            </w:r>
          </w:p>
          <w:p w14:paraId="716BEE32" w14:textId="77777777" w:rsidR="008B4539" w:rsidRPr="00CC67FC" w:rsidRDefault="008B4539" w:rsidP="006210F5">
            <w:pPr>
              <w:pStyle w:val="Nadpis2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67F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CC67FC" w:rsidRPr="00CC67FC" w14:paraId="387255AC" w14:textId="77777777" w:rsidTr="00AA5FE1">
        <w:trPr>
          <w:trHeight w:val="399"/>
        </w:trPr>
        <w:tc>
          <w:tcPr>
            <w:tcW w:w="850" w:type="pct"/>
            <w:vAlign w:val="center"/>
            <w:hideMark/>
          </w:tcPr>
          <w:p w14:paraId="4705B650" w14:textId="77777777"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14:paraId="41300469" w14:textId="77777777"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14:paraId="6A2618D1" w14:textId="77777777"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Kontrolná otázka</w:t>
            </w:r>
          </w:p>
        </w:tc>
        <w:tc>
          <w:tcPr>
            <w:tcW w:w="258" w:type="pct"/>
            <w:vAlign w:val="center"/>
          </w:tcPr>
          <w:p w14:paraId="5293009D" w14:textId="77777777"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Á</w:t>
            </w:r>
          </w:p>
        </w:tc>
        <w:tc>
          <w:tcPr>
            <w:tcW w:w="307" w:type="pct"/>
            <w:vAlign w:val="center"/>
          </w:tcPr>
          <w:p w14:paraId="6C8B5615" w14:textId="77777777" w:rsidR="008B4539" w:rsidRPr="00CC67FC" w:rsidRDefault="008B4539" w:rsidP="006210F5">
            <w:pPr>
              <w:rPr>
                <w:rFonts w:cs="Times New Roman"/>
                <w:b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N</w:t>
            </w:r>
          </w:p>
        </w:tc>
      </w:tr>
      <w:tr w:rsidR="00CC67FC" w:rsidRPr="00CC67FC" w14:paraId="6C3F8F0D" w14:textId="77777777" w:rsidTr="00AA5FE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14:paraId="154D6CA5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14:paraId="564DC284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14:paraId="002C3439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  <w:highlight w:val="cyan"/>
              </w:rPr>
            </w:pPr>
            <w:r w:rsidRPr="00CC67FC">
              <w:rPr>
                <w:rFonts w:cs="Times New Roman"/>
                <w:szCs w:val="24"/>
              </w:rPr>
              <w:t>Bol zadefinovaný cieľ účasti verejnosti na tvorbe právneho predpisu?</w:t>
            </w:r>
          </w:p>
        </w:tc>
        <w:sdt>
          <w:sdtPr>
            <w:rPr>
              <w:rFonts w:cs="Times New Roman"/>
              <w:szCs w:val="24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3ADC2242" w14:textId="599B293E" w:rsidR="008B4539" w:rsidRPr="00CC67FC" w:rsidRDefault="008B4539" w:rsidP="006210F5">
                <w:pPr>
                  <w:rPr>
                    <w:rFonts w:cs="Times New Roman"/>
                    <w:szCs w:val="24"/>
                  </w:rPr>
                </w:pPr>
                <w:r w:rsidRPr="00CC67FC">
                  <w:rPr>
                    <w:rFonts w:ascii="Segoe UI Symbol" w:eastAsia="MS Gothic" w:hAnsi="Segoe UI Symbol" w:cs="Segoe UI Symbol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A1B169F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313BA6AD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5D5FD5E4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Align w:val="center"/>
            <w:hideMark/>
          </w:tcPr>
          <w:p w14:paraId="409D6285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14:paraId="70D96839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Bola vykonaná identifikácia problému a alternatív riešení?</w:t>
            </w:r>
          </w:p>
        </w:tc>
        <w:sdt>
          <w:sdtPr>
            <w:rPr>
              <w:rFonts w:cs="Times New Roman"/>
              <w:szCs w:val="24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803FBA" w14:textId="16772C64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19A77F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3BDE61A4" w14:textId="77777777" w:rsidTr="00AA5FE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14:paraId="58761822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4588AFA9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14:paraId="27C7C209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cs="Times New Roman"/>
              <w:szCs w:val="24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6B8C5E" w14:textId="5507F568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F4B55B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5CF9FD62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5D549489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10D3424F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13A391D1" w14:textId="77777777" w:rsidR="008B4539" w:rsidRPr="00CC67FC" w:rsidRDefault="008B4539" w:rsidP="006210F5">
            <w:pPr>
              <w:jc w:val="both"/>
              <w:rPr>
                <w:rFonts w:cs="Times New Roman"/>
                <w:i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cs="Times New Roman"/>
              <w:szCs w:val="24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127500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1DAC7C" w14:textId="1B22B3AF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6ED54E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2E68B4EA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7D7A6F97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5D17EFA3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7A511CC0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informácie o plánovanom procese tvorby právneho predpisu?</w:t>
            </w:r>
          </w:p>
        </w:tc>
        <w:sdt>
          <w:sdtPr>
            <w:rPr>
              <w:rFonts w:cs="Times New Roman"/>
              <w:szCs w:val="24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C8D81B" w14:textId="41DBB68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173C14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4692DA97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01F15359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221724BF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14:paraId="6CE97BB1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cs="Times New Roman"/>
              <w:szCs w:val="24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43B3102" w14:textId="09654BA4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D3EF5E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3B5B996C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0AD8ACFF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357179D2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5D5B3631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relevantné informácie počas tvorby právneho predpisu?</w:t>
            </w:r>
          </w:p>
        </w:tc>
        <w:sdt>
          <w:sdtPr>
            <w:rPr>
              <w:rFonts w:cs="Times New Roman"/>
              <w:szCs w:val="24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1153656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F3AEBE4" w14:textId="57537F54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46770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78477E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0E0C245A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4419863F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23FF9B4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0B5B2791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cs="Times New Roman"/>
              <w:szCs w:val="24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1873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09897E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699623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EC79DE" w14:textId="0DB95E8E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CC67FC" w:rsidRPr="00CC67FC" w14:paraId="02755EA5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02DB36FD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2ED9346B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14:paraId="5DBCC2AA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Boli relevantné informácie o tvorbe právneho predpisu verejnosti poskytnuté včas?</w:t>
            </w:r>
          </w:p>
        </w:tc>
        <w:sdt>
          <w:sdtPr>
            <w:rPr>
              <w:rFonts w:cs="Times New Roman"/>
              <w:szCs w:val="24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84E3C7" w14:textId="2F99D8E1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2311F9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3D280C0E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6BBC839B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3A11BCD5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55861AF5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  <w:highlight w:val="cyan"/>
              </w:rPr>
            </w:pPr>
            <w:r w:rsidRPr="00CC67FC">
              <w:rPr>
                <w:rFonts w:cs="Times New Roman"/>
                <w:szCs w:val="24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cs="Times New Roman"/>
              <w:szCs w:val="24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C51235" w14:textId="4BFE4292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7582FA0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5FD3D2E5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44634363" w14:textId="77777777" w:rsidR="008B4539" w:rsidRPr="00CC67FC" w:rsidRDefault="008B4539" w:rsidP="006210F5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2F1CFFB0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14:paraId="0689CACC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cs="Times New Roman"/>
              <w:szCs w:val="24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35AF00" w14:textId="40482D78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878A5C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CC67FC" w:rsidRPr="00CC67FC" w14:paraId="40BD9ACE" w14:textId="77777777" w:rsidTr="00AA5FE1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14:paraId="5C4E958C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b/>
                <w:szCs w:val="24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4DCC0D73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14:paraId="282CDCB4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Bolo vykonané hodnotenie procesu tvorby právneho predpisu?</w:t>
            </w:r>
          </w:p>
        </w:tc>
        <w:sdt>
          <w:sdtPr>
            <w:rPr>
              <w:rFonts w:cs="Times New Roman"/>
              <w:szCs w:val="24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1BBCC1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50630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253060" w14:textId="5610CE64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CC67FC" w:rsidRPr="00CC67FC" w14:paraId="41613134" w14:textId="77777777" w:rsidTr="00AA5FE1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44E8B910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F1067B1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2366B2B7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Bola zverejnená hodnotiaca správa procesu tvorby právneho predpisu?</w:t>
            </w:r>
          </w:p>
        </w:tc>
        <w:sdt>
          <w:sdtPr>
            <w:rPr>
              <w:rFonts w:cs="Times New Roman"/>
              <w:szCs w:val="24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E2DFE9" w14:textId="77777777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Mincho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BB4C7C8" w14:textId="5EED4665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CC67FC" w:rsidRPr="00CC67FC" w14:paraId="6F928244" w14:textId="77777777" w:rsidTr="00AA5FE1">
        <w:trPr>
          <w:trHeight w:val="560"/>
        </w:trPr>
        <w:tc>
          <w:tcPr>
            <w:tcW w:w="850" w:type="pct"/>
            <w:vMerge/>
            <w:vAlign w:val="center"/>
          </w:tcPr>
          <w:p w14:paraId="48A960CC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14:paraId="24F341D6" w14:textId="77777777" w:rsidR="008B4539" w:rsidRPr="00CC67FC" w:rsidRDefault="008B4539" w:rsidP="006210F5">
            <w:pPr>
              <w:rPr>
                <w:rFonts w:cs="Times New Roman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23316C69" w14:textId="77777777" w:rsidR="008B4539" w:rsidRPr="00CC67FC" w:rsidRDefault="008B4539" w:rsidP="006210F5">
            <w:pPr>
              <w:jc w:val="both"/>
              <w:rPr>
                <w:rFonts w:cs="Times New Roman"/>
                <w:szCs w:val="24"/>
              </w:rPr>
            </w:pPr>
            <w:r w:rsidRPr="00CC67FC">
              <w:rPr>
                <w:rFonts w:cs="Times New Roman"/>
                <w:szCs w:val="24"/>
              </w:rPr>
              <w:t>Bol splnený cieľ účasti verejnosti na tvorbe právneho predpisu?</w:t>
            </w:r>
          </w:p>
        </w:tc>
        <w:sdt>
          <w:sdtPr>
            <w:rPr>
              <w:rFonts w:cs="Times New Roman"/>
              <w:szCs w:val="24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A18BE6E" w14:textId="7471E654" w:rsidR="008B4539" w:rsidRPr="00CC67FC" w:rsidRDefault="008B4539" w:rsidP="006210F5">
                    <w:pPr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4E43F9" w14:textId="774A8504" w:rsidR="008B4539" w:rsidRPr="00CC67FC" w:rsidRDefault="008B4539" w:rsidP="006210F5">
                    <w:pPr>
                      <w:keepNext/>
                      <w:rPr>
                        <w:rFonts w:cs="Times New Roman"/>
                        <w:szCs w:val="24"/>
                      </w:rPr>
                    </w:pPr>
                    <w:r w:rsidRPr="00CC67FC">
                      <w:rPr>
                        <w:rFonts w:ascii="Segoe UI Symbol" w:eastAsia="MS Gothic" w:hAnsi="Segoe UI Symbol" w:cs="Segoe UI Symbol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</w:tbl>
    <w:p w14:paraId="64E62282" w14:textId="6BC6D02E" w:rsidR="008B4539" w:rsidRPr="00CC67FC" w:rsidRDefault="008B4539" w:rsidP="006210F5">
      <w:pPr>
        <w:spacing w:after="0" w:line="240" w:lineRule="auto"/>
        <w:rPr>
          <w:rFonts w:cs="Times New Roman"/>
          <w:szCs w:val="24"/>
        </w:rPr>
      </w:pPr>
    </w:p>
    <w:p w14:paraId="24DA41EF" w14:textId="02CA3633" w:rsidR="002737C4" w:rsidRDefault="00EA5B2C" w:rsidP="00C947A3">
      <w:pPr>
        <w:spacing w:after="0"/>
        <w:ind w:firstLine="708"/>
        <w:jc w:val="both"/>
        <w:rPr>
          <w:rFonts w:cs="Times New Roman"/>
          <w:szCs w:val="24"/>
        </w:rPr>
      </w:pPr>
      <w:r w:rsidRPr="00CC67FC">
        <w:rPr>
          <w:rFonts w:cs="Times New Roman"/>
          <w:szCs w:val="24"/>
        </w:rPr>
        <w:t xml:space="preserve">Verejnosť bola o príprave návrhu </w:t>
      </w:r>
      <w:r w:rsidR="00CC67FC" w:rsidRPr="00CC67FC">
        <w:rPr>
          <w:rFonts w:cs="Times New Roman"/>
          <w:szCs w:val="24"/>
        </w:rPr>
        <w:t>zákona</w:t>
      </w:r>
      <w:r w:rsidR="00E952C0">
        <w:rPr>
          <w:rFonts w:cs="Times New Roman"/>
          <w:szCs w:val="24"/>
        </w:rPr>
        <w:t xml:space="preserve"> o štátnych hmotných rezervách </w:t>
      </w:r>
      <w:r w:rsidR="00C947A3">
        <w:rPr>
          <w:rFonts w:cs="Times New Roman"/>
          <w:szCs w:val="24"/>
        </w:rPr>
        <w:t xml:space="preserve">(ďalej len „návrh zákona“) </w:t>
      </w:r>
      <w:r w:rsidRPr="00CC67FC">
        <w:rPr>
          <w:rFonts w:cs="Times New Roman"/>
          <w:szCs w:val="24"/>
        </w:rPr>
        <w:t xml:space="preserve">informovaná prostredníctvom </w:t>
      </w:r>
      <w:r w:rsidR="00CC67FC" w:rsidRPr="00CC67FC">
        <w:rPr>
          <w:rFonts w:cs="Times New Roman"/>
          <w:szCs w:val="24"/>
        </w:rPr>
        <w:t>predbežnej informácie PI/202</w:t>
      </w:r>
      <w:r w:rsidR="00E952C0">
        <w:rPr>
          <w:rFonts w:cs="Times New Roman"/>
          <w:szCs w:val="24"/>
        </w:rPr>
        <w:t>2</w:t>
      </w:r>
      <w:r w:rsidRPr="00CC67FC">
        <w:rPr>
          <w:rFonts w:cs="Times New Roman"/>
          <w:szCs w:val="24"/>
        </w:rPr>
        <w:t>/</w:t>
      </w:r>
      <w:r w:rsidR="00CC67FC" w:rsidRPr="00CC67FC">
        <w:rPr>
          <w:rFonts w:cs="Times New Roman"/>
          <w:szCs w:val="24"/>
        </w:rPr>
        <w:t>5</w:t>
      </w:r>
      <w:r w:rsidR="00E952C0">
        <w:rPr>
          <w:rFonts w:cs="Times New Roman"/>
          <w:szCs w:val="24"/>
        </w:rPr>
        <w:t>4</w:t>
      </w:r>
      <w:r w:rsidRPr="00CC67FC">
        <w:rPr>
          <w:rFonts w:cs="Times New Roman"/>
          <w:szCs w:val="24"/>
        </w:rPr>
        <w:t xml:space="preserve"> zverejnenej na portáli Slov-Lex. Na základe zverejnenej predbežnej informácie PI/202</w:t>
      </w:r>
      <w:r w:rsidR="00E952C0">
        <w:rPr>
          <w:rFonts w:cs="Times New Roman"/>
          <w:szCs w:val="24"/>
        </w:rPr>
        <w:t>2</w:t>
      </w:r>
      <w:r w:rsidRPr="00CC67FC">
        <w:rPr>
          <w:rFonts w:cs="Times New Roman"/>
          <w:szCs w:val="24"/>
        </w:rPr>
        <w:t>/</w:t>
      </w:r>
      <w:r w:rsidR="00CC67FC" w:rsidRPr="00CC67FC">
        <w:rPr>
          <w:rFonts w:cs="Times New Roman"/>
          <w:szCs w:val="24"/>
        </w:rPr>
        <w:t>5</w:t>
      </w:r>
      <w:r w:rsidR="00E952C0">
        <w:rPr>
          <w:rFonts w:cs="Times New Roman"/>
          <w:szCs w:val="24"/>
        </w:rPr>
        <w:t>4</w:t>
      </w:r>
      <w:r w:rsidRPr="00CC67FC">
        <w:rPr>
          <w:rFonts w:cs="Times New Roman"/>
          <w:szCs w:val="24"/>
        </w:rPr>
        <w:t xml:space="preserve"> mohla verejnosť od </w:t>
      </w:r>
      <w:r w:rsidR="00BA21FC">
        <w:rPr>
          <w:rFonts w:cs="Times New Roman"/>
          <w:szCs w:val="24"/>
        </w:rPr>
        <w:t>2</w:t>
      </w:r>
      <w:r w:rsidR="00E952C0">
        <w:rPr>
          <w:rFonts w:cs="Times New Roman"/>
          <w:szCs w:val="24"/>
        </w:rPr>
        <w:t>8</w:t>
      </w:r>
      <w:r w:rsidR="00BA21FC">
        <w:rPr>
          <w:rFonts w:cs="Times New Roman"/>
          <w:szCs w:val="24"/>
        </w:rPr>
        <w:t>.</w:t>
      </w:r>
      <w:r w:rsidR="00467352">
        <w:rPr>
          <w:rFonts w:cs="Times New Roman"/>
          <w:szCs w:val="24"/>
        </w:rPr>
        <w:t xml:space="preserve"> </w:t>
      </w:r>
      <w:r w:rsidR="00E952C0">
        <w:rPr>
          <w:rFonts w:cs="Times New Roman"/>
          <w:szCs w:val="24"/>
        </w:rPr>
        <w:t>marca</w:t>
      </w:r>
      <w:r w:rsidR="00467352">
        <w:rPr>
          <w:rFonts w:cs="Times New Roman"/>
          <w:szCs w:val="24"/>
        </w:rPr>
        <w:t xml:space="preserve"> </w:t>
      </w:r>
      <w:r w:rsidR="00BA21FC">
        <w:rPr>
          <w:rFonts w:cs="Times New Roman"/>
          <w:szCs w:val="24"/>
        </w:rPr>
        <w:t>202</w:t>
      </w:r>
      <w:r w:rsidR="00E952C0">
        <w:rPr>
          <w:rFonts w:cs="Times New Roman"/>
          <w:szCs w:val="24"/>
        </w:rPr>
        <w:t>2</w:t>
      </w:r>
      <w:r w:rsidR="00BA21FC">
        <w:rPr>
          <w:rFonts w:cs="Times New Roman"/>
          <w:szCs w:val="24"/>
        </w:rPr>
        <w:t xml:space="preserve"> do 11.</w:t>
      </w:r>
      <w:r w:rsidR="00467352">
        <w:rPr>
          <w:rFonts w:cs="Times New Roman"/>
          <w:szCs w:val="24"/>
        </w:rPr>
        <w:t xml:space="preserve"> </w:t>
      </w:r>
      <w:r w:rsidR="00E952C0">
        <w:rPr>
          <w:rFonts w:cs="Times New Roman"/>
          <w:szCs w:val="24"/>
        </w:rPr>
        <w:t>apríla</w:t>
      </w:r>
      <w:r w:rsidR="00467352">
        <w:rPr>
          <w:rFonts w:cs="Times New Roman"/>
          <w:szCs w:val="24"/>
        </w:rPr>
        <w:t xml:space="preserve"> </w:t>
      </w:r>
      <w:r w:rsidR="00BA21FC">
        <w:rPr>
          <w:rFonts w:cs="Times New Roman"/>
          <w:szCs w:val="24"/>
        </w:rPr>
        <w:t>202</w:t>
      </w:r>
      <w:r w:rsidR="00E952C0">
        <w:rPr>
          <w:rFonts w:cs="Times New Roman"/>
          <w:szCs w:val="24"/>
        </w:rPr>
        <w:t>2</w:t>
      </w:r>
      <w:r w:rsidRPr="00CC67FC">
        <w:rPr>
          <w:rFonts w:cs="Times New Roman"/>
          <w:szCs w:val="24"/>
        </w:rPr>
        <w:t xml:space="preserve"> predkladať svoje návrhy a pripomienky. </w:t>
      </w:r>
      <w:r w:rsidR="00DB157C" w:rsidRPr="00CC67FC">
        <w:rPr>
          <w:rFonts w:cs="Times New Roman"/>
          <w:szCs w:val="24"/>
        </w:rPr>
        <w:t>N</w:t>
      </w:r>
      <w:r w:rsidR="0098693D" w:rsidRPr="00CC67FC">
        <w:rPr>
          <w:rFonts w:cs="Times New Roman"/>
          <w:szCs w:val="24"/>
        </w:rPr>
        <w:t>ávrhy a pripomienky, ktoré boli zo strany verejnosti vznesené v stanovenom období, vyhodnotil</w:t>
      </w:r>
      <w:r w:rsidR="00E952C0">
        <w:rPr>
          <w:rFonts w:cs="Times New Roman"/>
          <w:szCs w:val="24"/>
        </w:rPr>
        <w:t>a</w:t>
      </w:r>
      <w:r w:rsidR="0098693D" w:rsidRPr="00CC67FC">
        <w:rPr>
          <w:rFonts w:cs="Times New Roman"/>
          <w:szCs w:val="24"/>
        </w:rPr>
        <w:t xml:space="preserve"> </w:t>
      </w:r>
      <w:r w:rsidR="00E952C0">
        <w:rPr>
          <w:rFonts w:cs="Times New Roman"/>
          <w:szCs w:val="24"/>
        </w:rPr>
        <w:t xml:space="preserve">Správa štátnych hmotných rezerv Slovenskej republiky </w:t>
      </w:r>
      <w:r w:rsidR="0098693D" w:rsidRPr="00CC67FC">
        <w:rPr>
          <w:rFonts w:cs="Times New Roman"/>
          <w:szCs w:val="24"/>
        </w:rPr>
        <w:t>nasledujúco:</w:t>
      </w:r>
    </w:p>
    <w:p w14:paraId="73C4939F" w14:textId="77777777" w:rsidR="007A1942" w:rsidRPr="00CC67FC" w:rsidRDefault="007A1942" w:rsidP="007A1942">
      <w:pPr>
        <w:spacing w:after="0" w:line="240" w:lineRule="auto"/>
        <w:rPr>
          <w:rFonts w:cs="Times New Roman"/>
          <w:szCs w:val="24"/>
        </w:rPr>
      </w:pPr>
    </w:p>
    <w:tbl>
      <w:tblPr>
        <w:tblW w:w="515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4163"/>
        <w:gridCol w:w="3979"/>
      </w:tblGrid>
      <w:tr w:rsidR="00CC67FC" w:rsidRPr="00CC67FC" w14:paraId="65C2858A" w14:textId="77777777" w:rsidTr="00E952C0">
        <w:trPr>
          <w:jc w:val="center"/>
        </w:trPr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FAF6" w14:textId="77777777" w:rsidR="002737C4" w:rsidRPr="00CC67FC" w:rsidRDefault="002737C4" w:rsidP="006210F5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C67FC">
              <w:rPr>
                <w:rFonts w:cs="Times New Roman"/>
                <w:b/>
                <w:bCs/>
                <w:szCs w:val="24"/>
              </w:rPr>
              <w:t>Subjekt</w:t>
            </w:r>
          </w:p>
        </w:tc>
        <w:tc>
          <w:tcPr>
            <w:tcW w:w="2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194D2" w14:textId="77777777" w:rsidR="002737C4" w:rsidRPr="00CC67FC" w:rsidRDefault="002737C4" w:rsidP="006210F5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C67FC">
              <w:rPr>
                <w:rFonts w:cs="Times New Roman"/>
                <w:b/>
                <w:bCs/>
                <w:szCs w:val="24"/>
              </w:rPr>
              <w:t>Vyjadrenia</w:t>
            </w:r>
          </w:p>
        </w:tc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F713E2" w14:textId="77777777" w:rsidR="002737C4" w:rsidRPr="00CC67FC" w:rsidRDefault="002737C4" w:rsidP="006210F5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C67FC">
              <w:rPr>
                <w:rFonts w:cs="Times New Roman"/>
                <w:b/>
                <w:bCs/>
                <w:szCs w:val="24"/>
              </w:rPr>
              <w:t>Vyhodnotenie</w:t>
            </w:r>
          </w:p>
        </w:tc>
      </w:tr>
      <w:tr w:rsidR="00CC67FC" w:rsidRPr="00CC67FC" w14:paraId="7AF347FA" w14:textId="77777777" w:rsidTr="00E952C0">
        <w:trPr>
          <w:jc w:val="center"/>
        </w:trPr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9E110" w14:textId="37E79060" w:rsidR="002737C4" w:rsidRPr="00CC67FC" w:rsidRDefault="00955BC8" w:rsidP="006210F5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C67FC">
              <w:rPr>
                <w:rFonts w:cs="Times New Roman"/>
                <w:b/>
                <w:bCs/>
                <w:szCs w:val="24"/>
              </w:rPr>
              <w:t>RÚZSR</w:t>
            </w:r>
          </w:p>
        </w:tc>
        <w:tc>
          <w:tcPr>
            <w:tcW w:w="2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C0C2A" w14:textId="36FF9B56" w:rsidR="002737C4" w:rsidRPr="00CC67FC" w:rsidRDefault="00E952C0" w:rsidP="006210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952C0">
              <w:rPr>
                <w:rFonts w:cs="Times New Roman"/>
                <w:szCs w:val="24"/>
              </w:rPr>
              <w:t xml:space="preserve">Vítame a podporujeme ambíciu Správy štátnych hmotných rezerv Slovenskej republiky (SŠHR SR) vypracovať novú právnu úpravu súvisiacu s tvorbou, financovaním, hospodárením, kontrolou vlastníckymi vzťahmi a pôsobnosťou SŠHR SR, ktorá nahradí doterajší zákon č. 372/2012 Z. z. o štátnych hmotných rezervách a o doplnení zákona č. 25/2007 Z. z. o elektronickom výbere mýta za užívanie vymedzených úsekov pozemných komunikácií a o zmene a doplnení niektorých zákonov v znení neskorších predpisov. Najmä v súvislosti s pandémiou spôsobenou koronavírusom COVID-19 ako aj inváziou ruských vojsk na Ukrajinu považujeme za nevyhnutné, aby návrh zákona bol flexibilný a vedel pružne a rýchlo reagovať aj na akútne potreby v prípade riešenia najmä krízových situácií, mimoriadnych udalostí, stavu núdze v energetike a potravinovej bezpečnosti štátu. Zároveň máme za to, že je nevyhnutné aby v návrhu zákona bola ustanovená povinnosť, aby sa pri tvorbe štátnych hmotných rezerv (najmä hmotných rezerv) postupovalo účelne a hospodárne a aby sa v rámci štátnych hmotných rezerv držali aj suroviny, ktoré je v prípade potreby možné použiť na rôzne účely a zároveň je SR pri ich výrobe sebestačné. Ako príklad takýchto viac-účelných surovín možno uviesť: • lieh (napr. výroba dezinfekcie a iných hygienických výrobkov, použiteľnosť v potravinárskom priemysle, výroba medicínskych výrobkov, použiteľnosť v chemickom priemysle) • surový repkový olej potravinárskej kvality (výroba oleja pre potravinárske účely, pri jeho výrobe vznikajú zároveň repkové </w:t>
            </w:r>
            <w:r w:rsidRPr="00E952C0">
              <w:rPr>
                <w:rFonts w:cs="Times New Roman"/>
                <w:szCs w:val="24"/>
              </w:rPr>
              <w:lastRenderedPageBreak/>
              <w:t>šroty, ktoré sú používané ako vysoko proteínové kŕmne suroviny, ktoré zabezpečujú výživu dobytka, ošípaných a hydiny a sú vhodné aj pre ryby v sektore akvakultúry) Premietnutie vyššie uvedených podnetov v rámci návrhu zákona podľa nášho názoru prispeje ku kvalitnejšej finálnej podobe návrhu zákona a navrhujeme, aby boli v pripravovanom legislatívnom návrhu nového zákona uvedené podnety aj zohľadnené. Zároveň si dovoľujeme požiadať SŠHR o zorganizovanie konzultácie v rámci predbežnej informácie k návrhu zákona.</w:t>
            </w:r>
          </w:p>
        </w:tc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DDA1A" w14:textId="05E498E8" w:rsidR="00C15FB1" w:rsidRDefault="0032131D" w:rsidP="00064738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        </w:t>
            </w:r>
            <w:r w:rsidR="00C15FB1" w:rsidRPr="00742CF1">
              <w:rPr>
                <w:rFonts w:cs="Times New Roman"/>
              </w:rPr>
              <w:t>Zástupcovia SŠHR SR</w:t>
            </w:r>
            <w:r w:rsidR="00C15FB1">
              <w:rPr>
                <w:rFonts w:cs="Times New Roman"/>
              </w:rPr>
              <w:t xml:space="preserve"> </w:t>
            </w:r>
            <w:r w:rsidR="00C15FB1" w:rsidRPr="00742CF1">
              <w:rPr>
                <w:rFonts w:cs="Times New Roman"/>
              </w:rPr>
              <w:t xml:space="preserve">uviedli, že spracovanie a štruktúra nového zákona o ŠHR sa pripravuje v súlade s aplikačnou praxou. </w:t>
            </w:r>
            <w:r w:rsidR="00C15FB1">
              <w:rPr>
                <w:rFonts w:cs="Times New Roman"/>
              </w:rPr>
              <w:t xml:space="preserve">Zákon by mal byť flexibilnejší, </w:t>
            </w:r>
            <w:r w:rsidR="00C15FB1" w:rsidRPr="00742CF1">
              <w:rPr>
                <w:rFonts w:cs="Times New Roman"/>
              </w:rPr>
              <w:t>aby sa pri riešení rôznych situácií mohlo flexibilnejšie reagovať. Tvo</w:t>
            </w:r>
            <w:r w:rsidR="00C15FB1">
              <w:rPr>
                <w:rFonts w:cs="Times New Roman"/>
              </w:rPr>
              <w:t xml:space="preserve">rba surovinovej základne závisí </w:t>
            </w:r>
            <w:r w:rsidR="00C15FB1" w:rsidRPr="00742CF1">
              <w:rPr>
                <w:rFonts w:cs="Times New Roman"/>
              </w:rPr>
              <w:t>od schválenia vlády</w:t>
            </w:r>
            <w:r w:rsidR="00045F17">
              <w:rPr>
                <w:rFonts w:cs="Times New Roman"/>
              </w:rPr>
              <w:t xml:space="preserve"> Slovenskej republiky</w:t>
            </w:r>
            <w:r w:rsidR="00C15FB1" w:rsidRPr="00742CF1">
              <w:rPr>
                <w:rFonts w:cs="Times New Roman"/>
              </w:rPr>
              <w:t xml:space="preserve">, resp. od subjektov hospodárskej mobilizácie. Nie je možné zákonom stanoviť konkrétne položky. Samotná aplikačná prax ukázala, že niektoré veci a postupy by sa dali zjednodušiť a zrýchliť. Zástupcovia SŠHR SR konštatovali, že medzirezortné pripomienkové konanie by malo prebehnúť v priebehu </w:t>
            </w:r>
            <w:r w:rsidR="00C15FB1">
              <w:rPr>
                <w:rFonts w:cs="Times New Roman"/>
              </w:rPr>
              <w:t xml:space="preserve">leta 2022. </w:t>
            </w:r>
            <w:r w:rsidR="00C15FB1" w:rsidRPr="00742CF1">
              <w:rPr>
                <w:rFonts w:cs="Times New Roman"/>
              </w:rPr>
              <w:t>Koncept tvorby nového zákona o ŠHR neráta s možnosťou využitia štátnych hmotných rezerv mimo územia Slovenskej republiky. Aktuálne by sa zachovala možnosť humanitárnej pomoci.</w:t>
            </w:r>
          </w:p>
          <w:p w14:paraId="78005AD1" w14:textId="77777777" w:rsidR="00E13CEF" w:rsidRDefault="00E13CEF" w:rsidP="00064738">
            <w:pPr>
              <w:spacing w:after="0" w:line="240" w:lineRule="auto"/>
              <w:jc w:val="both"/>
              <w:rPr>
                <w:rFonts w:cs="Times New Roman"/>
              </w:rPr>
            </w:pPr>
          </w:p>
          <w:p w14:paraId="14A3905E" w14:textId="1D99BBC5" w:rsidR="005F2A46" w:rsidRDefault="0032131D" w:rsidP="0071571E">
            <w:pPr>
              <w:spacing w:after="0" w:line="240" w:lineRule="auto"/>
              <w:ind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C15FB1">
              <w:rPr>
                <w:rFonts w:cs="Times New Roman"/>
              </w:rPr>
              <w:t>Zástupcovia SŠHR SR zároveň uviedli, že pri tvorbe štátnych hmotných rezerv v súlade s rozpočtovými pravidlami verejnej správy postupujú a budú postupovať hospodárne a účelne a takéto zásady budú vyjadrované aj v návrhu nového zákona o štátnych hmotných rezervách.</w:t>
            </w:r>
          </w:p>
          <w:p w14:paraId="5C4091F9" w14:textId="77777777" w:rsidR="0032131D" w:rsidRDefault="0032131D" w:rsidP="0032131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25FE84E6" w14:textId="02D41AAF" w:rsidR="00C15FB1" w:rsidRPr="00742CF1" w:rsidRDefault="0032131D" w:rsidP="0032131D">
            <w:pPr>
              <w:spacing w:after="0" w:line="240" w:lineRule="auto"/>
              <w:jc w:val="both"/>
              <w:rPr>
                <w:rFonts w:cs="Times New Roman"/>
                <w:u w:val="single"/>
              </w:rPr>
            </w:pPr>
            <w:r>
              <w:rPr>
                <w:rFonts w:cs="Times New Roman"/>
                <w:szCs w:val="24"/>
              </w:rPr>
              <w:t xml:space="preserve">          </w:t>
            </w:r>
            <w:r w:rsidR="00C15FB1" w:rsidRPr="00742CF1">
              <w:rPr>
                <w:rFonts w:cs="Times New Roman"/>
              </w:rPr>
              <w:t xml:space="preserve">Účastníci konzultácie </w:t>
            </w:r>
            <w:r w:rsidR="00C15FB1">
              <w:rPr>
                <w:rFonts w:cs="Times New Roman"/>
              </w:rPr>
              <w:t>prerokovali pripomienky k pripravovanému</w:t>
            </w:r>
            <w:r w:rsidR="00C15FB1" w:rsidRPr="00742CF1">
              <w:rPr>
                <w:rFonts w:cs="Times New Roman"/>
              </w:rPr>
              <w:t xml:space="preserve"> zákonu o ŠHR, pričom sa dohodli, </w:t>
            </w:r>
            <w:r w:rsidR="00C15FB1">
              <w:rPr>
                <w:rFonts w:cs="Times New Roman"/>
              </w:rPr>
              <w:t xml:space="preserve">  </w:t>
            </w:r>
            <w:r w:rsidR="00C15FB1" w:rsidRPr="00742CF1">
              <w:rPr>
                <w:rFonts w:cs="Times New Roman"/>
              </w:rPr>
              <w:t>že pri príprave zákona budú ďalej spolupracovať.</w:t>
            </w:r>
          </w:p>
          <w:p w14:paraId="12C5BC60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328DBD78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73502485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1AE6619D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7F4A7FD5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540B1E93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767D6473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5A574593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24F2DAAF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4BD50A0E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0CF31C11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7455D50B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24A0B3F1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3DF1E43D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5A31204E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3F2215B4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5DE000A8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0166DC25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4F51F2A8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7F83413A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7C65A4CA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17088341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2205ECF9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7475CB5B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52273336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135558C7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62EFE9C9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4CF5A441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4E7DD882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57F22B32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40ADFA77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20E5B900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3915C5DD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18277FD0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4FFA62CD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73C32E2C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75650FDE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73D9E9D6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21258736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76FD332E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6065C29E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12E5F65D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22CA71F4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3F984664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6EDEFBCB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139B1931" w14:textId="77777777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664B89D3" w14:textId="6CA30C0E" w:rsidR="005F2A46" w:rsidRPr="00CC67FC" w:rsidRDefault="005F2A46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</w:tc>
      </w:tr>
      <w:tr w:rsidR="00A04639" w:rsidRPr="00CC67FC" w14:paraId="0FC86EA6" w14:textId="77777777" w:rsidTr="00E952C0">
        <w:trPr>
          <w:jc w:val="center"/>
        </w:trPr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C55BAA" w14:textId="63E734C1" w:rsidR="00A04639" w:rsidRPr="00CC67FC" w:rsidRDefault="00A04639" w:rsidP="006210F5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04639">
              <w:rPr>
                <w:rFonts w:cs="Times New Roman"/>
                <w:b/>
                <w:bCs/>
                <w:szCs w:val="24"/>
              </w:rPr>
              <w:lastRenderedPageBreak/>
              <w:t>SPPK</w:t>
            </w:r>
          </w:p>
        </w:tc>
        <w:tc>
          <w:tcPr>
            <w:tcW w:w="2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A8C8E" w14:textId="2A650FC6" w:rsidR="00A04639" w:rsidRPr="00E952C0" w:rsidRDefault="00A04639" w:rsidP="006210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4639">
              <w:rPr>
                <w:rFonts w:cs="Times New Roman"/>
                <w:szCs w:val="24"/>
              </w:rPr>
              <w:t xml:space="preserve">Vítame a podporujeme ambíciu Správy štátnych hmotných rezerv Slovenskej republiky (SŠHR SR) vypracovať novú právnu úpravu súvisiacu s tvorbou, financovaním, hospodárením, kontrolou vlastníckymi vzťahmi a pôsobnosťou </w:t>
            </w:r>
            <w:r w:rsidRPr="00A04639">
              <w:rPr>
                <w:rFonts w:cs="Times New Roman"/>
                <w:szCs w:val="24"/>
              </w:rPr>
              <w:lastRenderedPageBreak/>
              <w:t>SŠHR SR, ktorá nahradí doterajší zákon č. 372/2012 Z. z. o štátnych hmotných rezervách a o doplnení zákona č. 25/2007 Z. z. o elektronickom výbere mýta za užívanie vymedzených úsekov pozemných komunikácií a o zmene a doplnení niektorých zákonov v znení neskorších predpisov. Najmä v súvislosti s pandémiou spôsobenou koronavírusom COVID-19, ako aj inváziou ruských vojsk na Ukrajinu považujeme za nevyhnutné, aby návrh zákona bol flexibilný a vedel pružne a rýchlo reagovať aj na akútne potreby v prípade riešenia najmä krízových situácií, mimoriadnych udalostí, stavu núdze v energetike a potravinovej bezpečnosti štátu. Zároveň máme za to, že je nevyhnutné aby v návrhu zákona bola ustanovená povinnosť, aby sa pri tvorbe štátnych hmotných rezerv (najmä hmotných rezerv) postupovalo účelne a hospodárne a aby sa v rámci štátnych hmotných rezerv držali aj suroviny, ktoré je v prípade potreby možné použiť na rôzne účely a zároveň je SR pri ich výrobe sebestačné. Ako príklad takýchto viac-účelných surovín možno uviesť: • lieh (napr. výroba dezinfekcie a iných hygienických výrobkov, použiteľnosť v potravinárskom priemysle, výroba medicínskych výrobkov, použiteľnosť v chemickom priemysle), • surový repkový olej potravinárskej kvality (výroba oleja pre potravinárske účely, pri jeho výrobe vznikajú zároveň repkové šroty, ktoré sú používané ako vysoko proteínové kŕmne suroviny, ktoré zabezpečujú výživu dobytka, ošípaných a hydiny a sú vhodné aj pre ryby v sektore akvakultúry). Premietnutie vyššie uvedených podnetov v rámci návrhu zákona podľa nášho názoru prispeje ku kvalitnejšej finálnej podobe návrhu zákona a navrhujeme, aby boli v pripravovanom legislatívnom návrhu nového zákona uvedené podnety aj zohľadnené. Zároveň si dovoľujeme požiadať SŠHR o zorganizovanie konzultácie v rámci predbežnej informácie k návrhu zákona.</w:t>
            </w:r>
          </w:p>
        </w:tc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A45AF3" w14:textId="6F91153F" w:rsidR="00C15FB1" w:rsidRDefault="0032131D" w:rsidP="00064738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        </w:t>
            </w:r>
            <w:r w:rsidR="00C15FB1" w:rsidRPr="00742CF1">
              <w:rPr>
                <w:rFonts w:cs="Times New Roman"/>
              </w:rPr>
              <w:t>Zástupcovia SŠHR SR</w:t>
            </w:r>
            <w:r w:rsidR="00C15FB1">
              <w:rPr>
                <w:rFonts w:cs="Times New Roman"/>
              </w:rPr>
              <w:t xml:space="preserve"> </w:t>
            </w:r>
            <w:r w:rsidR="00C15FB1" w:rsidRPr="00742CF1">
              <w:rPr>
                <w:rFonts w:cs="Times New Roman"/>
              </w:rPr>
              <w:t xml:space="preserve">uviedli, že spracovanie a štruktúra nového zákona o ŠHR sa pripravuje v súlade s aplikačnou praxou. </w:t>
            </w:r>
            <w:r w:rsidR="00C15FB1">
              <w:rPr>
                <w:rFonts w:cs="Times New Roman"/>
              </w:rPr>
              <w:t xml:space="preserve">Zákon by mal byť flexibilnejší, </w:t>
            </w:r>
            <w:r w:rsidR="00C15FB1" w:rsidRPr="00742CF1">
              <w:rPr>
                <w:rFonts w:cs="Times New Roman"/>
              </w:rPr>
              <w:t>aby sa pri riešení rôznych situácií mohlo flexibilnejšie reagovať. Tvo</w:t>
            </w:r>
            <w:r w:rsidR="00C15FB1">
              <w:rPr>
                <w:rFonts w:cs="Times New Roman"/>
              </w:rPr>
              <w:t xml:space="preserve">rba </w:t>
            </w:r>
            <w:r w:rsidR="00C15FB1">
              <w:rPr>
                <w:rFonts w:cs="Times New Roman"/>
              </w:rPr>
              <w:lastRenderedPageBreak/>
              <w:t xml:space="preserve">surovinovej základne závisí </w:t>
            </w:r>
            <w:r w:rsidR="00C15FB1" w:rsidRPr="00742CF1">
              <w:rPr>
                <w:rFonts w:cs="Times New Roman"/>
              </w:rPr>
              <w:t>od schválenia vlády</w:t>
            </w:r>
            <w:r w:rsidR="00E72DFF">
              <w:rPr>
                <w:rFonts w:cs="Times New Roman"/>
              </w:rPr>
              <w:t xml:space="preserve"> Slovenskej republiky</w:t>
            </w:r>
            <w:r w:rsidR="00C15FB1" w:rsidRPr="00742CF1">
              <w:rPr>
                <w:rFonts w:cs="Times New Roman"/>
              </w:rPr>
              <w:t xml:space="preserve">, resp. od subjektov hospodárskej mobilizácie. Nie je možné zákonom stanoviť konkrétne položky. Samotná aplikačná prax ukázala, že niektoré veci a postupy by sa dali zjednodušiť a zrýchliť. Zástupcovia SŠHR SR konštatovali, že medzirezortné pripomienkové konanie by malo prebehnúť v priebehu </w:t>
            </w:r>
            <w:r w:rsidR="00C15FB1">
              <w:rPr>
                <w:rFonts w:cs="Times New Roman"/>
              </w:rPr>
              <w:t xml:space="preserve">leta 2022. </w:t>
            </w:r>
            <w:r w:rsidR="00C15FB1" w:rsidRPr="00742CF1">
              <w:rPr>
                <w:rFonts w:cs="Times New Roman"/>
              </w:rPr>
              <w:t>Koncept tvorby nového zákona o ŠHR neráta s možnosťou využitia štátnych hmotných rezerv mimo územia Slovenskej republiky. Aktuálne by sa zachovala možnosť humanitárnej pomoci.</w:t>
            </w:r>
          </w:p>
          <w:p w14:paraId="0C41D800" w14:textId="77777777" w:rsidR="00C15FB1" w:rsidRDefault="00C15FB1" w:rsidP="00064738">
            <w:pPr>
              <w:spacing w:after="0" w:line="240" w:lineRule="auto"/>
              <w:ind w:firstLine="708"/>
              <w:jc w:val="both"/>
              <w:rPr>
                <w:rFonts w:cs="Times New Roman"/>
              </w:rPr>
            </w:pPr>
          </w:p>
          <w:p w14:paraId="5508228F" w14:textId="0F20F466" w:rsidR="00C15FB1" w:rsidRDefault="0032131D" w:rsidP="0071571E">
            <w:pPr>
              <w:spacing w:after="0" w:line="240" w:lineRule="auto"/>
              <w:ind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C15FB1">
              <w:rPr>
                <w:rFonts w:cs="Times New Roman"/>
              </w:rPr>
              <w:t>Zástupcovia SŠHR SR zároveň uviedli, že pri tvorbe štátnych hmotných rezerv v súlade s rozpočtovými pravidlami verejnej správy postupujú a budú postupovať hospodárne a účelne a takéto zásady budú vyjadrované aj v návrhu nového zákona o štátnych hmotných rezervách.</w:t>
            </w:r>
          </w:p>
          <w:p w14:paraId="2BD3BB41" w14:textId="77777777" w:rsidR="00064738" w:rsidRPr="00CC67FC" w:rsidRDefault="00064738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3422A862" w14:textId="42A7FF44" w:rsidR="00C15FB1" w:rsidRPr="00742CF1" w:rsidRDefault="0032131D" w:rsidP="0032131D">
            <w:pPr>
              <w:spacing w:after="0" w:line="240" w:lineRule="auto"/>
              <w:jc w:val="both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 xml:space="preserve">          </w:t>
            </w:r>
            <w:r w:rsidR="00C15FB1" w:rsidRPr="00742CF1">
              <w:rPr>
                <w:rFonts w:cs="Times New Roman"/>
              </w:rPr>
              <w:t xml:space="preserve">Účastníci konzultácie </w:t>
            </w:r>
            <w:r w:rsidR="00C15FB1">
              <w:rPr>
                <w:rFonts w:cs="Times New Roman"/>
              </w:rPr>
              <w:t>prerokovali pripomienky k pripravovanému</w:t>
            </w:r>
            <w:r w:rsidR="00C15FB1" w:rsidRPr="00742CF1">
              <w:rPr>
                <w:rFonts w:cs="Times New Roman"/>
              </w:rPr>
              <w:t xml:space="preserve"> zákonu o ŠHR, pričom sa dohodli, </w:t>
            </w:r>
            <w:r w:rsidR="00C15FB1">
              <w:rPr>
                <w:rFonts w:cs="Times New Roman"/>
              </w:rPr>
              <w:t xml:space="preserve">  </w:t>
            </w:r>
            <w:r w:rsidR="00C15FB1" w:rsidRPr="00742CF1">
              <w:rPr>
                <w:rFonts w:cs="Times New Roman"/>
              </w:rPr>
              <w:t>že pri príprave zákona budú ďalej spolupracovať.</w:t>
            </w:r>
          </w:p>
          <w:p w14:paraId="51CF10E8" w14:textId="77777777" w:rsidR="00A04639" w:rsidRPr="00CC67FC" w:rsidRDefault="00A04639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</w:tc>
      </w:tr>
      <w:tr w:rsidR="00A04639" w:rsidRPr="00CC67FC" w14:paraId="475FCAF0" w14:textId="77777777" w:rsidTr="00E952C0">
        <w:trPr>
          <w:jc w:val="center"/>
        </w:trPr>
        <w:tc>
          <w:tcPr>
            <w:tcW w:w="6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CA2C12" w14:textId="05820147" w:rsidR="00A04639" w:rsidRPr="00CC67FC" w:rsidRDefault="00A04639" w:rsidP="006210F5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A04639">
              <w:rPr>
                <w:rFonts w:cs="Times New Roman"/>
                <w:b/>
                <w:bCs/>
                <w:szCs w:val="24"/>
              </w:rPr>
              <w:lastRenderedPageBreak/>
              <w:t>Klub 500</w:t>
            </w:r>
          </w:p>
        </w:tc>
        <w:tc>
          <w:tcPr>
            <w:tcW w:w="2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09683C" w14:textId="5D63FBA4" w:rsidR="00A04639" w:rsidRPr="00E952C0" w:rsidRDefault="00A04639" w:rsidP="006210F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4639">
              <w:rPr>
                <w:rFonts w:cs="Times New Roman"/>
                <w:szCs w:val="24"/>
              </w:rPr>
              <w:t xml:space="preserve">Vítame a podporujeme ambíciu Správy štátnych hmotných rezerv Slovenskej </w:t>
            </w:r>
            <w:r w:rsidRPr="00A04639">
              <w:rPr>
                <w:rFonts w:cs="Times New Roman"/>
                <w:szCs w:val="24"/>
              </w:rPr>
              <w:lastRenderedPageBreak/>
              <w:t xml:space="preserve">republiky (SŠHR SR) vypracovať novú právnu úpravu súvisiacu s tvorbou, financovaním, hospodárením, kontrolou vlastníckymi vzťahmi a pôsobnosťou SŠHR SR, ktorá nahradí doterajší zákon č. 372/2012 Z. z. o štátnych hmotných rezervách a o doplnení zákona č. 25/2007 Z. z. o elektronickom výbere mýta za užívanie vymedzených úsekov pozemných komunikácií a o zmene a doplnení niektorých zákonov v znení neskorších predpisov. Najmä v súvislosti s pandémiou spôsobenou koronavírusom COVID-19 ako aj inváziou ruských vojsk na Ukrajinu považujeme za nevyhnutné, aby návrh zákona bol flexibilný a vedel pružne a rýchlo reagovať aj na akútne potreby v prípade riešenia najmä krízových situácií, mimoriadnych udalostí, stavu núdze v energetike a potravinovej bezpečnosti štátu. Zároveň máme za to, že je nevyhnutné, aby v návrhu zákona bola ustanovená povinnosť, aby sa pri tvorbe štátnych hmotných rezerv (najmä hmotných rezerv) postupovalo účelne a hospodárne a aby sa v rámci štátnych hmotných rezerv držali aj suroviny, ktoré je v prípade potreby možné použiť na rôzne účely, a zároveň je SR pri ich výrobe sebestačná. Ako príklad takýchto viac-účelných surovín možno uviesť: • lieh (napr. výroba dezinfekcie a iných hygienických výrobkov, použiteľnosť v potravinárskom priemysle, výroba medicínskych výrobkov, použiteľnosť v chemickom priemysle) • surový repkový olej potravinárskej kvality (výroba oleja pre potravinárske účely, pri jeho výrobe vznikajú zároveň repkové šroty, ktoré sú používané ako vysoko proteínové kŕmne suroviny, ktoré zabezpečujú výživu dobytka, ošípaných a hydiny a sú vhodné aj pre ryby v sektore akvakultúry). Premietnutie vyššie uvedených podnetov v rámci návrhu zákona podľa nášho názoru prispeje ku kvalitnejšej finálnej podobe návrhu zákona a navrhujeme, aby boli v pripravovanom legislatívnom návrhu nového zákona uvedené podnety aj zohľadnené. Zároveň si dovoľujeme požiadať SŠHR o </w:t>
            </w:r>
            <w:r w:rsidRPr="00A04639">
              <w:rPr>
                <w:rFonts w:cs="Times New Roman"/>
                <w:szCs w:val="24"/>
              </w:rPr>
              <w:lastRenderedPageBreak/>
              <w:t>zorganizovanie konzultácie v rámci predbežnej informácie k návrhu zákona.</w:t>
            </w:r>
          </w:p>
        </w:tc>
        <w:tc>
          <w:tcPr>
            <w:tcW w:w="2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101961" w14:textId="0D227D49" w:rsidR="00575D68" w:rsidRPr="00CC67FC" w:rsidRDefault="00575D68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0DEE8526" w14:textId="77777777" w:rsidR="00C15FB1" w:rsidRPr="00CC67FC" w:rsidRDefault="00C15FB1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1276B3A9" w14:textId="5F2515F9" w:rsidR="00C15FB1" w:rsidRDefault="0032131D" w:rsidP="00064738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          </w:t>
            </w:r>
            <w:r w:rsidR="00C15FB1" w:rsidRPr="00742CF1">
              <w:rPr>
                <w:rFonts w:cs="Times New Roman"/>
              </w:rPr>
              <w:t>Zástupcovia SŠHR SR</w:t>
            </w:r>
            <w:r w:rsidR="00C15FB1">
              <w:rPr>
                <w:rFonts w:cs="Times New Roman"/>
              </w:rPr>
              <w:t xml:space="preserve"> </w:t>
            </w:r>
            <w:r w:rsidR="00C15FB1" w:rsidRPr="00742CF1">
              <w:rPr>
                <w:rFonts w:cs="Times New Roman"/>
              </w:rPr>
              <w:t xml:space="preserve">uviedli, že spracovanie a štruktúra nového zákona o ŠHR sa pripravuje v súlade s aplikačnou praxou. </w:t>
            </w:r>
            <w:r w:rsidR="00C15FB1">
              <w:rPr>
                <w:rFonts w:cs="Times New Roman"/>
              </w:rPr>
              <w:t xml:space="preserve">Zákon by mal byť flexibilnejší, </w:t>
            </w:r>
            <w:r w:rsidR="00C15FB1" w:rsidRPr="00742CF1">
              <w:rPr>
                <w:rFonts w:cs="Times New Roman"/>
              </w:rPr>
              <w:t>aby sa pri riešení rôznych situácií mohlo flexibilnejšie reagovať. Tvo</w:t>
            </w:r>
            <w:r w:rsidR="00C15FB1">
              <w:rPr>
                <w:rFonts w:cs="Times New Roman"/>
              </w:rPr>
              <w:t xml:space="preserve">rba surovinovej základne závisí </w:t>
            </w:r>
            <w:r w:rsidR="00C15FB1" w:rsidRPr="00742CF1">
              <w:rPr>
                <w:rFonts w:cs="Times New Roman"/>
              </w:rPr>
              <w:t>od schválenia vlády</w:t>
            </w:r>
            <w:r w:rsidR="00D760E1">
              <w:rPr>
                <w:rFonts w:cs="Times New Roman"/>
              </w:rPr>
              <w:t xml:space="preserve"> Slovenskej republiky</w:t>
            </w:r>
            <w:r w:rsidR="00C15FB1" w:rsidRPr="00742CF1">
              <w:rPr>
                <w:rFonts w:cs="Times New Roman"/>
              </w:rPr>
              <w:t xml:space="preserve">, resp. od subjektov hospodárskej mobilizácie. Nie je možné zákonom stanoviť konkrétne položky. Samotná aplikačná prax ukázala, že niektoré veci a postupy by sa dali zjednodušiť a zrýchliť. Zástupcovia SŠHR SR konštatovali, že medzirezortné pripomienkové konanie by malo prebehnúť v priebehu </w:t>
            </w:r>
            <w:r w:rsidR="00C15FB1">
              <w:rPr>
                <w:rFonts w:cs="Times New Roman"/>
              </w:rPr>
              <w:t xml:space="preserve">leta 2022. </w:t>
            </w:r>
            <w:r w:rsidR="00C15FB1" w:rsidRPr="00742CF1">
              <w:rPr>
                <w:rFonts w:cs="Times New Roman"/>
              </w:rPr>
              <w:t>Koncept tvorby nového zákona o ŠHR neráta s možnosťou využitia štátnych hmotných rezerv mimo územia Slovenskej republiky. Aktuálne by sa zachovala možnosť humanitárnej pomoci.</w:t>
            </w:r>
          </w:p>
          <w:p w14:paraId="6ED71E5A" w14:textId="77777777" w:rsidR="00C15FB1" w:rsidRDefault="00C15FB1" w:rsidP="00064738">
            <w:pPr>
              <w:spacing w:after="0" w:line="240" w:lineRule="auto"/>
              <w:ind w:firstLine="708"/>
              <w:jc w:val="both"/>
              <w:rPr>
                <w:rFonts w:cs="Times New Roman"/>
              </w:rPr>
            </w:pPr>
          </w:p>
          <w:p w14:paraId="4DB4593B" w14:textId="7270618E" w:rsidR="00C15FB1" w:rsidRDefault="0032131D" w:rsidP="0071571E">
            <w:pPr>
              <w:spacing w:after="0" w:line="240" w:lineRule="auto"/>
              <w:ind w:right="1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 w:rsidR="00C15FB1">
              <w:rPr>
                <w:rFonts w:cs="Times New Roman"/>
              </w:rPr>
              <w:t>Zástupcovia SŠHR SR zároveň uviedli, že pri tvorbe štátnych hmotných rezerv v súlade s rozpočtovými pravidlami verejnej správy postupujú a budú postupovať hospodárne a účelne a takéto zásady budú vyjadrované aj v návrhu nového zákona o štátnych hmotných rezervách.</w:t>
            </w:r>
          </w:p>
          <w:p w14:paraId="63C62DE3" w14:textId="77777777" w:rsidR="00064738" w:rsidRPr="00CC67FC" w:rsidRDefault="00064738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  <w:p w14:paraId="1AD01410" w14:textId="1917272D" w:rsidR="00C15FB1" w:rsidRPr="00742CF1" w:rsidRDefault="0032131D" w:rsidP="0032131D">
            <w:pPr>
              <w:spacing w:after="0" w:line="240" w:lineRule="auto"/>
              <w:jc w:val="both"/>
              <w:rPr>
                <w:rFonts w:cs="Times New Roman"/>
                <w:u w:val="single"/>
              </w:rPr>
            </w:pPr>
            <w:r>
              <w:rPr>
                <w:rFonts w:cs="Times New Roman"/>
              </w:rPr>
              <w:t xml:space="preserve">          </w:t>
            </w:r>
            <w:r w:rsidR="00C15FB1" w:rsidRPr="00742CF1">
              <w:rPr>
                <w:rFonts w:cs="Times New Roman"/>
              </w:rPr>
              <w:t xml:space="preserve">Účastníci konzultácie </w:t>
            </w:r>
            <w:r w:rsidR="00C15FB1">
              <w:rPr>
                <w:rFonts w:cs="Times New Roman"/>
              </w:rPr>
              <w:t>prerokovali pripomienky k pripravovanému</w:t>
            </w:r>
            <w:r w:rsidR="00C15FB1" w:rsidRPr="00742CF1">
              <w:rPr>
                <w:rFonts w:cs="Times New Roman"/>
              </w:rPr>
              <w:t xml:space="preserve"> zákonu o ŠHR, pričom sa dohodli, </w:t>
            </w:r>
            <w:r w:rsidR="00C15FB1">
              <w:rPr>
                <w:rFonts w:cs="Times New Roman"/>
              </w:rPr>
              <w:t xml:space="preserve">  </w:t>
            </w:r>
            <w:r w:rsidR="00C15FB1" w:rsidRPr="00742CF1">
              <w:rPr>
                <w:rFonts w:cs="Times New Roman"/>
              </w:rPr>
              <w:t>že pri príprave zákona budú ďalej spolupracovať.</w:t>
            </w:r>
          </w:p>
          <w:p w14:paraId="36F09A64" w14:textId="77777777" w:rsidR="00A04639" w:rsidRPr="00CC67FC" w:rsidRDefault="00A04639" w:rsidP="0071571E">
            <w:pPr>
              <w:spacing w:after="0" w:line="240" w:lineRule="auto"/>
              <w:ind w:right="113"/>
              <w:jc w:val="both"/>
              <w:rPr>
                <w:rFonts w:cs="Times New Roman"/>
                <w:szCs w:val="24"/>
              </w:rPr>
            </w:pPr>
          </w:p>
        </w:tc>
      </w:tr>
    </w:tbl>
    <w:p w14:paraId="26A3579B" w14:textId="77777777" w:rsidR="002737C4" w:rsidRPr="00CC67FC" w:rsidRDefault="002737C4" w:rsidP="006210F5">
      <w:pPr>
        <w:spacing w:after="0" w:line="240" w:lineRule="auto"/>
        <w:rPr>
          <w:rFonts w:cs="Times New Roman"/>
          <w:szCs w:val="24"/>
        </w:rPr>
      </w:pPr>
    </w:p>
    <w:p w14:paraId="35FBB25B" w14:textId="77777777" w:rsidR="00342546" w:rsidRPr="00CC67FC" w:rsidRDefault="00342546" w:rsidP="007C7148">
      <w:pPr>
        <w:spacing w:after="0" w:line="240" w:lineRule="auto"/>
        <w:jc w:val="both"/>
        <w:rPr>
          <w:rFonts w:cs="Times New Roman"/>
          <w:szCs w:val="24"/>
        </w:rPr>
      </w:pPr>
    </w:p>
    <w:p w14:paraId="04835FFD" w14:textId="50FFFDF5" w:rsidR="00F53295" w:rsidRPr="003F6EB3" w:rsidRDefault="00F53295" w:rsidP="007C7148">
      <w:pPr>
        <w:spacing w:after="0" w:line="240" w:lineRule="auto"/>
        <w:jc w:val="both"/>
        <w:rPr>
          <w:rFonts w:cs="Calibri"/>
          <w:szCs w:val="24"/>
        </w:rPr>
      </w:pPr>
      <w:r w:rsidRPr="003F6EB3">
        <w:rPr>
          <w:rFonts w:cs="Calibri"/>
          <w:szCs w:val="24"/>
        </w:rPr>
        <w:t xml:space="preserve">Ministerstvo hospodárstva Slovenskej republiky rozhodlo podľa bodu 5.4. písm. b) Jednotnej metodiky </w:t>
      </w:r>
      <w:r w:rsidR="00AB1A01" w:rsidRPr="003F6EB3">
        <w:rPr>
          <w:rFonts w:cs="Calibri"/>
          <w:szCs w:val="24"/>
        </w:rPr>
        <w:t>na posudzovanie vybraných vplyvov</w:t>
      </w:r>
      <w:r w:rsidRPr="003F6EB3">
        <w:rPr>
          <w:rFonts w:cs="Calibri"/>
          <w:szCs w:val="24"/>
        </w:rPr>
        <w:t xml:space="preserve">, že je potrebné vykonať konzultácie s podnikateľskými subjektmi. </w:t>
      </w:r>
    </w:p>
    <w:p w14:paraId="07BE8A42" w14:textId="77777777" w:rsidR="007C7148" w:rsidRPr="005976CF" w:rsidRDefault="007C7148" w:rsidP="007C7148">
      <w:pPr>
        <w:spacing w:after="0" w:line="240" w:lineRule="auto"/>
        <w:jc w:val="both"/>
        <w:rPr>
          <w:rFonts w:cs="Calibri"/>
          <w:szCs w:val="24"/>
          <w:highlight w:val="yellow"/>
        </w:rPr>
      </w:pPr>
    </w:p>
    <w:p w14:paraId="29953A15" w14:textId="79967AC6" w:rsidR="00E759F5" w:rsidRPr="006610FC" w:rsidRDefault="00A04639" w:rsidP="007C7148">
      <w:p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Správa štátnych hmotných rezerv Slovenskej </w:t>
      </w:r>
      <w:r w:rsidR="007C7148" w:rsidRPr="006610FC">
        <w:rPr>
          <w:rFonts w:cs="Calibri"/>
          <w:szCs w:val="24"/>
        </w:rPr>
        <w:t>republiky zverejnil</w:t>
      </w:r>
      <w:r>
        <w:rPr>
          <w:rFonts w:cs="Calibri"/>
          <w:szCs w:val="24"/>
        </w:rPr>
        <w:t>a</w:t>
      </w:r>
      <w:r w:rsidR="007C7148" w:rsidRPr="006610FC">
        <w:rPr>
          <w:rFonts w:cs="Calibri"/>
          <w:szCs w:val="24"/>
        </w:rPr>
        <w:t xml:space="preserve"> informáciu o začatí konzultácií s podnikateľskými subjektmi dňa</w:t>
      </w:r>
      <w:r>
        <w:rPr>
          <w:rFonts w:cs="Calibri"/>
          <w:szCs w:val="24"/>
        </w:rPr>
        <w:t xml:space="preserve"> </w:t>
      </w:r>
      <w:r w:rsidR="00C947A3">
        <w:rPr>
          <w:rFonts w:cs="Calibri"/>
          <w:szCs w:val="24"/>
        </w:rPr>
        <w:t>19. apríla 2022.</w:t>
      </w:r>
    </w:p>
    <w:p w14:paraId="0257B03D" w14:textId="77777777" w:rsidR="007C7148" w:rsidRPr="006610FC" w:rsidRDefault="007C7148" w:rsidP="007C7148">
      <w:pPr>
        <w:spacing w:after="0" w:line="240" w:lineRule="auto"/>
        <w:jc w:val="both"/>
        <w:rPr>
          <w:rFonts w:cs="Calibri"/>
          <w:szCs w:val="24"/>
        </w:rPr>
      </w:pPr>
    </w:p>
    <w:p w14:paraId="64D97E74" w14:textId="2EFE7D75" w:rsidR="00875FB4" w:rsidRDefault="007C7148" w:rsidP="007C7148">
      <w:pPr>
        <w:spacing w:after="0" w:line="240" w:lineRule="auto"/>
        <w:jc w:val="both"/>
        <w:rPr>
          <w:rFonts w:cs="Calibri"/>
          <w:szCs w:val="24"/>
        </w:rPr>
      </w:pPr>
      <w:r w:rsidRPr="006610FC">
        <w:rPr>
          <w:rFonts w:cs="Calibri"/>
          <w:szCs w:val="24"/>
        </w:rPr>
        <w:t>O konzultácie prejavili záujem nasledujúce subjekty</w:t>
      </w:r>
      <w:r w:rsidR="006610FC">
        <w:rPr>
          <w:rFonts w:cs="Calibri"/>
          <w:szCs w:val="24"/>
        </w:rPr>
        <w:t>:</w:t>
      </w:r>
      <w:r w:rsidR="00875FB4">
        <w:rPr>
          <w:rFonts w:cs="Calibri"/>
          <w:szCs w:val="24"/>
        </w:rPr>
        <w:t xml:space="preserve"> </w:t>
      </w:r>
      <w:r w:rsidR="00A04639">
        <w:rPr>
          <w:rFonts w:cs="Calibri"/>
          <w:szCs w:val="24"/>
        </w:rPr>
        <w:t>Slovenská poľnohospodárska a potravinová komora, Republiková únia zamestnávateľov a Klub 500.</w:t>
      </w:r>
    </w:p>
    <w:p w14:paraId="6ECEC992" w14:textId="77777777" w:rsidR="00875FB4" w:rsidRDefault="00875FB4" w:rsidP="007C7148">
      <w:pPr>
        <w:spacing w:after="0" w:line="240" w:lineRule="auto"/>
        <w:jc w:val="both"/>
        <w:rPr>
          <w:rFonts w:cs="Calibri"/>
          <w:szCs w:val="24"/>
        </w:rPr>
      </w:pPr>
    </w:p>
    <w:p w14:paraId="6D9C6B22" w14:textId="252E971A" w:rsidR="00A04639" w:rsidRDefault="00AB1A01" w:rsidP="00575D68">
      <w:pPr>
        <w:spacing w:after="0" w:line="240" w:lineRule="auto"/>
        <w:jc w:val="both"/>
        <w:rPr>
          <w:rFonts w:cs="Times New Roman"/>
          <w:u w:val="single"/>
        </w:rPr>
      </w:pPr>
      <w:r w:rsidRPr="006610FC">
        <w:rPr>
          <w:rFonts w:cs="Calibri"/>
          <w:szCs w:val="24"/>
        </w:rPr>
        <w:t>Konzultáci</w:t>
      </w:r>
      <w:r w:rsidR="00575D68">
        <w:rPr>
          <w:rFonts w:cs="Calibri"/>
          <w:szCs w:val="24"/>
        </w:rPr>
        <w:t>e so Slovenskou poľnohospodárskou a potravinovou komorou, Republikovou úniou zamestnávateľov a Klubu 500 sa</w:t>
      </w:r>
      <w:r w:rsidRPr="006610FC">
        <w:rPr>
          <w:rFonts w:cs="Calibri"/>
          <w:szCs w:val="24"/>
        </w:rPr>
        <w:t xml:space="preserve"> </w:t>
      </w:r>
      <w:r w:rsidR="00CE2508">
        <w:rPr>
          <w:rFonts w:cs="Calibri"/>
          <w:szCs w:val="24"/>
        </w:rPr>
        <w:t xml:space="preserve">uskutočnili dňa </w:t>
      </w:r>
      <w:r w:rsidR="00575D68">
        <w:rPr>
          <w:rFonts w:cs="Calibri"/>
          <w:szCs w:val="24"/>
        </w:rPr>
        <w:t>3</w:t>
      </w:r>
      <w:r w:rsidR="00CE2508">
        <w:rPr>
          <w:rFonts w:cs="Calibri"/>
          <w:szCs w:val="24"/>
        </w:rPr>
        <w:t>.</w:t>
      </w:r>
      <w:r w:rsidR="00575D68">
        <w:rPr>
          <w:rFonts w:cs="Calibri"/>
          <w:szCs w:val="24"/>
        </w:rPr>
        <w:t xml:space="preserve"> mája </w:t>
      </w:r>
      <w:r w:rsidR="00CE2508">
        <w:rPr>
          <w:rFonts w:cs="Calibri"/>
          <w:szCs w:val="24"/>
        </w:rPr>
        <w:t xml:space="preserve">2022 </w:t>
      </w:r>
      <w:r w:rsidR="00284B9F">
        <w:rPr>
          <w:rFonts w:cs="Calibri"/>
          <w:szCs w:val="24"/>
        </w:rPr>
        <w:t>na</w:t>
      </w:r>
      <w:r w:rsidR="00575D68">
        <w:rPr>
          <w:rFonts w:cs="Calibri"/>
          <w:szCs w:val="24"/>
        </w:rPr>
        <w:t xml:space="preserve"> Správe štátnych hmotných rezerv Slovenskej republiky. </w:t>
      </w:r>
    </w:p>
    <w:p w14:paraId="3E17A8DC" w14:textId="77777777" w:rsidR="00AB1A01" w:rsidRPr="00CC67FC" w:rsidRDefault="00AB1A01" w:rsidP="007C7148">
      <w:pPr>
        <w:spacing w:after="0" w:line="240" w:lineRule="auto"/>
        <w:jc w:val="both"/>
        <w:rPr>
          <w:rFonts w:cs="Times New Roman"/>
          <w:szCs w:val="24"/>
        </w:rPr>
      </w:pPr>
    </w:p>
    <w:sectPr w:rsidR="00AB1A01" w:rsidRPr="00CC67FC" w:rsidSect="00852E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02AE9" w14:textId="77777777" w:rsidR="008F3702" w:rsidRDefault="008F3702" w:rsidP="00342546">
      <w:pPr>
        <w:spacing w:after="0" w:line="240" w:lineRule="auto"/>
      </w:pPr>
      <w:r>
        <w:separator/>
      </w:r>
    </w:p>
  </w:endnote>
  <w:endnote w:type="continuationSeparator" w:id="0">
    <w:p w14:paraId="16A9E8A3" w14:textId="77777777" w:rsidR="008F3702" w:rsidRDefault="008F3702" w:rsidP="0034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697848"/>
      <w:docPartObj>
        <w:docPartGallery w:val="Page Numbers (Bottom of Page)"/>
        <w:docPartUnique/>
      </w:docPartObj>
    </w:sdtPr>
    <w:sdtEndPr/>
    <w:sdtContent>
      <w:p w14:paraId="6B22F7CD" w14:textId="66BEE575" w:rsidR="00342546" w:rsidRDefault="0034254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892">
          <w:rPr>
            <w:noProof/>
          </w:rPr>
          <w:t>1</w:t>
        </w:r>
        <w:r>
          <w:fldChar w:fldCharType="end"/>
        </w:r>
      </w:p>
    </w:sdtContent>
  </w:sdt>
  <w:p w14:paraId="55DDB0EC" w14:textId="77777777" w:rsidR="00342546" w:rsidRDefault="003425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3EFC1" w14:textId="77777777" w:rsidR="008F3702" w:rsidRDefault="008F3702" w:rsidP="00342546">
      <w:pPr>
        <w:spacing w:after="0" w:line="240" w:lineRule="auto"/>
      </w:pPr>
      <w:r>
        <w:separator/>
      </w:r>
    </w:p>
  </w:footnote>
  <w:footnote w:type="continuationSeparator" w:id="0">
    <w:p w14:paraId="2A4B8BB7" w14:textId="77777777" w:rsidR="008F3702" w:rsidRDefault="008F3702" w:rsidP="00342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2"/>
    <w:rsid w:val="0003360F"/>
    <w:rsid w:val="00037FBC"/>
    <w:rsid w:val="00045F17"/>
    <w:rsid w:val="00064738"/>
    <w:rsid w:val="00084B85"/>
    <w:rsid w:val="000C6466"/>
    <w:rsid w:val="001636ED"/>
    <w:rsid w:val="001779C2"/>
    <w:rsid w:val="00186C54"/>
    <w:rsid w:val="0019090F"/>
    <w:rsid w:val="001A252C"/>
    <w:rsid w:val="001B2703"/>
    <w:rsid w:val="0022668F"/>
    <w:rsid w:val="00244368"/>
    <w:rsid w:val="002737C4"/>
    <w:rsid w:val="00284B9F"/>
    <w:rsid w:val="002A44D0"/>
    <w:rsid w:val="002B4C1F"/>
    <w:rsid w:val="0032131D"/>
    <w:rsid w:val="00334DE8"/>
    <w:rsid w:val="00342546"/>
    <w:rsid w:val="003541B7"/>
    <w:rsid w:val="003F6EB3"/>
    <w:rsid w:val="00414E29"/>
    <w:rsid w:val="00446382"/>
    <w:rsid w:val="00455A6F"/>
    <w:rsid w:val="00467352"/>
    <w:rsid w:val="004B2F1C"/>
    <w:rsid w:val="004D1CF0"/>
    <w:rsid w:val="004D596B"/>
    <w:rsid w:val="00524A45"/>
    <w:rsid w:val="005402C5"/>
    <w:rsid w:val="005424F8"/>
    <w:rsid w:val="00562080"/>
    <w:rsid w:val="00575D68"/>
    <w:rsid w:val="00581988"/>
    <w:rsid w:val="005976CF"/>
    <w:rsid w:val="005A3376"/>
    <w:rsid w:val="005A39F5"/>
    <w:rsid w:val="005F2A46"/>
    <w:rsid w:val="006210F5"/>
    <w:rsid w:val="0065306A"/>
    <w:rsid w:val="006610FC"/>
    <w:rsid w:val="006A522D"/>
    <w:rsid w:val="006B3214"/>
    <w:rsid w:val="006C17E1"/>
    <w:rsid w:val="0071571E"/>
    <w:rsid w:val="00721775"/>
    <w:rsid w:val="007563FF"/>
    <w:rsid w:val="007701F1"/>
    <w:rsid w:val="00785307"/>
    <w:rsid w:val="007A1942"/>
    <w:rsid w:val="007C7148"/>
    <w:rsid w:val="008108B3"/>
    <w:rsid w:val="0082067C"/>
    <w:rsid w:val="00852E6F"/>
    <w:rsid w:val="00864117"/>
    <w:rsid w:val="00875FB4"/>
    <w:rsid w:val="00881659"/>
    <w:rsid w:val="00890ABA"/>
    <w:rsid w:val="008A707F"/>
    <w:rsid w:val="008B1D11"/>
    <w:rsid w:val="008B4539"/>
    <w:rsid w:val="008F3702"/>
    <w:rsid w:val="008F39BA"/>
    <w:rsid w:val="009048AF"/>
    <w:rsid w:val="00927892"/>
    <w:rsid w:val="00955BC8"/>
    <w:rsid w:val="00974CC8"/>
    <w:rsid w:val="0098693D"/>
    <w:rsid w:val="009C1606"/>
    <w:rsid w:val="009F5103"/>
    <w:rsid w:val="00A04639"/>
    <w:rsid w:val="00A06242"/>
    <w:rsid w:val="00A50003"/>
    <w:rsid w:val="00A53A74"/>
    <w:rsid w:val="00A82D86"/>
    <w:rsid w:val="00AB1A01"/>
    <w:rsid w:val="00B120B3"/>
    <w:rsid w:val="00B87981"/>
    <w:rsid w:val="00B9301C"/>
    <w:rsid w:val="00BA2175"/>
    <w:rsid w:val="00BA21FC"/>
    <w:rsid w:val="00BA4543"/>
    <w:rsid w:val="00BB7AC2"/>
    <w:rsid w:val="00C06658"/>
    <w:rsid w:val="00C1009D"/>
    <w:rsid w:val="00C12F2A"/>
    <w:rsid w:val="00C15FB1"/>
    <w:rsid w:val="00C46CF0"/>
    <w:rsid w:val="00C849E5"/>
    <w:rsid w:val="00C92637"/>
    <w:rsid w:val="00C947A3"/>
    <w:rsid w:val="00C9765D"/>
    <w:rsid w:val="00CC67FC"/>
    <w:rsid w:val="00CC7A60"/>
    <w:rsid w:val="00CE2508"/>
    <w:rsid w:val="00D1733D"/>
    <w:rsid w:val="00D311A1"/>
    <w:rsid w:val="00D524A6"/>
    <w:rsid w:val="00D760E1"/>
    <w:rsid w:val="00D82858"/>
    <w:rsid w:val="00D969DE"/>
    <w:rsid w:val="00DB157C"/>
    <w:rsid w:val="00DD37BE"/>
    <w:rsid w:val="00E05D0B"/>
    <w:rsid w:val="00E06B93"/>
    <w:rsid w:val="00E13CEF"/>
    <w:rsid w:val="00E4039E"/>
    <w:rsid w:val="00E61958"/>
    <w:rsid w:val="00E668BA"/>
    <w:rsid w:val="00E72DFF"/>
    <w:rsid w:val="00E759F5"/>
    <w:rsid w:val="00E87C2F"/>
    <w:rsid w:val="00E952C0"/>
    <w:rsid w:val="00EA5B2C"/>
    <w:rsid w:val="00EE201D"/>
    <w:rsid w:val="00F53295"/>
    <w:rsid w:val="00F5524F"/>
    <w:rsid w:val="00F95AA2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8B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4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254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42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2546"/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unhideWhenUsed/>
    <w:rsid w:val="005A3376"/>
    <w:pPr>
      <w:spacing w:after="0" w:line="240" w:lineRule="auto"/>
    </w:pPr>
    <w:rPr>
      <w:rFonts w:eastAsia="Calibri" w:cs="Times New Roman"/>
      <w:szCs w:val="24"/>
      <w:lang w:eastAsia="sk-SK"/>
    </w:rPr>
  </w:style>
  <w:style w:type="paragraph" w:styleId="Revzia">
    <w:name w:val="Revision"/>
    <w:hidden/>
    <w:uiPriority w:val="99"/>
    <w:semiHidden/>
    <w:rsid w:val="00C9263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sprava_o_ucasti_verejnosti"/>
    <f:field ref="objsubject" par="" edit="true" text=""/>
    <f:field ref="objcreatedby" par="" text="Tančiboková, Pavla, Mgr."/>
    <f:field ref="objcreatedat" par="" text="4.11.2022 13:30:28"/>
    <f:field ref="objchangedby" par="" text="Administrator, System"/>
    <f:field ref="objmodifiedat" par="" text="4.11.2022 13:30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2023-02-06T08:32:00Z</dcterms:created>
  <dcterms:modified xsi:type="dcterms:W3CDTF">2023-02-06T08:32:00Z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Pavla Tančiboková</vt:lpwstr>
  </property>
  <property fmtid="{D5CDD505-2E9C-101B-9397-08002B2CF9AE}" pid="12" name="FSC#SKEDITIONSLOVLEX@103.510:zodppredkladatel">
    <vt:lpwstr>Ing. Ján Rudolf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štátnych hmotných rezervách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Správa štátnych hmotných rezerv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 vlády SR na rok 2022</vt:lpwstr>
  </property>
  <property fmtid="{D5CDD505-2E9C-101B-9397-08002B2CF9AE}" pid="23" name="FSC#SKEDITIONSLOVLEX@103.510:plnynazovpredpis">
    <vt:lpwstr> Zákon o štátnych hmotných rezervách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SŠHR-2022/0595-PRED-1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LP/2022/703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predseda Správy štátnych hmotných rezerv</vt:lpwstr>
  </property>
  <property fmtid="{D5CDD505-2E9C-101B-9397-08002B2CF9AE}" pid="142" name="FSC#SKEDITIONSLOVLEX@103.510:funkciaZodpPredAkuzativ">
    <vt:lpwstr>predsedu Správy štátnych hmotných rezerv</vt:lpwstr>
  </property>
  <property fmtid="{D5CDD505-2E9C-101B-9397-08002B2CF9AE}" pid="143" name="FSC#SKEDITIONSLOVLEX@103.510:funkciaZodpPredDativ">
    <vt:lpwstr>predsedovi Správy štátnych hmotných rezerv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Ján Rudolf_x000d_
predseda Správy štátnych hmotných rezerv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justify;"&gt;&lt;span style="text-align: justify;"&gt;Návrh zákona o&amp;nbsp;štátnych hmotných rezervách (ďalej len „návrh zákona“) prekladá predseda Správy štátnych hmotných rezerv Slovenskej republiky (ďalej len „Správa rezerv“) na základe Plá</vt:lpwstr>
  </property>
  <property fmtid="{D5CDD505-2E9C-101B-9397-08002B2CF9AE}" pid="150" name="FSC#SKEDITIONSLOVLEX@103.510:vytvorenedna">
    <vt:lpwstr>4. 11. 2022</vt:lpwstr>
  </property>
  <property fmtid="{D5CDD505-2E9C-101B-9397-08002B2CF9AE}" pid="151" name="FSC#COOSYSTEM@1.1:Container">
    <vt:lpwstr>COO.2145.1000.3.5296586</vt:lpwstr>
  </property>
  <property fmtid="{D5CDD505-2E9C-101B-9397-08002B2CF9AE}" pid="152" name="FSC#FSCFOLIO@1.1001:docpropproject">
    <vt:lpwstr/>
  </property>
</Properties>
</file>