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D73" w:rsidRPr="00EF4A35" w:rsidRDefault="00A44D73" w:rsidP="00F168CD">
      <w:pPr>
        <w:spacing w:line="240" w:lineRule="auto"/>
        <w:contextualSpacing/>
        <w:jc w:val="center"/>
        <w:rPr>
          <w:rFonts w:ascii="Times New Roman" w:hAnsi="Times New Roman" w:cs="Times New Roman"/>
          <w:b/>
          <w:sz w:val="24"/>
          <w:szCs w:val="24"/>
        </w:rPr>
      </w:pPr>
      <w:r w:rsidRPr="00EF4A35">
        <w:rPr>
          <w:rFonts w:ascii="Times New Roman" w:hAnsi="Times New Roman" w:cs="Times New Roman"/>
          <w:b/>
          <w:sz w:val="24"/>
          <w:szCs w:val="24"/>
        </w:rPr>
        <w:t>Vyhlásenie o</w:t>
      </w:r>
      <w:r w:rsidR="00F168CD" w:rsidRPr="00EF4A35">
        <w:rPr>
          <w:rFonts w:ascii="Times New Roman" w:hAnsi="Times New Roman" w:cs="Times New Roman"/>
          <w:b/>
          <w:sz w:val="24"/>
          <w:szCs w:val="24"/>
        </w:rPr>
        <w:t> </w:t>
      </w:r>
      <w:r w:rsidR="001A60A4" w:rsidRPr="00EF4A35">
        <w:rPr>
          <w:rFonts w:ascii="Times New Roman" w:hAnsi="Times New Roman" w:cs="Times New Roman"/>
          <w:b/>
          <w:sz w:val="24"/>
          <w:szCs w:val="24"/>
        </w:rPr>
        <w:t>rozpor</w:t>
      </w:r>
      <w:r w:rsidR="00A70678" w:rsidRPr="00EF4A35">
        <w:rPr>
          <w:rFonts w:ascii="Times New Roman" w:hAnsi="Times New Roman" w:cs="Times New Roman"/>
          <w:b/>
          <w:sz w:val="24"/>
          <w:szCs w:val="24"/>
        </w:rPr>
        <w:t>och</w:t>
      </w:r>
    </w:p>
    <w:p w:rsidR="00F168CD" w:rsidRPr="00EF4A35" w:rsidRDefault="00F168CD" w:rsidP="00F168CD">
      <w:pPr>
        <w:spacing w:line="240" w:lineRule="auto"/>
        <w:contextualSpacing/>
        <w:jc w:val="center"/>
        <w:rPr>
          <w:rFonts w:ascii="Times New Roman" w:hAnsi="Times New Roman" w:cs="Times New Roman"/>
          <w:b/>
          <w:sz w:val="24"/>
          <w:szCs w:val="24"/>
        </w:rPr>
      </w:pPr>
    </w:p>
    <w:p w:rsidR="00F168CD" w:rsidRPr="00EF4A35" w:rsidRDefault="00A95E1F" w:rsidP="00F168CD">
      <w:pPr>
        <w:spacing w:line="240" w:lineRule="auto"/>
        <w:ind w:firstLine="708"/>
        <w:contextualSpacing/>
        <w:jc w:val="both"/>
        <w:rPr>
          <w:rFonts w:ascii="Times New Roman" w:hAnsi="Times New Roman" w:cs="Times New Roman"/>
          <w:sz w:val="24"/>
          <w:szCs w:val="24"/>
        </w:rPr>
      </w:pPr>
      <w:r w:rsidRPr="00EF4A35">
        <w:rPr>
          <w:rFonts w:ascii="Times New Roman" w:hAnsi="Times New Roman" w:cs="Times New Roman"/>
          <w:sz w:val="24"/>
          <w:szCs w:val="24"/>
        </w:rPr>
        <w:t xml:space="preserve">Návrh </w:t>
      </w:r>
      <w:r w:rsidR="00942C68" w:rsidRPr="00EF4A35">
        <w:rPr>
          <w:rFonts w:ascii="Times New Roman" w:hAnsi="Times New Roman" w:cs="Times New Roman"/>
          <w:sz w:val="24"/>
          <w:szCs w:val="24"/>
        </w:rPr>
        <w:t xml:space="preserve">nariadenia vlády Slovenskej republiky, </w:t>
      </w:r>
      <w:r w:rsidR="003945D5" w:rsidRPr="003945D5">
        <w:rPr>
          <w:rFonts w:ascii="Times New Roman" w:hAnsi="Times New Roman" w:cs="Times New Roman"/>
          <w:sz w:val="24"/>
          <w:szCs w:val="24"/>
        </w:rPr>
        <w:t>ktorým sa ustanovujú pravidlá predkladania žiadostí, výkonu kontroly a znižovania priamych podpôr Strategického plánu spoločnej poľnohospodárskej politiky</w:t>
      </w:r>
      <w:r w:rsidR="00135CCC" w:rsidRPr="00EF4A35">
        <w:rPr>
          <w:rFonts w:ascii="Times New Roman" w:hAnsi="Times New Roman" w:cs="Times New Roman"/>
          <w:sz w:val="24"/>
          <w:szCs w:val="24"/>
        </w:rPr>
        <w:t xml:space="preserve">, </w:t>
      </w:r>
      <w:r w:rsidR="00A44D73" w:rsidRPr="00EF4A35">
        <w:rPr>
          <w:rFonts w:ascii="Times New Roman" w:hAnsi="Times New Roman" w:cs="Times New Roman"/>
          <w:sz w:val="24"/>
          <w:szCs w:val="24"/>
        </w:rPr>
        <w:t>sa na rokovanie Legislatívnej rady vlády S</w:t>
      </w:r>
      <w:r w:rsidR="0014208E" w:rsidRPr="00EF4A35">
        <w:rPr>
          <w:rFonts w:ascii="Times New Roman" w:hAnsi="Times New Roman" w:cs="Times New Roman"/>
          <w:sz w:val="24"/>
          <w:szCs w:val="24"/>
        </w:rPr>
        <w:t>lovenskej republiky</w:t>
      </w:r>
      <w:r w:rsidR="00A44D73" w:rsidRPr="00EF4A35">
        <w:rPr>
          <w:rFonts w:ascii="Times New Roman" w:hAnsi="Times New Roman" w:cs="Times New Roman"/>
          <w:sz w:val="24"/>
          <w:szCs w:val="24"/>
        </w:rPr>
        <w:t xml:space="preserve"> predkladá </w:t>
      </w:r>
      <w:r w:rsidR="00135CCC" w:rsidRPr="00EF4A35">
        <w:rPr>
          <w:rFonts w:ascii="Times New Roman" w:hAnsi="Times New Roman" w:cs="Times New Roman"/>
          <w:sz w:val="24"/>
          <w:szCs w:val="24"/>
        </w:rPr>
        <w:t>s</w:t>
      </w:r>
      <w:r w:rsidR="0024644D" w:rsidRPr="00EF4A35">
        <w:rPr>
          <w:rFonts w:ascii="Times New Roman" w:hAnsi="Times New Roman" w:cs="Times New Roman"/>
          <w:sz w:val="24"/>
          <w:szCs w:val="24"/>
        </w:rPr>
        <w:t xml:space="preserve"> týmito </w:t>
      </w:r>
      <w:r w:rsidR="00135CCC" w:rsidRPr="00EF4A35">
        <w:rPr>
          <w:rFonts w:ascii="Times New Roman" w:hAnsi="Times New Roman" w:cs="Times New Roman"/>
          <w:sz w:val="24"/>
          <w:szCs w:val="24"/>
        </w:rPr>
        <w:t>rozpormi</w:t>
      </w:r>
      <w:r w:rsidR="0024644D" w:rsidRPr="00EF4A35">
        <w:rPr>
          <w:rFonts w:ascii="Times New Roman" w:hAnsi="Times New Roman" w:cs="Times New Roman"/>
          <w:sz w:val="24"/>
          <w:szCs w:val="24"/>
        </w:rPr>
        <w:t>:</w:t>
      </w:r>
      <w:r w:rsidR="00135CCC" w:rsidRPr="00EF4A35">
        <w:rPr>
          <w:rFonts w:ascii="Times New Roman" w:hAnsi="Times New Roman" w:cs="Times New Roman"/>
          <w:sz w:val="24"/>
          <w:szCs w:val="24"/>
        </w:rPr>
        <w:t xml:space="preserve"> </w:t>
      </w:r>
    </w:p>
    <w:p w:rsidR="00B7778E" w:rsidRPr="00EF4A35" w:rsidRDefault="00B7778E" w:rsidP="00F168CD">
      <w:pPr>
        <w:spacing w:line="240" w:lineRule="auto"/>
        <w:ind w:firstLine="708"/>
        <w:contextualSpacing/>
        <w:jc w:val="both"/>
        <w:rPr>
          <w:rFonts w:ascii="Times New Roman" w:hAnsi="Times New Roman" w:cs="Times New Roman"/>
          <w:sz w:val="24"/>
          <w:szCs w:val="24"/>
        </w:rPr>
      </w:pPr>
    </w:p>
    <w:tbl>
      <w:tblPr>
        <w:tblW w:w="5211" w:type="pct"/>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936"/>
        <w:gridCol w:w="4368"/>
        <w:gridCol w:w="472"/>
        <w:gridCol w:w="3696"/>
      </w:tblGrid>
      <w:tr w:rsidR="00716BAD" w:rsidRPr="00EF4A35" w:rsidTr="00350588">
        <w:trPr>
          <w:jc w:val="center"/>
        </w:trPr>
        <w:tc>
          <w:tcPr>
            <w:tcW w:w="2800" w:type="pct"/>
            <w:gridSpan w:val="2"/>
            <w:tcBorders>
              <w:top w:val="outset" w:sz="6" w:space="0" w:color="000000"/>
              <w:left w:val="outset" w:sz="6" w:space="0" w:color="000000"/>
              <w:bottom w:val="outset" w:sz="6" w:space="0" w:color="000000"/>
              <w:right w:val="outset" w:sz="6" w:space="0" w:color="000000"/>
            </w:tcBorders>
            <w:vAlign w:val="center"/>
          </w:tcPr>
          <w:p w:rsidR="00716BAD" w:rsidRPr="00EF4A35" w:rsidRDefault="00716BAD" w:rsidP="00F168CD">
            <w:pPr>
              <w:spacing w:after="0" w:line="240" w:lineRule="auto"/>
              <w:contextualSpacing/>
              <w:jc w:val="center"/>
              <w:rPr>
                <w:rFonts w:ascii="Times New Roman" w:hAnsi="Times New Roman" w:cs="Times New Roman"/>
                <w:b/>
                <w:bCs/>
                <w:sz w:val="24"/>
                <w:szCs w:val="24"/>
              </w:rPr>
            </w:pPr>
            <w:r w:rsidRPr="00EF4A35">
              <w:rPr>
                <w:rFonts w:ascii="Times New Roman" w:hAnsi="Times New Roman" w:cs="Times New Roman"/>
                <w:b/>
                <w:bCs/>
                <w:sz w:val="24"/>
                <w:szCs w:val="24"/>
              </w:rPr>
              <w:t>Zásadná pripomienka</w:t>
            </w:r>
          </w:p>
        </w:tc>
        <w:tc>
          <w:tcPr>
            <w:tcW w:w="2200" w:type="pct"/>
            <w:gridSpan w:val="2"/>
            <w:tcBorders>
              <w:top w:val="outset" w:sz="6" w:space="0" w:color="000000"/>
              <w:left w:val="outset" w:sz="6" w:space="0" w:color="000000"/>
              <w:bottom w:val="outset" w:sz="6" w:space="0" w:color="000000"/>
              <w:right w:val="outset" w:sz="6" w:space="0" w:color="000000"/>
            </w:tcBorders>
            <w:vAlign w:val="center"/>
          </w:tcPr>
          <w:p w:rsidR="00716BAD" w:rsidRPr="00EF4A35" w:rsidRDefault="00716BAD" w:rsidP="00F168CD">
            <w:pPr>
              <w:spacing w:after="0" w:line="240" w:lineRule="auto"/>
              <w:contextualSpacing/>
              <w:jc w:val="center"/>
              <w:rPr>
                <w:rFonts w:ascii="Times New Roman" w:hAnsi="Times New Roman" w:cs="Times New Roman"/>
                <w:b/>
                <w:sz w:val="24"/>
                <w:szCs w:val="24"/>
              </w:rPr>
            </w:pPr>
            <w:r w:rsidRPr="00EF4A35">
              <w:rPr>
                <w:rFonts w:ascii="Times New Roman" w:hAnsi="Times New Roman" w:cs="Times New Roman"/>
                <w:b/>
                <w:sz w:val="24"/>
                <w:szCs w:val="24"/>
              </w:rPr>
              <w:t>Vyhodnotenie</w:t>
            </w:r>
          </w:p>
        </w:tc>
      </w:tr>
      <w:tr w:rsidR="003945D5" w:rsidRPr="00EF4A35" w:rsidTr="00350588">
        <w:trPr>
          <w:jc w:val="center"/>
        </w:trPr>
        <w:tc>
          <w:tcPr>
            <w:tcW w:w="494" w:type="pct"/>
            <w:tcBorders>
              <w:top w:val="outset" w:sz="6" w:space="0" w:color="000000"/>
              <w:left w:val="outset" w:sz="6" w:space="0" w:color="000000"/>
              <w:bottom w:val="outset" w:sz="6" w:space="0" w:color="000000"/>
              <w:right w:val="outset" w:sz="6" w:space="0" w:color="000000"/>
            </w:tcBorders>
            <w:vAlign w:val="center"/>
          </w:tcPr>
          <w:p w:rsidR="003945D5" w:rsidRPr="00EF4A35" w:rsidRDefault="003945D5" w:rsidP="003945D5">
            <w:pPr>
              <w:spacing w:after="0" w:line="240" w:lineRule="auto"/>
              <w:contextualSpacing/>
              <w:jc w:val="center"/>
              <w:rPr>
                <w:rFonts w:ascii="Times New Roman" w:hAnsi="Times New Roman" w:cs="Times New Roman"/>
                <w:b/>
                <w:bCs/>
                <w:sz w:val="24"/>
                <w:szCs w:val="24"/>
              </w:rPr>
            </w:pPr>
            <w:r w:rsidRPr="00EF4A35">
              <w:rPr>
                <w:rFonts w:ascii="Times New Roman" w:hAnsi="Times New Roman" w:cs="Times New Roman"/>
                <w:b/>
                <w:bCs/>
                <w:sz w:val="24"/>
                <w:szCs w:val="24"/>
              </w:rPr>
              <w:t>MŽP SR</w:t>
            </w:r>
          </w:p>
        </w:tc>
        <w:tc>
          <w:tcPr>
            <w:tcW w:w="2306" w:type="pct"/>
            <w:tcBorders>
              <w:top w:val="outset" w:sz="6" w:space="0" w:color="000000"/>
              <w:left w:val="outset" w:sz="6" w:space="0" w:color="000000"/>
              <w:bottom w:val="outset" w:sz="6" w:space="0" w:color="000000"/>
              <w:right w:val="outset" w:sz="6" w:space="0" w:color="000000"/>
            </w:tcBorders>
            <w:vAlign w:val="center"/>
          </w:tcPr>
          <w:p w:rsidR="003945D5" w:rsidRPr="00AA07F9" w:rsidRDefault="003945D5" w:rsidP="003945D5">
            <w:pPr>
              <w:rPr>
                <w:rFonts w:ascii="Times New Roman" w:hAnsi="Times New Roman" w:cs="Times New Roman"/>
                <w:b/>
                <w:sz w:val="24"/>
                <w:szCs w:val="24"/>
              </w:rPr>
            </w:pPr>
            <w:r w:rsidRPr="00AA07F9">
              <w:rPr>
                <w:rFonts w:ascii="Times New Roman" w:hAnsi="Times New Roman" w:cs="Times New Roman"/>
                <w:b/>
                <w:bCs/>
                <w:sz w:val="24"/>
                <w:szCs w:val="24"/>
              </w:rPr>
              <w:t>§ 20</w:t>
            </w:r>
            <w:r w:rsidRPr="00AA07F9">
              <w:rPr>
                <w:rFonts w:ascii="Times New Roman" w:hAnsi="Times New Roman" w:cs="Times New Roman"/>
                <w:sz w:val="24"/>
                <w:szCs w:val="24"/>
              </w:rPr>
              <w:br/>
              <w:t xml:space="preserve">V § 20 žiadame vložiť za odsek 1 nový odsek 2, ktorý znie: „(2) Rozdiel výmery podľa odseku 1 sa započítava do súhrnnej výmery buď ak plocha ornej pôdy prijímateľa na jednom diele pôdneho bloku dosiahne najviac dvojnásobok výmery najväčšej výmery ornej pôdy podľa osobitného predpisu52), alebo ak plocha ornej pôdy prijímateľa na jednom diele pôdneho bloku presiahne dvojnásobok výmery najväčšej výmery ornej pôdy podľa osobitného predpisu52) a zároveň rozdiel výmery podľa odseku 1 je vyšší ako 10 % maximálnej výmery ornej pôdy podľa osobitného predpisu52).“. Doterajšie odseky 2 až 5 sa označia ako odseky 3 až 6. Odôvodnenie: Je potrebné zabezpečiť toleranciu 50 ha/20 ha + 10 % pri členení veľkých lánov. To znamená, že síce bude naďalej platiť povinnosť členiť každý lán väčší ako 50/20 ha, avšak ak sa pri výrazne väčších lánoch farmár pri umiestnení netrafí a presiahne limit (napr. 147 hektárový lán rozčlení na 51 ha, 49 ha a 47 ha mimo CHÚ), tak sa uvedené rozčlenenie plochy ornej pôdy bude akceptovať (síce jeden diel pôdneho bloku presiahne limit 50 ha, ale druhý bude menší ako 50 ha). Vzhľadom na skutočnosť, že pri práci na poli bez GPS môže vzniknúť odchýlka, je potrebné ustanoviť, že sa odchýlka do limitu 10 % bude akceptovať. Je dôležité, aby PPA za takéto odchýlky farmárov netrestala zbytočnými sankciami. Podobne aj pre šírku biopásu je potrebné umožniť flexibilnejšiu toleranciu. Už teraz je možné vidieť v teréne, že miestami podnikom uletelo osivo zo susedných parciel a občas majú biopásy šírku menej ako 12 m. Je potrebné toleranciu </w:t>
            </w:r>
            <w:r w:rsidRPr="00AA07F9">
              <w:rPr>
                <w:rFonts w:ascii="Times New Roman" w:hAnsi="Times New Roman" w:cs="Times New Roman"/>
                <w:sz w:val="24"/>
                <w:szCs w:val="24"/>
              </w:rPr>
              <w:lastRenderedPageBreak/>
              <w:t>nastaviť tak, aby síce každú parcelu väčšiu ako 50/20 ha bolo nutné členiť (a zároveň, aby tolerancia neviedla k tomu, že veľké parcely by sa rozdelili na väčší počet menších parciel ako by to bolo bez tolerancie), avšak ak pri výrazne väčších parcelách dôjde k malej odchýlke (kde je jasné, že nešlo o snahu obchádzať pravidlá), tak nebudú hroziť tresty pre farmárov, ktoré by ich odradili budúci rok od účasti v ekoschémach. Požiadavka na zmenšenie lánov a väčšiu podporu biodiverzity v poľnohospodárskej krajine je vítaná a súvisí aj s vyššie spomenutou implementáciou stratégie EÚ v oblasti biodiverzity do roku 2030, preto akákoľvek motivácia na jej zlepšenie v poľnohospodárskej krajine by mala byť podporená. V tomto prípade by mohla zbytočná byrokracia alebo sankcie tejto snahe skôr poškodiť ako pomôcť.</w:t>
            </w:r>
          </w:p>
        </w:tc>
        <w:tc>
          <w:tcPr>
            <w:tcW w:w="249" w:type="pct"/>
            <w:tcBorders>
              <w:top w:val="outset" w:sz="6" w:space="0" w:color="000000"/>
              <w:left w:val="outset" w:sz="6" w:space="0" w:color="000000"/>
              <w:bottom w:val="outset" w:sz="6" w:space="0" w:color="000000"/>
              <w:right w:val="outset" w:sz="6" w:space="0" w:color="000000"/>
            </w:tcBorders>
            <w:vAlign w:val="center"/>
          </w:tcPr>
          <w:p w:rsidR="003945D5" w:rsidRPr="00AA07F9" w:rsidRDefault="003945D5" w:rsidP="003945D5">
            <w:pPr>
              <w:spacing w:after="0" w:line="240" w:lineRule="auto"/>
              <w:contextualSpacing/>
              <w:jc w:val="center"/>
              <w:rPr>
                <w:rFonts w:ascii="Times New Roman" w:hAnsi="Times New Roman" w:cs="Times New Roman"/>
                <w:b/>
                <w:sz w:val="24"/>
                <w:szCs w:val="24"/>
              </w:rPr>
            </w:pPr>
            <w:r w:rsidRPr="00AA07F9">
              <w:rPr>
                <w:rFonts w:ascii="Times New Roman" w:hAnsi="Times New Roman" w:cs="Times New Roman"/>
                <w:b/>
                <w:sz w:val="24"/>
                <w:szCs w:val="24"/>
              </w:rPr>
              <w:lastRenderedPageBreak/>
              <w:t>N</w:t>
            </w:r>
          </w:p>
        </w:tc>
        <w:tc>
          <w:tcPr>
            <w:tcW w:w="1951" w:type="pct"/>
            <w:tcBorders>
              <w:top w:val="outset" w:sz="6" w:space="0" w:color="000000"/>
              <w:left w:val="outset" w:sz="6" w:space="0" w:color="000000"/>
              <w:bottom w:val="outset" w:sz="6" w:space="0" w:color="000000"/>
              <w:right w:val="outset" w:sz="6" w:space="0" w:color="000000"/>
            </w:tcBorders>
            <w:vAlign w:val="center"/>
          </w:tcPr>
          <w:p w:rsidR="003945D5" w:rsidRPr="00AA07F9" w:rsidRDefault="003945D5" w:rsidP="003945D5">
            <w:pPr>
              <w:jc w:val="both"/>
              <w:rPr>
                <w:rFonts w:ascii="Times New Roman" w:hAnsi="Times New Roman" w:cs="Times New Roman"/>
                <w:sz w:val="24"/>
                <w:szCs w:val="24"/>
              </w:rPr>
            </w:pPr>
            <w:r w:rsidRPr="00AA07F9">
              <w:rPr>
                <w:rFonts w:ascii="Times New Roman" w:hAnsi="Times New Roman" w:cs="Times New Roman"/>
                <w:sz w:val="24"/>
                <w:szCs w:val="24"/>
              </w:rPr>
              <w:t xml:space="preserve">Stanovenie tolerancie by znamenalo ustúpenie z pevne stanovených hraníc v strategickom pláne 31.1 celofarmová eko-schéma. </w:t>
            </w:r>
          </w:p>
          <w:p w:rsidR="003945D5" w:rsidRPr="00AA07F9" w:rsidRDefault="003945D5" w:rsidP="003945D5">
            <w:pPr>
              <w:jc w:val="both"/>
              <w:rPr>
                <w:rFonts w:ascii="Times New Roman" w:hAnsi="Times New Roman" w:cs="Times New Roman"/>
                <w:sz w:val="24"/>
                <w:szCs w:val="24"/>
              </w:rPr>
            </w:pPr>
            <w:r w:rsidRPr="00AA07F9">
              <w:rPr>
                <w:rFonts w:ascii="Times New Roman" w:hAnsi="Times New Roman" w:cs="Times New Roman"/>
                <w:sz w:val="24"/>
                <w:szCs w:val="24"/>
              </w:rPr>
              <w:t xml:space="preserve">Maximálna výmera súvislej plochy ornej pôdy je fundamentálnou podmienkou eko-schém a zavedenie tolerancie by znamenalo zvýšenie maximálnej výmery, čo je v rozpore so schváleným Strategickým plánom spoločnej poľnohospodárskej politiky 2023 – 2027. </w:t>
            </w:r>
          </w:p>
          <w:p w:rsidR="003945D5" w:rsidRPr="00AA07F9" w:rsidRDefault="003945D5" w:rsidP="003945D5">
            <w:pPr>
              <w:spacing w:after="120"/>
              <w:jc w:val="both"/>
              <w:rPr>
                <w:rFonts w:ascii="Times New Roman" w:hAnsi="Times New Roman" w:cs="Times New Roman"/>
                <w:sz w:val="24"/>
                <w:szCs w:val="24"/>
              </w:rPr>
            </w:pPr>
            <w:r w:rsidRPr="00AA07F9">
              <w:rPr>
                <w:rFonts w:ascii="Times New Roman" w:hAnsi="Times New Roman" w:cs="Times New Roman"/>
                <w:sz w:val="24"/>
                <w:szCs w:val="24"/>
              </w:rPr>
              <w:t xml:space="preserve">Podľa § 20 ods. 1 sa plocha  zníži o súhrnnú výmeru vypočítanú ako rozdiel výmery každej súvislej poľnohospodárskej plochy ornej pôdy žiadateľa v jednom diele pôdneho bloku a najväčšej výmery ornej pôdy podľa § 11 ods. 1 písm. c) a § 12 písm. c) nariadenia vlády Slovenskej republiky č. 436/2022 Z. z., ktorým sa ustanovujú pravidlá poskytovania podpory v poľnohospodárstve formou priamych platieb. </w:t>
            </w:r>
          </w:p>
          <w:p w:rsidR="003945D5" w:rsidRPr="00AA07F9" w:rsidRDefault="003945D5" w:rsidP="003945D5">
            <w:pPr>
              <w:spacing w:after="120"/>
              <w:jc w:val="both"/>
              <w:rPr>
                <w:rFonts w:ascii="Times New Roman" w:hAnsi="Times New Roman" w:cs="Times New Roman"/>
                <w:sz w:val="24"/>
                <w:szCs w:val="24"/>
              </w:rPr>
            </w:pPr>
            <w:r w:rsidRPr="00AA07F9">
              <w:rPr>
                <w:rFonts w:ascii="Times New Roman" w:hAnsi="Times New Roman" w:cs="Times New Roman"/>
                <w:sz w:val="24"/>
                <w:szCs w:val="24"/>
              </w:rPr>
              <w:t xml:space="preserve">Vzhľadom na rozsah požiadaviek v súvislosti s uplatnením dodržania najväčšej výmery ornej pôdy v prvých rokoch implementácie sa navrhuje obmedziť príslušné zníženia na polovicu v rokoch 2023 a 2024. </w:t>
            </w:r>
          </w:p>
          <w:p w:rsidR="003945D5" w:rsidRPr="00AA07F9" w:rsidRDefault="003945D5" w:rsidP="003945D5">
            <w:pPr>
              <w:spacing w:after="120"/>
              <w:jc w:val="both"/>
              <w:rPr>
                <w:rFonts w:ascii="Times New Roman" w:hAnsi="Times New Roman" w:cs="Times New Roman"/>
                <w:sz w:val="24"/>
                <w:szCs w:val="24"/>
              </w:rPr>
            </w:pPr>
            <w:r w:rsidRPr="00AA07F9">
              <w:rPr>
                <w:rFonts w:ascii="Times New Roman" w:hAnsi="Times New Roman" w:cs="Times New Roman"/>
                <w:sz w:val="24"/>
                <w:szCs w:val="24"/>
              </w:rPr>
              <w:t xml:space="preserve">Napríklad ak poľnohospodársky podnik mimo chránené územie, má nahlásenú plochu 100 ha na jednom diele pôdneho bloku, musí deliť túto plochu biopásmi  na 2 x 50 ha. Určená súvislá plocha bude delená na 45 ha a 55 ha. To znamená, že presiahnutie maximálnej výmery je 5 </w:t>
            </w:r>
            <w:r w:rsidRPr="00AA07F9">
              <w:rPr>
                <w:rFonts w:ascii="Times New Roman" w:hAnsi="Times New Roman" w:cs="Times New Roman"/>
                <w:sz w:val="24"/>
                <w:szCs w:val="24"/>
              </w:rPr>
              <w:lastRenderedPageBreak/>
              <w:t>ha (určená plocha 55 ha -</w:t>
            </w:r>
            <w:r w:rsidR="00AA07F9">
              <w:rPr>
                <w:rFonts w:ascii="Times New Roman" w:hAnsi="Times New Roman" w:cs="Times New Roman"/>
                <w:sz w:val="24"/>
                <w:szCs w:val="24"/>
              </w:rPr>
              <w:t xml:space="preserve"> </w:t>
            </w:r>
            <w:r w:rsidRPr="00AA07F9">
              <w:rPr>
                <w:rFonts w:ascii="Times New Roman" w:hAnsi="Times New Roman" w:cs="Times New Roman"/>
                <w:sz w:val="24"/>
                <w:szCs w:val="24"/>
              </w:rPr>
              <w:t xml:space="preserve">maximálna povolená výmera 50 ha = presiahnutie maximálnej výmery o 5 ha). </w:t>
            </w:r>
          </w:p>
          <w:p w:rsidR="003945D5" w:rsidRPr="00AA07F9" w:rsidRDefault="003945D5" w:rsidP="003945D5">
            <w:pPr>
              <w:spacing w:after="120"/>
              <w:jc w:val="both"/>
              <w:rPr>
                <w:rFonts w:ascii="Times New Roman" w:hAnsi="Times New Roman" w:cs="Times New Roman"/>
                <w:sz w:val="24"/>
                <w:szCs w:val="24"/>
              </w:rPr>
            </w:pPr>
            <w:r w:rsidRPr="00AA07F9">
              <w:rPr>
                <w:rFonts w:ascii="Times New Roman" w:hAnsi="Times New Roman" w:cs="Times New Roman"/>
                <w:sz w:val="24"/>
                <w:szCs w:val="24"/>
              </w:rPr>
              <w:t xml:space="preserve">Sankcia za porušenie bude 5 ha, pričom v roku 2023 a 2024 bude toto porušenie znížené na polovicu (5 ha/2 = 2,5 ha). Zníženie platby pri celofarmovej eko-schéme bude o 2,5 ha. </w:t>
            </w:r>
          </w:p>
          <w:p w:rsidR="003945D5" w:rsidRPr="00AA07F9" w:rsidRDefault="003945D5" w:rsidP="005D53EA">
            <w:pPr>
              <w:spacing w:after="120"/>
              <w:jc w:val="both"/>
              <w:rPr>
                <w:rFonts w:ascii="Times New Roman" w:hAnsi="Times New Roman" w:cs="Times New Roman"/>
                <w:sz w:val="24"/>
                <w:szCs w:val="24"/>
              </w:rPr>
            </w:pPr>
            <w:r w:rsidRPr="00AA07F9">
              <w:rPr>
                <w:rFonts w:ascii="Times New Roman" w:hAnsi="Times New Roman" w:cs="Times New Roman"/>
                <w:sz w:val="24"/>
                <w:szCs w:val="24"/>
              </w:rPr>
              <w:t>Rozlišuje sa situácia, kedy nie je dodržaná požadovaná najväčšia výmera ornej pôdy a situácia, kedy biopás nespĺňa požadované kvalitatívne a kvantitatívne parametre. Zároveň v prípade, že biopás nedosahuje najmenej 50 % požadovanej šírky, je založený po 31. máji, nie je tvorený požadovanou zmesou alebo v prípade biopásu tvoreného pôdou ležiacou úhorom s porastom nie je obhospodarovaný v zmysle požiadaviek, nepovažuje sa za biopás členiaci súvislú plochu ornej pôdy, t. j. v tomto prípade môže súčasne dôjsť k uplatneniu zníženia aj za nedodržanie najväčšej výmery ornej pôdy. Uplatnenie znížení za neplnenie požadovaných parametrov biopásu sa realizuje znížením nahlásenej výmery príslušného biopásu, na ktorom je zistené porušenie; vo vzťahu k jednému biopásu sa zníženia nekumulujú, t. j. v prípade, že dôjde k zníženiu výmery za jedno porušenie na danom biopáse, v prípade zistenia ďalšieho porušenia na tom istom biopáse nedochádza k duplicitnému zníženiu o tú istú výmeru.</w:t>
            </w:r>
            <w:r w:rsidR="00AB789F" w:rsidRPr="00AA07F9">
              <w:rPr>
                <w:rFonts w:ascii="Times New Roman" w:hAnsi="Times New Roman" w:cs="Times New Roman"/>
                <w:sz w:val="24"/>
                <w:szCs w:val="24"/>
              </w:rPr>
              <w:t xml:space="preserve"> Na rozporovom konaní dňa 20. 3. 2023 rozpor nebol odstránený.</w:t>
            </w:r>
          </w:p>
        </w:tc>
      </w:tr>
      <w:tr w:rsidR="00350588" w:rsidRPr="00EF4A35" w:rsidTr="00350588">
        <w:trPr>
          <w:jc w:val="center"/>
        </w:trPr>
        <w:tc>
          <w:tcPr>
            <w:tcW w:w="494" w:type="pct"/>
            <w:tcBorders>
              <w:top w:val="outset" w:sz="6" w:space="0" w:color="000000"/>
              <w:left w:val="outset" w:sz="6" w:space="0" w:color="000000"/>
              <w:bottom w:val="outset" w:sz="6" w:space="0" w:color="000000"/>
              <w:right w:val="outset" w:sz="6" w:space="0" w:color="000000"/>
            </w:tcBorders>
            <w:vAlign w:val="center"/>
          </w:tcPr>
          <w:p w:rsidR="00350588" w:rsidRDefault="00350588" w:rsidP="00350588">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AZZZ, SPPK</w:t>
            </w:r>
          </w:p>
        </w:tc>
        <w:tc>
          <w:tcPr>
            <w:tcW w:w="2306" w:type="pct"/>
            <w:tcBorders>
              <w:top w:val="outset" w:sz="6" w:space="0" w:color="000000"/>
              <w:left w:val="outset" w:sz="6" w:space="0" w:color="000000"/>
              <w:bottom w:val="outset" w:sz="6" w:space="0" w:color="000000"/>
              <w:right w:val="outset" w:sz="6" w:space="0" w:color="000000"/>
            </w:tcBorders>
            <w:vAlign w:val="center"/>
          </w:tcPr>
          <w:p w:rsidR="00350588" w:rsidRPr="00AA07F9" w:rsidRDefault="00350588" w:rsidP="00350588">
            <w:pPr>
              <w:rPr>
                <w:rFonts w:ascii="Times" w:hAnsi="Times" w:cs="Times"/>
                <w:sz w:val="24"/>
                <w:szCs w:val="24"/>
              </w:rPr>
            </w:pPr>
            <w:r w:rsidRPr="00AA07F9">
              <w:rPr>
                <w:rFonts w:ascii="Times" w:hAnsi="Times" w:cs="Times"/>
                <w:b/>
                <w:bCs/>
                <w:sz w:val="24"/>
                <w:szCs w:val="24"/>
              </w:rPr>
              <w:t>§ 9 ods. 1</w:t>
            </w:r>
            <w:r w:rsidRPr="00AA07F9">
              <w:rPr>
                <w:rFonts w:ascii="Times" w:hAnsi="Times" w:cs="Times"/>
                <w:sz w:val="24"/>
                <w:szCs w:val="24"/>
              </w:rPr>
              <w:br/>
              <w:t xml:space="preserve">Navrhujeme jednoznačne vymedziť slovné spojenie „inými prostriedkami“, resp. ich adekvátne vymenovať. Odôvodnenie: znenie predmetného ustanovenia najmä v súvislosti </w:t>
            </w:r>
            <w:r w:rsidRPr="00AA07F9">
              <w:rPr>
                <w:rFonts w:ascii="Times" w:hAnsi="Times" w:cs="Times"/>
                <w:sz w:val="24"/>
                <w:szCs w:val="24"/>
              </w:rPr>
              <w:lastRenderedPageBreak/>
              <w:t>so slovným spojením „inými prostriedkami“ považujeme za vágne, neurčité a ponechávajúce širokú mieru interpretácie daného ustanovenia, čo považujeme za neprípustné. Návrh zákona žiadnym spôsobom bližšie nešpecifikuje, čo sa považuje za iné prostriedky, ktoré možno použiť v rámci kontroly na mieste. Navrhujeme preto tento pojem buď vysvetliť, alebo príkladmo uviesť o aké prostriedky sa jedná. Uvádzame, že právna úprava ma byť jasná, vecná a zrozumiteľná. Dané ustanovenie zároveň považujeme aj za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w:t>
            </w:r>
          </w:p>
        </w:tc>
        <w:tc>
          <w:tcPr>
            <w:tcW w:w="249" w:type="pct"/>
            <w:tcBorders>
              <w:top w:val="outset" w:sz="6" w:space="0" w:color="000000"/>
              <w:left w:val="outset" w:sz="6" w:space="0" w:color="000000"/>
              <w:bottom w:val="outset" w:sz="6" w:space="0" w:color="000000"/>
              <w:right w:val="outset" w:sz="6" w:space="0" w:color="000000"/>
            </w:tcBorders>
            <w:vAlign w:val="center"/>
          </w:tcPr>
          <w:p w:rsidR="00350588" w:rsidRPr="00AA07F9" w:rsidRDefault="00350588" w:rsidP="00350588">
            <w:pPr>
              <w:jc w:val="center"/>
              <w:rPr>
                <w:rFonts w:ascii="Times" w:hAnsi="Times" w:cs="Times"/>
                <w:sz w:val="24"/>
                <w:szCs w:val="24"/>
              </w:rPr>
            </w:pPr>
            <w:r w:rsidRPr="00AA07F9">
              <w:rPr>
                <w:rFonts w:ascii="Times" w:hAnsi="Times" w:cs="Times"/>
                <w:sz w:val="24"/>
                <w:szCs w:val="24"/>
              </w:rPr>
              <w:lastRenderedPageBreak/>
              <w:t>ČA</w:t>
            </w:r>
          </w:p>
        </w:tc>
        <w:tc>
          <w:tcPr>
            <w:tcW w:w="1951" w:type="pct"/>
            <w:tcBorders>
              <w:top w:val="outset" w:sz="6" w:space="0" w:color="000000"/>
              <w:left w:val="outset" w:sz="6" w:space="0" w:color="000000"/>
              <w:bottom w:val="outset" w:sz="6" w:space="0" w:color="000000"/>
              <w:right w:val="outset" w:sz="6" w:space="0" w:color="000000"/>
            </w:tcBorders>
            <w:vAlign w:val="center"/>
          </w:tcPr>
          <w:p w:rsidR="00350588" w:rsidRPr="00AA07F9" w:rsidRDefault="00350588" w:rsidP="00350588">
            <w:pPr>
              <w:spacing w:after="120"/>
              <w:jc w:val="both"/>
              <w:rPr>
                <w:rFonts w:ascii="Times" w:hAnsi="Times" w:cs="Times"/>
                <w:sz w:val="24"/>
                <w:szCs w:val="24"/>
              </w:rPr>
            </w:pPr>
            <w:r w:rsidRPr="00AA07F9">
              <w:rPr>
                <w:rFonts w:ascii="Times" w:hAnsi="Times" w:cs="Times"/>
                <w:sz w:val="24"/>
                <w:szCs w:val="24"/>
              </w:rPr>
              <w:t xml:space="preserve">Iné prostriedky s aspoň rovnocennou hodnotou vymedzuje čl. 11 nariadenia 2022/1173 a ako príklad uvádza fotografie s geografickou lokalizáciou. V tomto zmysle je </w:t>
            </w:r>
            <w:r w:rsidRPr="00AA07F9">
              <w:rPr>
                <w:rFonts w:ascii="Times" w:hAnsi="Times" w:cs="Times"/>
                <w:sz w:val="24"/>
                <w:szCs w:val="24"/>
              </w:rPr>
              <w:lastRenderedPageBreak/>
              <w:t>možné čiastočne akceptovať zásadnú pripomienku doplnením osobitnej časti dôvodovej správy. Podľa § 4 ods. 4 zákona č. 400/2015 Z. z. o tvorbe právnych predpisov a o Zbierke zákonov Slovenskej republiky a o zmene a doplnení niektorých zákonov sa „do právneho predpisu nepreberá ustanovenie iného právneho predpisu, ale použije sa odkaz na tento právny predpis alebo na priamo záväzný právny akt Európskej únie.“</w:t>
            </w:r>
            <w:r w:rsidR="00F40E1E" w:rsidRPr="00AA07F9">
              <w:rPr>
                <w:rFonts w:ascii="Times" w:hAnsi="Times" w:cs="Times"/>
                <w:sz w:val="24"/>
                <w:szCs w:val="24"/>
              </w:rPr>
              <w:t>.</w:t>
            </w:r>
            <w:r w:rsidRPr="00AA07F9">
              <w:rPr>
                <w:rFonts w:ascii="Times" w:hAnsi="Times" w:cs="Times"/>
                <w:sz w:val="24"/>
                <w:szCs w:val="24"/>
              </w:rPr>
              <w:t xml:space="preserve"> </w:t>
            </w:r>
            <w:r w:rsidRPr="00AA07F9">
              <w:rPr>
                <w:rFonts w:ascii="Times" w:hAnsi="Times" w:cs="Times"/>
                <w:sz w:val="24"/>
                <w:szCs w:val="24"/>
              </w:rPr>
              <w:t>Na rozporovom konaní dňa 20. 3. 2023 rozpor nebol odstránený.</w:t>
            </w:r>
          </w:p>
        </w:tc>
      </w:tr>
      <w:tr w:rsidR="001B5760" w:rsidRPr="00EF4A35" w:rsidTr="00350588">
        <w:trPr>
          <w:jc w:val="center"/>
        </w:trPr>
        <w:tc>
          <w:tcPr>
            <w:tcW w:w="494" w:type="pct"/>
            <w:tcBorders>
              <w:top w:val="outset" w:sz="6" w:space="0" w:color="000000"/>
              <w:left w:val="outset" w:sz="6" w:space="0" w:color="000000"/>
              <w:bottom w:val="outset" w:sz="6" w:space="0" w:color="000000"/>
              <w:right w:val="outset" w:sz="6" w:space="0" w:color="000000"/>
            </w:tcBorders>
            <w:vAlign w:val="center"/>
          </w:tcPr>
          <w:p w:rsidR="001B5760" w:rsidRDefault="001B5760" w:rsidP="003945D5">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AZZZ, SPPK</w:t>
            </w:r>
          </w:p>
        </w:tc>
        <w:tc>
          <w:tcPr>
            <w:tcW w:w="2306" w:type="pct"/>
            <w:tcBorders>
              <w:top w:val="outset" w:sz="6" w:space="0" w:color="000000"/>
              <w:left w:val="outset" w:sz="6" w:space="0" w:color="000000"/>
              <w:bottom w:val="outset" w:sz="6" w:space="0" w:color="000000"/>
              <w:right w:val="outset" w:sz="6" w:space="0" w:color="000000"/>
            </w:tcBorders>
            <w:vAlign w:val="center"/>
          </w:tcPr>
          <w:p w:rsidR="001B5760" w:rsidRPr="00AA07F9" w:rsidRDefault="001B5760" w:rsidP="003945D5">
            <w:pPr>
              <w:rPr>
                <w:rFonts w:ascii="Times New Roman" w:hAnsi="Times New Roman" w:cs="Times New Roman"/>
                <w:b/>
                <w:bCs/>
                <w:sz w:val="24"/>
                <w:szCs w:val="24"/>
              </w:rPr>
            </w:pPr>
            <w:r w:rsidRPr="00AA07F9">
              <w:rPr>
                <w:rFonts w:ascii="Times New Roman" w:hAnsi="Times New Roman" w:cs="Times New Roman"/>
                <w:b/>
                <w:bCs/>
                <w:sz w:val="24"/>
                <w:szCs w:val="24"/>
              </w:rPr>
              <w:t>§ 15 ods. 2</w:t>
            </w:r>
            <w:r w:rsidRPr="00AA07F9">
              <w:rPr>
                <w:rFonts w:ascii="Times New Roman" w:hAnsi="Times New Roman" w:cs="Times New Roman"/>
                <w:sz w:val="24"/>
                <w:szCs w:val="24"/>
              </w:rPr>
              <w:br/>
              <w:t>Znenie § 15 odsek 2 navrhujeme upraviť nasledovne: „Ak rozdiel výmery nahlásenej plochy a určenej plochy presiahne 20 % určenej plochy, podpora sa poskytne na výmeru určenej plochy zníženej o 1,5 násobok rozdielu ich výmery.“ Odôvodnenie: považujeme za dôležité zabezpečiť, aby regulácie a kontrolné mechanizmy boli spravodlivé a rovnaké pre všetkých žiadateľov, bez ohľadu na veľkosť ich podniku. Regulačný rámec by mal byť jasne definovaný a transparentný, aby sa zabránilo vzniku situácií, kedy sú sankcie uplatňované výlučne na žiadateľov s veľkými a strednými poľnohospodárskymi podnikmi, pričom žiadatelia s malými poľnohospodárskymi podnikmi sú oslobodené od sankcií. To by malo zabezpečiť, aby každý žiadateľ bol povinný dodržiavať rovnaké pravidlá a mal rovnaké následky v prípade ich porušenia.</w:t>
            </w:r>
          </w:p>
        </w:tc>
        <w:tc>
          <w:tcPr>
            <w:tcW w:w="249" w:type="pct"/>
            <w:tcBorders>
              <w:top w:val="outset" w:sz="6" w:space="0" w:color="000000"/>
              <w:left w:val="outset" w:sz="6" w:space="0" w:color="000000"/>
              <w:bottom w:val="outset" w:sz="6" w:space="0" w:color="000000"/>
              <w:right w:val="outset" w:sz="6" w:space="0" w:color="000000"/>
            </w:tcBorders>
            <w:vAlign w:val="center"/>
          </w:tcPr>
          <w:p w:rsidR="001B5760" w:rsidRPr="00AA07F9" w:rsidRDefault="009D4096" w:rsidP="003945D5">
            <w:pPr>
              <w:spacing w:after="0" w:line="240" w:lineRule="auto"/>
              <w:contextualSpacing/>
              <w:jc w:val="center"/>
              <w:rPr>
                <w:rFonts w:ascii="Times New Roman" w:hAnsi="Times New Roman" w:cs="Times New Roman"/>
                <w:sz w:val="24"/>
                <w:szCs w:val="24"/>
              </w:rPr>
            </w:pPr>
            <w:r w:rsidRPr="00AA07F9">
              <w:rPr>
                <w:rFonts w:ascii="Times New Roman" w:hAnsi="Times New Roman" w:cs="Times New Roman"/>
                <w:b/>
                <w:sz w:val="24"/>
                <w:szCs w:val="24"/>
              </w:rPr>
              <w:t>ČA</w:t>
            </w:r>
          </w:p>
        </w:tc>
        <w:tc>
          <w:tcPr>
            <w:tcW w:w="1951" w:type="pct"/>
            <w:tcBorders>
              <w:top w:val="outset" w:sz="6" w:space="0" w:color="000000"/>
              <w:left w:val="outset" w:sz="6" w:space="0" w:color="000000"/>
              <w:bottom w:val="outset" w:sz="6" w:space="0" w:color="000000"/>
              <w:right w:val="outset" w:sz="6" w:space="0" w:color="000000"/>
            </w:tcBorders>
            <w:vAlign w:val="center"/>
          </w:tcPr>
          <w:p w:rsidR="001B5760" w:rsidRPr="00AA07F9" w:rsidRDefault="009D4096" w:rsidP="009D4096">
            <w:pPr>
              <w:spacing w:after="120"/>
              <w:jc w:val="both"/>
              <w:rPr>
                <w:rFonts w:ascii="Times New Roman" w:hAnsi="Times New Roman" w:cs="Times New Roman"/>
                <w:sz w:val="24"/>
                <w:szCs w:val="24"/>
              </w:rPr>
            </w:pPr>
            <w:r w:rsidRPr="00AA07F9">
              <w:rPr>
                <w:rFonts w:ascii="Times New Roman" w:hAnsi="Times New Roman" w:cs="Times New Roman"/>
                <w:sz w:val="24"/>
                <w:szCs w:val="24"/>
              </w:rPr>
              <w:t>Ako kompromisné riešenie navrhujeme zvýšiť hranicu v druhom referenčnom bode na 12 ha, čo je priamo úmerné s pomerom uplatňovaným v predchádzajúcom období spoločnej poľnohospodárskej politiky medzi referenčným bodom zníženia stanoveným percentuálnym vyjadrením a referenčným bodom zníženia stanoveným vyjadrením v ha (pozri čl. 19  a čl. 19a delegovaného nariadenia Komisie (EÚ) č. 640/2014 z 11. marca 2014,</w:t>
            </w:r>
            <w:r w:rsidR="00680737" w:rsidRPr="00AA07F9">
              <w:rPr>
                <w:rFonts w:ascii="Times New Roman" w:hAnsi="Times New Roman" w:cs="Times New Roman"/>
                <w:sz w:val="24"/>
                <w:szCs w:val="24"/>
              </w:rPr>
              <w:t xml:space="preserve"> </w:t>
            </w:r>
            <w:r w:rsidRPr="00AA07F9">
              <w:rPr>
                <w:rFonts w:ascii="Times New Roman" w:hAnsi="Times New Roman" w:cs="Times New Roman"/>
                <w:sz w:val="24"/>
                <w:szCs w:val="24"/>
              </w:rPr>
              <w:t>ktorým sa dopĺňa nariadenie Európskeho parlamentu a Rady (EÚ) č. 1306/2013 vzhľadom na integrovaný administratívny a kontrolný systém, podmienky zamietnutia alebo odňatia platieb a administratívne sankcie uplatniteľné na priame platby, podporné nariadenia na r</w:t>
            </w:r>
            <w:r w:rsidR="00680737" w:rsidRPr="00AA07F9">
              <w:rPr>
                <w:rFonts w:ascii="Times New Roman" w:hAnsi="Times New Roman" w:cs="Times New Roman"/>
                <w:sz w:val="24"/>
                <w:szCs w:val="24"/>
              </w:rPr>
              <w:t>ozvoj vidieka a krížové plnenie</w:t>
            </w:r>
            <w:r w:rsidRPr="00AA07F9">
              <w:rPr>
                <w:rFonts w:ascii="Times New Roman" w:hAnsi="Times New Roman" w:cs="Times New Roman"/>
                <w:sz w:val="24"/>
                <w:szCs w:val="24"/>
              </w:rPr>
              <w:t>)</w:t>
            </w:r>
            <w:r w:rsidR="00680737" w:rsidRPr="00AA07F9">
              <w:rPr>
                <w:rFonts w:ascii="Times New Roman" w:hAnsi="Times New Roman" w:cs="Times New Roman"/>
                <w:sz w:val="24"/>
                <w:szCs w:val="24"/>
              </w:rPr>
              <w:t>.</w:t>
            </w:r>
            <w:r w:rsidRPr="00AA07F9">
              <w:rPr>
                <w:rFonts w:ascii="Times New Roman" w:hAnsi="Times New Roman" w:cs="Times New Roman"/>
                <w:sz w:val="24"/>
                <w:szCs w:val="24"/>
              </w:rPr>
              <w:t xml:space="preserve"> Predkladateľ si dovoľuje upozorniť pripomienkujúci subjekt, že v rámci ochrany finančných záujmov EÚ musí pri zriadení </w:t>
            </w:r>
            <w:r w:rsidRPr="00AA07F9">
              <w:rPr>
                <w:rFonts w:ascii="Times New Roman" w:hAnsi="Times New Roman" w:cs="Times New Roman"/>
                <w:sz w:val="24"/>
                <w:szCs w:val="24"/>
              </w:rPr>
              <w:lastRenderedPageBreak/>
              <w:t>systému sankcií prihliadať na veľkosť celkovej neoprávnenej výmery plôch žiadateľov, nakoľko práve od nej sa vyvíja množstvo neoprávnene poskytnutých finančných prostriedkov. „Zvýhodnenie“ malých podnikov je len vedľajším následkom objektívne stanoveného referenčného bodu zníženia a je legitímnym nástrojom v rámci nastavenia politiky systému znížení; v predchádzajúcom období spoločnej poľnohospodárskej politiky boli na základe obdobných objektívne stanovených referenčných bodov zníženia „znevýhodnené“ veľké podniky, a to na základe výpočtu podľa čl. 19 a čl. 19a delegovaného nariadenia Komisie (EÚ) č. 640/2014 z 11. marca 2014,</w:t>
            </w:r>
            <w:r w:rsidR="00680737" w:rsidRPr="00AA07F9">
              <w:rPr>
                <w:rFonts w:ascii="Times New Roman" w:hAnsi="Times New Roman" w:cs="Times New Roman"/>
                <w:sz w:val="24"/>
                <w:szCs w:val="24"/>
              </w:rPr>
              <w:t xml:space="preserve"> </w:t>
            </w:r>
            <w:r w:rsidRPr="00AA07F9">
              <w:rPr>
                <w:rFonts w:ascii="Times New Roman" w:hAnsi="Times New Roman" w:cs="Times New Roman"/>
                <w:sz w:val="24"/>
                <w:szCs w:val="24"/>
              </w:rPr>
              <w:t>ktorým sa dopĺňa nariadenie Európskeho parlamentu a Rady (EÚ) č. 1306/2013 vzhľadom na integrovaný administratívny a kontrolný systém, podmienky zamietnutia alebo odňatia platieb a administratívne sankcie uplatniteľné na priame platby, podporné nariadenia na rozvoj vidieka a krížové plnenie. Predkladateľ si zároveň dovoľuje upozorniť, že predmetné zníženia sú v porovnaní s predchádzajúcim obdobím spoločnej poľnohospodárskej politiky miernejšie a ak by sa mal systém predmetných znížení za naddeklaráciu uplatniť na všetkých žiadateľov bez ohľadu na veľkosť podniku, v zmysle zabezpečenia ochrany finančných záujmov EÚ by sa museli stanoviť prísnejšie zníženia za naddeklaráciu plôch pre všetkých žiadateľov en bloc (a to výrazne prísnejšie ako v pripomienke navrhovaný referenčný bod zníženia stanovený na 20 % výmery plochy podľa § 17 ods. 2).</w:t>
            </w:r>
          </w:p>
          <w:p w:rsidR="00076F0D" w:rsidRPr="00AA07F9" w:rsidRDefault="00076F0D" w:rsidP="009D4096">
            <w:pPr>
              <w:spacing w:after="120"/>
              <w:jc w:val="both"/>
              <w:rPr>
                <w:rFonts w:ascii="Times New Roman" w:hAnsi="Times New Roman" w:cs="Times New Roman"/>
                <w:bCs/>
                <w:sz w:val="24"/>
                <w:szCs w:val="24"/>
              </w:rPr>
            </w:pPr>
            <w:r w:rsidRPr="00AA07F9">
              <w:rPr>
                <w:rFonts w:ascii="Times New Roman" w:hAnsi="Times New Roman" w:cs="Times New Roman"/>
                <w:sz w:val="24"/>
                <w:szCs w:val="24"/>
              </w:rPr>
              <w:lastRenderedPageBreak/>
              <w:t>Napriek navrhnutému kompromisnému riešeniu nebol na rozporovom konaní dňa 20. 3. 2023 rozpor odstránený.</w:t>
            </w:r>
          </w:p>
        </w:tc>
      </w:tr>
      <w:tr w:rsidR="003945D5" w:rsidRPr="00EF4A35" w:rsidTr="00350588">
        <w:trPr>
          <w:jc w:val="center"/>
        </w:trPr>
        <w:tc>
          <w:tcPr>
            <w:tcW w:w="494" w:type="pct"/>
            <w:tcBorders>
              <w:top w:val="outset" w:sz="6" w:space="0" w:color="000000"/>
              <w:left w:val="outset" w:sz="6" w:space="0" w:color="000000"/>
              <w:bottom w:val="outset" w:sz="6" w:space="0" w:color="000000"/>
              <w:right w:val="outset" w:sz="6" w:space="0" w:color="000000"/>
            </w:tcBorders>
            <w:vAlign w:val="center"/>
          </w:tcPr>
          <w:p w:rsidR="003945D5" w:rsidRPr="00EF4A35" w:rsidRDefault="005D53EA" w:rsidP="003945D5">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AZZZ</w:t>
            </w:r>
            <w:r w:rsidR="001B5760">
              <w:rPr>
                <w:rFonts w:ascii="Times New Roman" w:hAnsi="Times New Roman" w:cs="Times New Roman"/>
                <w:b/>
                <w:bCs/>
                <w:sz w:val="24"/>
                <w:szCs w:val="24"/>
              </w:rPr>
              <w:t>, SPPK</w:t>
            </w:r>
          </w:p>
        </w:tc>
        <w:tc>
          <w:tcPr>
            <w:tcW w:w="2306" w:type="pct"/>
            <w:tcBorders>
              <w:top w:val="outset" w:sz="6" w:space="0" w:color="000000"/>
              <w:left w:val="outset" w:sz="6" w:space="0" w:color="000000"/>
              <w:bottom w:val="outset" w:sz="6" w:space="0" w:color="000000"/>
              <w:right w:val="outset" w:sz="6" w:space="0" w:color="000000"/>
            </w:tcBorders>
            <w:vAlign w:val="center"/>
          </w:tcPr>
          <w:p w:rsidR="003945D5" w:rsidRPr="00AA07F9" w:rsidRDefault="005D53EA" w:rsidP="003945D5">
            <w:pPr>
              <w:rPr>
                <w:rFonts w:ascii="Times New Roman" w:hAnsi="Times New Roman" w:cs="Times New Roman"/>
                <w:b/>
                <w:sz w:val="24"/>
                <w:szCs w:val="24"/>
              </w:rPr>
            </w:pPr>
            <w:r w:rsidRPr="00AA07F9">
              <w:rPr>
                <w:rFonts w:ascii="Times New Roman" w:hAnsi="Times New Roman" w:cs="Times New Roman"/>
                <w:b/>
                <w:bCs/>
                <w:sz w:val="24"/>
                <w:szCs w:val="24"/>
              </w:rPr>
              <w:t>§ 20 ods. 2</w:t>
            </w:r>
            <w:r w:rsidRPr="00AA07F9">
              <w:rPr>
                <w:rFonts w:ascii="Times New Roman" w:hAnsi="Times New Roman" w:cs="Times New Roman"/>
                <w:sz w:val="24"/>
                <w:szCs w:val="24"/>
              </w:rPr>
              <w:br/>
              <w:t>Do § 20 navrhujeme vložiť nový odsek 2 v znení: „Rozdiel výmery podľa odseku 1 sa započítava do súhrnnej výmery buď ak plocha ornej pôdy príjmateľa na jednom diele pôdneho bloku dosiahne najviac dvojnásobok výmery najväčšej výmery ornej pôdy podľa osobitného predpisu ), alebo ak plocha ornej pôdy príjmateľa na jednom diele pôdneho bloku presiahne dvojnásobok výmery najväčšej výmery ornej pôdy podľa osobitného predpisu53) a zároveň rozdiel výmery podľa odseku 1 je vyšší ako 10 % maximálnej výmerny ornej pôdy podľa osobitného predpisu53).“ a ostatné odseky primerane prečíslovať. Odkaz pod čiarou: 53) §12 písm. c) nariadenia vlády Slovenskej republiky č. 436/2022 Z. z.</w:t>
            </w:r>
          </w:p>
        </w:tc>
        <w:tc>
          <w:tcPr>
            <w:tcW w:w="249" w:type="pct"/>
            <w:tcBorders>
              <w:top w:val="outset" w:sz="6" w:space="0" w:color="000000"/>
              <w:left w:val="outset" w:sz="6" w:space="0" w:color="000000"/>
              <w:bottom w:val="outset" w:sz="6" w:space="0" w:color="000000"/>
              <w:right w:val="outset" w:sz="6" w:space="0" w:color="000000"/>
            </w:tcBorders>
            <w:vAlign w:val="center"/>
          </w:tcPr>
          <w:p w:rsidR="003945D5" w:rsidRPr="00AA07F9" w:rsidRDefault="001B5760" w:rsidP="003945D5">
            <w:pPr>
              <w:spacing w:after="0" w:line="240" w:lineRule="auto"/>
              <w:contextualSpacing/>
              <w:jc w:val="center"/>
              <w:rPr>
                <w:rFonts w:ascii="Times New Roman" w:hAnsi="Times New Roman" w:cs="Times New Roman"/>
                <w:sz w:val="24"/>
                <w:szCs w:val="24"/>
              </w:rPr>
            </w:pPr>
            <w:r w:rsidRPr="00AA07F9">
              <w:rPr>
                <w:rFonts w:ascii="Times New Roman" w:hAnsi="Times New Roman" w:cs="Times New Roman"/>
                <w:b/>
                <w:sz w:val="24"/>
                <w:szCs w:val="24"/>
              </w:rPr>
              <w:t>N</w:t>
            </w:r>
          </w:p>
        </w:tc>
        <w:tc>
          <w:tcPr>
            <w:tcW w:w="1951" w:type="pct"/>
            <w:tcBorders>
              <w:top w:val="outset" w:sz="6" w:space="0" w:color="000000"/>
              <w:left w:val="outset" w:sz="6" w:space="0" w:color="000000"/>
              <w:bottom w:val="outset" w:sz="6" w:space="0" w:color="000000"/>
              <w:right w:val="outset" w:sz="6" w:space="0" w:color="000000"/>
            </w:tcBorders>
            <w:vAlign w:val="center"/>
          </w:tcPr>
          <w:p w:rsidR="003945D5" w:rsidRPr="00AA07F9" w:rsidRDefault="009D4096" w:rsidP="003945D5">
            <w:pPr>
              <w:jc w:val="both"/>
              <w:rPr>
                <w:rFonts w:ascii="Times New Roman" w:hAnsi="Times New Roman" w:cs="Times New Roman"/>
                <w:bCs/>
                <w:sz w:val="24"/>
                <w:szCs w:val="24"/>
              </w:rPr>
            </w:pPr>
            <w:r w:rsidRPr="00AA07F9">
              <w:rPr>
                <w:rFonts w:ascii="Times New Roman" w:hAnsi="Times New Roman" w:cs="Times New Roman"/>
                <w:bCs/>
                <w:sz w:val="24"/>
                <w:szCs w:val="24"/>
              </w:rPr>
              <w:t>Odôvodnenie zhodné s odôvodnením neakcep</w:t>
            </w:r>
            <w:r w:rsidR="00AB789F" w:rsidRPr="00AA07F9">
              <w:rPr>
                <w:rFonts w:ascii="Times New Roman" w:hAnsi="Times New Roman" w:cs="Times New Roman"/>
                <w:bCs/>
                <w:sz w:val="24"/>
                <w:szCs w:val="24"/>
              </w:rPr>
              <w:t>tovania zásadnej pripomienky  MŽ</w:t>
            </w:r>
            <w:r w:rsidRPr="00AA07F9">
              <w:rPr>
                <w:rFonts w:ascii="Times New Roman" w:hAnsi="Times New Roman" w:cs="Times New Roman"/>
                <w:bCs/>
                <w:sz w:val="24"/>
                <w:szCs w:val="24"/>
              </w:rPr>
              <w:t>P SR uvedenej vyššie.</w:t>
            </w:r>
          </w:p>
        </w:tc>
      </w:tr>
      <w:tr w:rsidR="003945D5" w:rsidRPr="00EF4A35" w:rsidTr="00350588">
        <w:trPr>
          <w:jc w:val="center"/>
        </w:trPr>
        <w:tc>
          <w:tcPr>
            <w:tcW w:w="494" w:type="pct"/>
            <w:tcBorders>
              <w:top w:val="outset" w:sz="6" w:space="0" w:color="000000"/>
              <w:left w:val="outset" w:sz="6" w:space="0" w:color="000000"/>
              <w:bottom w:val="outset" w:sz="6" w:space="0" w:color="000000"/>
              <w:right w:val="outset" w:sz="6" w:space="0" w:color="000000"/>
            </w:tcBorders>
            <w:vAlign w:val="center"/>
          </w:tcPr>
          <w:p w:rsidR="003945D5" w:rsidRPr="00EF4A35" w:rsidRDefault="005D53EA" w:rsidP="003945D5">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AZZZ</w:t>
            </w:r>
          </w:p>
        </w:tc>
        <w:tc>
          <w:tcPr>
            <w:tcW w:w="2306" w:type="pct"/>
            <w:tcBorders>
              <w:top w:val="outset" w:sz="6" w:space="0" w:color="000000"/>
              <w:left w:val="outset" w:sz="6" w:space="0" w:color="000000"/>
              <w:bottom w:val="outset" w:sz="6" w:space="0" w:color="000000"/>
              <w:right w:val="outset" w:sz="6" w:space="0" w:color="000000"/>
            </w:tcBorders>
            <w:vAlign w:val="center"/>
          </w:tcPr>
          <w:p w:rsidR="003945D5" w:rsidRPr="00AA07F9" w:rsidRDefault="005D53EA" w:rsidP="00AA07F9">
            <w:pPr>
              <w:rPr>
                <w:rFonts w:ascii="Times New Roman" w:hAnsi="Times New Roman" w:cs="Times New Roman"/>
                <w:b/>
                <w:sz w:val="24"/>
                <w:szCs w:val="24"/>
              </w:rPr>
            </w:pPr>
            <w:r w:rsidRPr="00AA07F9">
              <w:rPr>
                <w:rFonts w:ascii="Times New Roman" w:hAnsi="Times New Roman" w:cs="Times New Roman"/>
                <w:b/>
                <w:bCs/>
                <w:sz w:val="24"/>
                <w:szCs w:val="24"/>
              </w:rPr>
              <w:t>§ 22 ods. 2</w:t>
            </w:r>
            <w:r w:rsidRPr="00AA07F9">
              <w:rPr>
                <w:rFonts w:ascii="Times New Roman" w:hAnsi="Times New Roman" w:cs="Times New Roman"/>
                <w:sz w:val="24"/>
                <w:szCs w:val="24"/>
              </w:rPr>
              <w:br/>
              <w:t>Stanovené výšky krátenia považujeme za neprimerane vysoké. Z toho dôvodu si dovoľujeme požiadať predkladateľa o vysvetlenie prečo je plocha vysiata zmesami pre opeľovače znížená až päťnásobne za nedodržanie podmienok? Súčasne, prečo sa plochy aj pri iných nedodržaných postupoch krátia dvojnásobne?</w:t>
            </w:r>
          </w:p>
        </w:tc>
        <w:tc>
          <w:tcPr>
            <w:tcW w:w="249" w:type="pct"/>
            <w:tcBorders>
              <w:top w:val="outset" w:sz="6" w:space="0" w:color="000000"/>
              <w:left w:val="outset" w:sz="6" w:space="0" w:color="000000"/>
              <w:bottom w:val="outset" w:sz="6" w:space="0" w:color="000000"/>
              <w:right w:val="outset" w:sz="6" w:space="0" w:color="000000"/>
            </w:tcBorders>
            <w:vAlign w:val="center"/>
          </w:tcPr>
          <w:p w:rsidR="003945D5" w:rsidRPr="00AA07F9" w:rsidRDefault="001B5760" w:rsidP="003945D5">
            <w:pPr>
              <w:spacing w:after="0" w:line="240" w:lineRule="auto"/>
              <w:contextualSpacing/>
              <w:jc w:val="center"/>
              <w:rPr>
                <w:rFonts w:ascii="Times New Roman" w:hAnsi="Times New Roman" w:cs="Times New Roman"/>
                <w:sz w:val="24"/>
                <w:szCs w:val="24"/>
              </w:rPr>
            </w:pPr>
            <w:r w:rsidRPr="00AA07F9">
              <w:rPr>
                <w:rFonts w:ascii="Times New Roman" w:hAnsi="Times New Roman" w:cs="Times New Roman"/>
                <w:b/>
                <w:sz w:val="24"/>
                <w:szCs w:val="24"/>
              </w:rPr>
              <w:t>N</w:t>
            </w:r>
          </w:p>
        </w:tc>
        <w:tc>
          <w:tcPr>
            <w:tcW w:w="1951" w:type="pct"/>
            <w:tcBorders>
              <w:top w:val="outset" w:sz="6" w:space="0" w:color="000000"/>
              <w:left w:val="outset" w:sz="6" w:space="0" w:color="000000"/>
              <w:bottom w:val="outset" w:sz="6" w:space="0" w:color="000000"/>
              <w:right w:val="outset" w:sz="6" w:space="0" w:color="000000"/>
            </w:tcBorders>
            <w:vAlign w:val="center"/>
          </w:tcPr>
          <w:p w:rsidR="003945D5" w:rsidRPr="00AA07F9" w:rsidRDefault="00BF375C" w:rsidP="00AA07F9">
            <w:pPr>
              <w:jc w:val="both"/>
              <w:rPr>
                <w:rFonts w:ascii="Times New Roman" w:hAnsi="Times New Roman" w:cs="Times New Roman"/>
                <w:bCs/>
                <w:sz w:val="24"/>
                <w:szCs w:val="24"/>
              </w:rPr>
            </w:pPr>
            <w:r w:rsidRPr="00AA07F9">
              <w:rPr>
                <w:rFonts w:ascii="Times New Roman" w:hAnsi="Times New Roman" w:cs="Times New Roman"/>
                <w:sz w:val="24"/>
                <w:szCs w:val="24"/>
              </w:rPr>
              <w:t>Výška zníženia reflektuje na potrebu zabezpečiť odrádzajúci efekt sankcie, vzhľadom na nízku výmeru plôch vysiatych zmesami pre opeľovače (10 % výmery neproduktívnej plochy vytvorenej v rámci eko-schémy, vypočítanej z výmery prvkov vyčlenených nad rámec DPEP 8), ktoré sa vyžadujú vytvárať v rámci eko-schémy. Predmetné zníženie je zároveň stanovené na rovnakej úrovni ako zníženie za porušenie postupu Neproduktívna plocha, nakoľko sa jedná o postupy podobného charakteru.</w:t>
            </w:r>
            <w:r w:rsidR="00BB04EA" w:rsidRPr="00AA07F9">
              <w:rPr>
                <w:rFonts w:ascii="Times New Roman" w:hAnsi="Times New Roman" w:cs="Times New Roman"/>
                <w:sz w:val="24"/>
                <w:szCs w:val="24"/>
              </w:rPr>
              <w:t xml:space="preserve"> Na rozporovom konaní dňa 20. 3. 2023 rozpor nebol odstránený.</w:t>
            </w:r>
          </w:p>
        </w:tc>
      </w:tr>
      <w:tr w:rsidR="00D13779" w:rsidRPr="00EF4A35" w:rsidTr="00350588">
        <w:trPr>
          <w:jc w:val="center"/>
        </w:trPr>
        <w:tc>
          <w:tcPr>
            <w:tcW w:w="494" w:type="pct"/>
            <w:tcBorders>
              <w:top w:val="outset" w:sz="6" w:space="0" w:color="000000"/>
              <w:left w:val="outset" w:sz="6" w:space="0" w:color="000000"/>
              <w:bottom w:val="outset" w:sz="6" w:space="0" w:color="000000"/>
              <w:right w:val="outset" w:sz="6" w:space="0" w:color="000000"/>
            </w:tcBorders>
            <w:vAlign w:val="center"/>
          </w:tcPr>
          <w:p w:rsidR="00D13779" w:rsidRDefault="00D13779" w:rsidP="003945D5">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SPPK</w:t>
            </w:r>
          </w:p>
        </w:tc>
        <w:tc>
          <w:tcPr>
            <w:tcW w:w="2306" w:type="pct"/>
            <w:tcBorders>
              <w:top w:val="outset" w:sz="6" w:space="0" w:color="000000"/>
              <w:left w:val="outset" w:sz="6" w:space="0" w:color="000000"/>
              <w:bottom w:val="outset" w:sz="6" w:space="0" w:color="000000"/>
              <w:right w:val="outset" w:sz="6" w:space="0" w:color="000000"/>
            </w:tcBorders>
            <w:vAlign w:val="center"/>
          </w:tcPr>
          <w:p w:rsidR="00D13779" w:rsidRPr="00AA07F9" w:rsidRDefault="00D13779" w:rsidP="003945D5">
            <w:pPr>
              <w:rPr>
                <w:rFonts w:ascii="Times New Roman" w:hAnsi="Times New Roman" w:cs="Times New Roman"/>
                <w:b/>
                <w:sz w:val="24"/>
                <w:szCs w:val="24"/>
              </w:rPr>
            </w:pPr>
            <w:r w:rsidRPr="00AA07F9">
              <w:rPr>
                <w:rFonts w:ascii="Times New Roman" w:hAnsi="Times New Roman" w:cs="Times New Roman"/>
                <w:b/>
                <w:sz w:val="24"/>
                <w:szCs w:val="24"/>
              </w:rPr>
              <w:t>K celému návrhu</w:t>
            </w:r>
          </w:p>
          <w:p w:rsidR="00D13779" w:rsidRPr="00AA07F9" w:rsidRDefault="00D13779" w:rsidP="00AA07F9">
            <w:pPr>
              <w:jc w:val="both"/>
              <w:rPr>
                <w:rFonts w:ascii="Times New Roman" w:hAnsi="Times New Roman" w:cs="Times New Roman"/>
                <w:b/>
                <w:bCs/>
                <w:sz w:val="24"/>
                <w:szCs w:val="24"/>
              </w:rPr>
            </w:pPr>
            <w:r w:rsidRPr="00AA07F9">
              <w:rPr>
                <w:rFonts w:ascii="Times New Roman" w:hAnsi="Times New Roman" w:cs="Times New Roman"/>
                <w:sz w:val="24"/>
                <w:szCs w:val="24"/>
              </w:rPr>
              <w:t xml:space="preserve">V celom predloženom materiáli navrhujeme znížiť navrhované výšky krátenia. Odôvodnenie: navrhované výšky krátenia v zmysle predloženého návrhu nariadenia </w:t>
            </w:r>
            <w:r w:rsidRPr="00AA07F9">
              <w:rPr>
                <w:rFonts w:ascii="Times New Roman" w:hAnsi="Times New Roman" w:cs="Times New Roman"/>
                <w:sz w:val="24"/>
                <w:szCs w:val="24"/>
              </w:rPr>
              <w:lastRenderedPageBreak/>
              <w:t>považujeme za neprimerane vysoké. Ako príklad uvádzame plochu vysiatu zmesami pre opeľovače, ktorá je znížená až päťnásobne za nedodržanie podmienok alebo dvojnásobné krátenie v prípade plôch pri iných nedodržaných postupoch.</w:t>
            </w:r>
          </w:p>
        </w:tc>
        <w:tc>
          <w:tcPr>
            <w:tcW w:w="249" w:type="pct"/>
            <w:tcBorders>
              <w:top w:val="outset" w:sz="6" w:space="0" w:color="000000"/>
              <w:left w:val="outset" w:sz="6" w:space="0" w:color="000000"/>
              <w:bottom w:val="outset" w:sz="6" w:space="0" w:color="000000"/>
              <w:right w:val="outset" w:sz="6" w:space="0" w:color="000000"/>
            </w:tcBorders>
            <w:vAlign w:val="center"/>
          </w:tcPr>
          <w:p w:rsidR="00D13779" w:rsidRPr="00AA07F9" w:rsidRDefault="00D13779" w:rsidP="003945D5">
            <w:pPr>
              <w:spacing w:after="0" w:line="240" w:lineRule="auto"/>
              <w:contextualSpacing/>
              <w:jc w:val="center"/>
              <w:rPr>
                <w:rFonts w:ascii="Times New Roman" w:hAnsi="Times New Roman" w:cs="Times New Roman"/>
                <w:b/>
                <w:sz w:val="24"/>
                <w:szCs w:val="24"/>
              </w:rPr>
            </w:pPr>
            <w:r w:rsidRPr="00AA07F9">
              <w:rPr>
                <w:rFonts w:ascii="Times New Roman" w:hAnsi="Times New Roman" w:cs="Times New Roman"/>
                <w:b/>
                <w:sz w:val="24"/>
                <w:szCs w:val="24"/>
              </w:rPr>
              <w:lastRenderedPageBreak/>
              <w:t>N</w:t>
            </w:r>
          </w:p>
        </w:tc>
        <w:tc>
          <w:tcPr>
            <w:tcW w:w="1951" w:type="pct"/>
            <w:tcBorders>
              <w:top w:val="outset" w:sz="6" w:space="0" w:color="000000"/>
              <w:left w:val="outset" w:sz="6" w:space="0" w:color="000000"/>
              <w:bottom w:val="outset" w:sz="6" w:space="0" w:color="000000"/>
              <w:right w:val="outset" w:sz="6" w:space="0" w:color="000000"/>
            </w:tcBorders>
            <w:vAlign w:val="center"/>
          </w:tcPr>
          <w:p w:rsidR="00D13779" w:rsidRPr="00AA07F9" w:rsidRDefault="00BF375C" w:rsidP="00AA07F9">
            <w:pPr>
              <w:jc w:val="both"/>
              <w:rPr>
                <w:rFonts w:ascii="Times New Roman" w:hAnsi="Times New Roman" w:cs="Times New Roman"/>
                <w:bCs/>
                <w:sz w:val="24"/>
                <w:szCs w:val="24"/>
              </w:rPr>
            </w:pPr>
            <w:r w:rsidRPr="00AA07F9">
              <w:rPr>
                <w:rFonts w:ascii="Times New Roman" w:hAnsi="Times New Roman" w:cs="Times New Roman"/>
                <w:bCs/>
                <w:sz w:val="24"/>
                <w:szCs w:val="24"/>
              </w:rPr>
              <w:t>Odôvodnenie je zhodné s odôvodnením k predchádzajúcej pripomienke AZZZ k § 22 ods. 2.</w:t>
            </w:r>
          </w:p>
        </w:tc>
      </w:tr>
      <w:tr w:rsidR="003945D5" w:rsidRPr="00EF4A35" w:rsidTr="00350588">
        <w:trPr>
          <w:jc w:val="center"/>
        </w:trPr>
        <w:tc>
          <w:tcPr>
            <w:tcW w:w="494" w:type="pct"/>
            <w:tcBorders>
              <w:top w:val="outset" w:sz="6" w:space="0" w:color="000000"/>
              <w:left w:val="outset" w:sz="6" w:space="0" w:color="000000"/>
              <w:bottom w:val="outset" w:sz="6" w:space="0" w:color="000000"/>
              <w:right w:val="outset" w:sz="6" w:space="0" w:color="000000"/>
            </w:tcBorders>
            <w:vAlign w:val="center"/>
            <w:hideMark/>
          </w:tcPr>
          <w:p w:rsidR="003945D5" w:rsidRPr="00EF4A35" w:rsidRDefault="003945D5" w:rsidP="003945D5">
            <w:pPr>
              <w:spacing w:after="0" w:line="240" w:lineRule="auto"/>
              <w:contextualSpacing/>
              <w:jc w:val="center"/>
              <w:rPr>
                <w:rFonts w:ascii="Times New Roman" w:hAnsi="Times New Roman" w:cs="Times New Roman"/>
                <w:b/>
                <w:bCs/>
                <w:sz w:val="24"/>
                <w:szCs w:val="24"/>
              </w:rPr>
            </w:pPr>
            <w:r w:rsidRPr="00EF4A35">
              <w:rPr>
                <w:rFonts w:ascii="Times New Roman" w:hAnsi="Times New Roman" w:cs="Times New Roman"/>
                <w:b/>
                <w:bCs/>
                <w:sz w:val="24"/>
                <w:szCs w:val="24"/>
              </w:rPr>
              <w:lastRenderedPageBreak/>
              <w:t>AZZZ, SPPK</w:t>
            </w:r>
          </w:p>
        </w:tc>
        <w:tc>
          <w:tcPr>
            <w:tcW w:w="2306" w:type="pct"/>
            <w:tcBorders>
              <w:top w:val="outset" w:sz="6" w:space="0" w:color="000000"/>
              <w:left w:val="outset" w:sz="6" w:space="0" w:color="000000"/>
              <w:bottom w:val="outset" w:sz="6" w:space="0" w:color="000000"/>
              <w:right w:val="outset" w:sz="6" w:space="0" w:color="000000"/>
            </w:tcBorders>
            <w:vAlign w:val="center"/>
          </w:tcPr>
          <w:p w:rsidR="00AA07F9" w:rsidRPr="00AA07F9" w:rsidRDefault="005D53EA" w:rsidP="00AA07F9">
            <w:pPr>
              <w:jc w:val="both"/>
              <w:rPr>
                <w:rFonts w:ascii="Times New Roman" w:hAnsi="Times New Roman" w:cs="Times New Roman"/>
                <w:b/>
                <w:bCs/>
                <w:sz w:val="24"/>
                <w:szCs w:val="24"/>
              </w:rPr>
            </w:pPr>
            <w:r w:rsidRPr="00AA07F9">
              <w:rPr>
                <w:rFonts w:ascii="Times New Roman" w:hAnsi="Times New Roman" w:cs="Times New Roman"/>
                <w:b/>
                <w:bCs/>
                <w:sz w:val="24"/>
                <w:szCs w:val="24"/>
              </w:rPr>
              <w:t>§ 27 ods. 1</w:t>
            </w:r>
          </w:p>
          <w:p w:rsidR="003945D5" w:rsidRPr="00AA07F9" w:rsidRDefault="005D53EA" w:rsidP="00AA07F9">
            <w:pPr>
              <w:jc w:val="both"/>
              <w:rPr>
                <w:rFonts w:ascii="Times New Roman" w:hAnsi="Times New Roman" w:cs="Times New Roman"/>
                <w:sz w:val="24"/>
                <w:szCs w:val="24"/>
              </w:rPr>
            </w:pPr>
            <w:r w:rsidRPr="00AA07F9">
              <w:rPr>
                <w:rFonts w:ascii="Times New Roman" w:hAnsi="Times New Roman" w:cs="Times New Roman"/>
                <w:sz w:val="24"/>
                <w:szCs w:val="24"/>
              </w:rPr>
              <w:t>Ustanovenie § 27 odsek 1 navrhujeme preformulovať nasledovne: „Ak rozdiel výmery plochy podľa § 17 ods. 1 a plochy podľa § 17 ods. 2 presiahne 20 % výmery plochy podľa § 17 ods. 2, podpora sa poskytne na výmeru plochy podľa § 17 ods. 2 zníženej o 1,5 násobok rozdielu ich výmery.“ Odôvodnenie: považujeme za dôležité zabezpečiť, aby regulácie a kontrolné mechanizmy boli spravodlivé a rovnaké pre všetkých žiadateľov, bez ohľadu na veľkosť ich podniku. Regulačný rámec by mal byť jasne definovaný a transparentný, aby sa zabránilo vzniku situácií, kedy sú sankcie uplatňované výlučne na žiadateľov s veľkými a strednými poľnohospodárskymi podnikmi, pričom žiadatelia s malými poľnohospodárskymi podnikmi sú oslobodené od sankcií. To by malo zabezpečiť, aby každý žiadateľ bol povinný dodržiavať rovnaké pravidlá a mal rovnaké následky v prípade ich porušenia.</w:t>
            </w:r>
          </w:p>
        </w:tc>
        <w:tc>
          <w:tcPr>
            <w:tcW w:w="249" w:type="pct"/>
            <w:tcBorders>
              <w:top w:val="outset" w:sz="6" w:space="0" w:color="000000"/>
              <w:left w:val="outset" w:sz="6" w:space="0" w:color="000000"/>
              <w:bottom w:val="outset" w:sz="6" w:space="0" w:color="000000"/>
              <w:right w:val="outset" w:sz="6" w:space="0" w:color="000000"/>
            </w:tcBorders>
            <w:vAlign w:val="center"/>
          </w:tcPr>
          <w:p w:rsidR="003945D5" w:rsidRPr="00AA07F9" w:rsidRDefault="00BF375C" w:rsidP="003945D5">
            <w:pPr>
              <w:spacing w:after="0" w:line="240" w:lineRule="auto"/>
              <w:contextualSpacing/>
              <w:jc w:val="center"/>
              <w:rPr>
                <w:rFonts w:ascii="Times New Roman" w:hAnsi="Times New Roman" w:cs="Times New Roman"/>
                <w:sz w:val="24"/>
                <w:szCs w:val="24"/>
              </w:rPr>
            </w:pPr>
            <w:r w:rsidRPr="00AA07F9">
              <w:rPr>
                <w:rFonts w:ascii="Times New Roman" w:hAnsi="Times New Roman" w:cs="Times New Roman"/>
                <w:b/>
                <w:sz w:val="24"/>
                <w:szCs w:val="24"/>
              </w:rPr>
              <w:t>ČA</w:t>
            </w:r>
          </w:p>
        </w:tc>
        <w:tc>
          <w:tcPr>
            <w:tcW w:w="1951" w:type="pct"/>
            <w:tcBorders>
              <w:top w:val="outset" w:sz="6" w:space="0" w:color="000000"/>
              <w:left w:val="outset" w:sz="6" w:space="0" w:color="000000"/>
              <w:bottom w:val="outset" w:sz="6" w:space="0" w:color="000000"/>
              <w:right w:val="outset" w:sz="6" w:space="0" w:color="000000"/>
            </w:tcBorders>
            <w:vAlign w:val="center"/>
          </w:tcPr>
          <w:p w:rsidR="003945D5" w:rsidRPr="00AA07F9" w:rsidRDefault="00BF375C" w:rsidP="00BF375C">
            <w:pPr>
              <w:jc w:val="both"/>
              <w:rPr>
                <w:rFonts w:ascii="Times New Roman" w:hAnsi="Times New Roman" w:cs="Times New Roman"/>
                <w:sz w:val="24"/>
                <w:szCs w:val="24"/>
              </w:rPr>
            </w:pPr>
            <w:r w:rsidRPr="00AA07F9">
              <w:rPr>
                <w:rFonts w:ascii="Times New Roman" w:hAnsi="Times New Roman" w:cs="Times New Roman"/>
                <w:bCs/>
                <w:sz w:val="24"/>
                <w:szCs w:val="24"/>
              </w:rPr>
              <w:t>Odôvodnenie je zhodné s odôvodnením k zásadnej pripomienke AZZZ a SPPK k § 15 ods. 2.</w:t>
            </w:r>
          </w:p>
        </w:tc>
      </w:tr>
      <w:tr w:rsidR="003945D5" w:rsidRPr="00EF4A35" w:rsidTr="00350588">
        <w:trPr>
          <w:jc w:val="center"/>
        </w:trPr>
        <w:tc>
          <w:tcPr>
            <w:tcW w:w="494" w:type="pct"/>
            <w:tcBorders>
              <w:top w:val="outset" w:sz="6" w:space="0" w:color="000000"/>
              <w:left w:val="outset" w:sz="6" w:space="0" w:color="000000"/>
              <w:bottom w:val="outset" w:sz="6" w:space="0" w:color="000000"/>
              <w:right w:val="outset" w:sz="6" w:space="0" w:color="000000"/>
            </w:tcBorders>
          </w:tcPr>
          <w:p w:rsidR="003945D5" w:rsidRPr="00EF4A35" w:rsidRDefault="003945D5" w:rsidP="003945D5">
            <w:pPr>
              <w:jc w:val="center"/>
              <w:rPr>
                <w:rFonts w:ascii="Times New Roman" w:hAnsi="Times New Roman" w:cs="Times New Roman"/>
                <w:sz w:val="24"/>
                <w:szCs w:val="24"/>
              </w:rPr>
            </w:pPr>
            <w:r w:rsidRPr="00EF4A35">
              <w:rPr>
                <w:rFonts w:ascii="Times New Roman" w:hAnsi="Times New Roman" w:cs="Times New Roman"/>
                <w:b/>
                <w:bCs/>
                <w:sz w:val="24"/>
                <w:szCs w:val="24"/>
              </w:rPr>
              <w:t>AZZZ, SPPK</w:t>
            </w:r>
          </w:p>
        </w:tc>
        <w:tc>
          <w:tcPr>
            <w:tcW w:w="2306" w:type="pct"/>
            <w:tcBorders>
              <w:top w:val="outset" w:sz="6" w:space="0" w:color="000000"/>
              <w:left w:val="outset" w:sz="6" w:space="0" w:color="000000"/>
              <w:bottom w:val="outset" w:sz="6" w:space="0" w:color="000000"/>
              <w:right w:val="outset" w:sz="6" w:space="0" w:color="000000"/>
            </w:tcBorders>
            <w:vAlign w:val="center"/>
          </w:tcPr>
          <w:p w:rsidR="001B5760" w:rsidRPr="001B5760" w:rsidRDefault="001B5760" w:rsidP="001B5760">
            <w:pPr>
              <w:rPr>
                <w:rFonts w:ascii="Times New Roman" w:hAnsi="Times New Roman" w:cs="Times New Roman"/>
                <w:b/>
                <w:bCs/>
                <w:sz w:val="24"/>
                <w:szCs w:val="24"/>
              </w:rPr>
            </w:pPr>
            <w:r>
              <w:rPr>
                <w:rFonts w:ascii="Times New Roman" w:hAnsi="Times New Roman" w:cs="Times New Roman"/>
                <w:b/>
                <w:bCs/>
                <w:sz w:val="24"/>
                <w:szCs w:val="24"/>
              </w:rPr>
              <w:t>K prílohe č. 1</w:t>
            </w:r>
            <w:r w:rsidRPr="001B5760">
              <w:rPr>
                <w:rFonts w:ascii="Times New Roman" w:hAnsi="Times New Roman" w:cs="Times New Roman"/>
                <w:b/>
                <w:bCs/>
                <w:sz w:val="24"/>
                <w:szCs w:val="24"/>
              </w:rPr>
              <w:t xml:space="preserve"> bod</w:t>
            </w:r>
            <w:r>
              <w:rPr>
                <w:rFonts w:ascii="Times New Roman" w:hAnsi="Times New Roman" w:cs="Times New Roman"/>
                <w:b/>
                <w:bCs/>
                <w:sz w:val="24"/>
                <w:szCs w:val="24"/>
              </w:rPr>
              <w:t>u</w:t>
            </w:r>
            <w:r w:rsidRPr="001B5760">
              <w:rPr>
                <w:rFonts w:ascii="Times New Roman" w:hAnsi="Times New Roman" w:cs="Times New Roman"/>
                <w:b/>
                <w:bCs/>
                <w:sz w:val="24"/>
                <w:szCs w:val="24"/>
              </w:rPr>
              <w:t xml:space="preserve"> 2</w:t>
            </w:r>
          </w:p>
          <w:p w:rsidR="003945D5" w:rsidRPr="001B5760" w:rsidRDefault="001B5760" w:rsidP="001B5760">
            <w:pPr>
              <w:jc w:val="both"/>
              <w:rPr>
                <w:rFonts w:ascii="Times New Roman" w:hAnsi="Times New Roman" w:cs="Times New Roman"/>
                <w:bCs/>
                <w:sz w:val="24"/>
                <w:szCs w:val="24"/>
              </w:rPr>
            </w:pPr>
            <w:r w:rsidRPr="001B5760">
              <w:rPr>
                <w:rFonts w:ascii="Times New Roman" w:hAnsi="Times New Roman" w:cs="Times New Roman"/>
                <w:bCs/>
                <w:sz w:val="24"/>
                <w:szCs w:val="24"/>
              </w:rPr>
              <w:t xml:space="preserve">Zásadne žiadame, aby povinnosť predkladať výpis z evidencie prenajatých a vlastných pozemkov nadobudla účinnosť najskôr 1. januára 2025. Odôvodnenie: v zmysle navrhovanej Prílohy č. 1 k nariadeniu vlády patrí medzi povinné prílohy predkladané so žiadosťou aj výpis z evidencie prenajatých a vlastných pozemkov a grafická časť žiadosti prostredníctvom geopriestorovej aplikácie. Poľnohospodári sú si vedomí povinnosti viesť elektronickú evidenciu obhospodarovaných pozemkov v zmysle zákona č. 504/2003 Z. z. o nájme poľnohospodárskych pozemkov, </w:t>
            </w:r>
            <w:r w:rsidRPr="001B5760">
              <w:rPr>
                <w:rFonts w:ascii="Times New Roman" w:hAnsi="Times New Roman" w:cs="Times New Roman"/>
                <w:bCs/>
                <w:sz w:val="24"/>
                <w:szCs w:val="24"/>
              </w:rPr>
              <w:lastRenderedPageBreak/>
              <w:t>poľnohospodárskeho podniku a lesných pozemkov a o zmene niektorých zákonov v znení neskorších predpisov, avšak vykonávací predpis, vyhláška MPRV SR č. 172/2018 Z. z., ktorou sa ustanovujú podrobnosti o spôsobe a rozsahu vedenia a poskytovania evidencií a stanovenia obvyklej výšky nájomného v znení neskorších predpisov, ktorý bližšie špecifikuje údaje potrebné do evidencie bol predložený do medzirezortného pripomienkového konania až koncom februára, pričom medzirezortné pripomienkové konanie trvá do 13. 03. 2022. Účinnosť novely vyhlášky sa predpokladá na 1. mája 2023. Z toho dôvodu považujeme za nevyhnutné poskytnúť dostatočný časový priestor poľnohospodárom na vytvorenie evidencie v predpísanej forme a rozsahu. Potrebu poskytnutia dostatočného časového rámca potvrdzuje skutočnosť, že priemerný poľnohospodársky podnik bude mať, aj z dôvodu rozdrobenosti pozemkov v evidencii pozemkov, rádovo stovky riadkov užívacích titulov za každé katastrálne územie.</w:t>
            </w:r>
          </w:p>
        </w:tc>
        <w:tc>
          <w:tcPr>
            <w:tcW w:w="249" w:type="pct"/>
            <w:tcBorders>
              <w:top w:val="outset" w:sz="6" w:space="0" w:color="000000"/>
              <w:left w:val="outset" w:sz="6" w:space="0" w:color="000000"/>
              <w:bottom w:val="outset" w:sz="6" w:space="0" w:color="000000"/>
              <w:right w:val="outset" w:sz="6" w:space="0" w:color="000000"/>
            </w:tcBorders>
            <w:vAlign w:val="center"/>
          </w:tcPr>
          <w:p w:rsidR="003945D5" w:rsidRPr="00EF4A35" w:rsidRDefault="00D13779" w:rsidP="003945D5">
            <w:pPr>
              <w:spacing w:after="0" w:line="240" w:lineRule="auto"/>
              <w:contextualSpacing/>
              <w:jc w:val="center"/>
              <w:rPr>
                <w:rFonts w:ascii="Times New Roman" w:hAnsi="Times New Roman" w:cs="Times New Roman"/>
                <w:sz w:val="24"/>
                <w:szCs w:val="24"/>
              </w:rPr>
            </w:pPr>
            <w:r w:rsidRPr="00EF4A35">
              <w:rPr>
                <w:rFonts w:ascii="Times New Roman" w:hAnsi="Times New Roman" w:cs="Times New Roman"/>
                <w:b/>
                <w:sz w:val="24"/>
                <w:szCs w:val="24"/>
              </w:rPr>
              <w:lastRenderedPageBreak/>
              <w:t>N</w:t>
            </w:r>
          </w:p>
        </w:tc>
        <w:tc>
          <w:tcPr>
            <w:tcW w:w="1951" w:type="pct"/>
            <w:tcBorders>
              <w:top w:val="outset" w:sz="6" w:space="0" w:color="000000"/>
              <w:left w:val="outset" w:sz="6" w:space="0" w:color="000000"/>
              <w:bottom w:val="outset" w:sz="6" w:space="0" w:color="000000"/>
              <w:right w:val="outset" w:sz="6" w:space="0" w:color="000000"/>
            </w:tcBorders>
            <w:vAlign w:val="center"/>
          </w:tcPr>
          <w:p w:rsidR="003945D5" w:rsidRPr="00BF375C" w:rsidRDefault="00BF375C" w:rsidP="00AA07F9">
            <w:pPr>
              <w:jc w:val="both"/>
              <w:rPr>
                <w:rFonts w:ascii="Times New Roman" w:hAnsi="Times New Roman" w:cs="Times New Roman"/>
                <w:sz w:val="24"/>
                <w:szCs w:val="24"/>
              </w:rPr>
            </w:pPr>
            <w:r w:rsidRPr="00BF375C">
              <w:rPr>
                <w:rFonts w:ascii="Times New Roman" w:hAnsi="Times New Roman" w:cs="Times New Roman"/>
                <w:sz w:val="24"/>
                <w:szCs w:val="24"/>
              </w:rPr>
              <w:t xml:space="preserve">V zmysle Strategického plánu SPP 2023 – 2027 bod 4.1.3.2 je žiadateľ povinný v čase predloženia žiadosti uviesť druh právneho titulu k nahláseným poľnohospodárskym plochám na základe evidencie, ktorej podrobnosti ustanovuje vyhláška </w:t>
            </w:r>
            <w:r w:rsidR="00AA07F9">
              <w:rPr>
                <w:rFonts w:ascii="Times New Roman" w:hAnsi="Times New Roman" w:cs="Times New Roman"/>
                <w:sz w:val="24"/>
                <w:szCs w:val="24"/>
              </w:rPr>
              <w:t>Ministerstva pôdohospodárstva a rozvoja vidieka Slovenskej republiky</w:t>
            </w:r>
            <w:r w:rsidRPr="00BF375C">
              <w:rPr>
                <w:rFonts w:ascii="Times New Roman" w:hAnsi="Times New Roman" w:cs="Times New Roman"/>
                <w:sz w:val="24"/>
                <w:szCs w:val="24"/>
              </w:rPr>
              <w:t xml:space="preserve"> č. 172/2018 Z. </w:t>
            </w:r>
            <w:r w:rsidR="00AA07F9">
              <w:rPr>
                <w:rFonts w:ascii="Times New Roman" w:hAnsi="Times New Roman" w:cs="Times New Roman"/>
                <w:sz w:val="24"/>
                <w:szCs w:val="24"/>
              </w:rPr>
              <w:t>z</w:t>
            </w:r>
            <w:r w:rsidRPr="00BF375C">
              <w:rPr>
                <w:rFonts w:ascii="Times New Roman" w:hAnsi="Times New Roman" w:cs="Times New Roman"/>
                <w:sz w:val="24"/>
                <w:szCs w:val="24"/>
              </w:rPr>
              <w:t>.</w:t>
            </w:r>
            <w:r w:rsidR="00AA07F9">
              <w:rPr>
                <w:rFonts w:ascii="Times New Roman" w:hAnsi="Times New Roman" w:cs="Times New Roman"/>
                <w:sz w:val="24"/>
                <w:szCs w:val="24"/>
              </w:rPr>
              <w:t xml:space="preserve">, </w:t>
            </w:r>
            <w:r w:rsidR="00AA07F9" w:rsidRPr="00AA07F9">
              <w:rPr>
                <w:rFonts w:ascii="Times New Roman" w:hAnsi="Times New Roman" w:cs="Times New Roman"/>
                <w:sz w:val="24"/>
                <w:szCs w:val="24"/>
              </w:rPr>
              <w:t>ktorou sa ustanovujú podrobnosti o spôsobe a rozsahu vedenia a poskytovania evidencií a stanovenia obvyklej výšky nájomného</w:t>
            </w:r>
            <w:r w:rsidR="00AA07F9">
              <w:rPr>
                <w:rFonts w:ascii="Times New Roman" w:hAnsi="Times New Roman" w:cs="Times New Roman"/>
                <w:sz w:val="24"/>
                <w:szCs w:val="24"/>
              </w:rPr>
              <w:t xml:space="preserve"> v znení vyhlášky č. </w:t>
            </w:r>
            <w:hyperlink r:id="rId7" w:history="1">
              <w:r w:rsidR="00AA07F9" w:rsidRPr="00AA07F9">
                <w:rPr>
                  <w:rFonts w:ascii="Times New Roman" w:hAnsi="Times New Roman" w:cs="Times New Roman"/>
                  <w:sz w:val="24"/>
                  <w:szCs w:val="24"/>
                </w:rPr>
                <w:t>113/2019 Z. z.</w:t>
              </w:r>
            </w:hyperlink>
            <w:r w:rsidRPr="00BF375C">
              <w:rPr>
                <w:rFonts w:ascii="Times New Roman" w:hAnsi="Times New Roman" w:cs="Times New Roman"/>
                <w:sz w:val="24"/>
                <w:szCs w:val="24"/>
              </w:rPr>
              <w:t xml:space="preserve"> Zároveň na overenie podmienky disponovania nahlásenej </w:t>
            </w:r>
            <w:r w:rsidRPr="00BF375C">
              <w:rPr>
                <w:rFonts w:ascii="Times New Roman" w:hAnsi="Times New Roman" w:cs="Times New Roman"/>
                <w:sz w:val="24"/>
                <w:szCs w:val="24"/>
              </w:rPr>
              <w:lastRenderedPageBreak/>
              <w:t>plochy žiadateľom bola SR povinná stanoviť systém administratívnych kontrol, podľa ktorého sa majú overiť príslušné informácie podľa dotknutej vyhlášky. Uvedené bolo transponované do zákona č. 504/2003 Z. z.</w:t>
            </w:r>
            <w:r w:rsidR="00AA07F9">
              <w:t xml:space="preserve"> </w:t>
            </w:r>
            <w:r w:rsidR="00AA07F9" w:rsidRPr="00AA07F9">
              <w:rPr>
                <w:rFonts w:ascii="Times New Roman" w:hAnsi="Times New Roman" w:cs="Times New Roman"/>
                <w:sz w:val="24"/>
                <w:szCs w:val="24"/>
              </w:rPr>
              <w:t>o nájme poľnohospodárskych pozemkov, poľnohospodárskeho podniku a lesných pozemkov a o zmene niektorých zákonov</w:t>
            </w:r>
            <w:r w:rsidRPr="00BF375C">
              <w:rPr>
                <w:rFonts w:ascii="Times New Roman" w:hAnsi="Times New Roman" w:cs="Times New Roman"/>
                <w:sz w:val="24"/>
                <w:szCs w:val="24"/>
              </w:rPr>
              <w:t xml:space="preserve"> v znení neskorších predpisov, podľa ktorého je nájomca povinný viesť evidenciu prenajatých a vlastných pozemkov elektronicky od 1. 9. 2022 a väčšina žiadateľov už v zmysle tohto zákona v súčasnosti vedie evidenciu elektronicky. </w:t>
            </w:r>
            <w:r w:rsidR="00AA07F9">
              <w:rPr>
                <w:rFonts w:ascii="Times New Roman" w:hAnsi="Times New Roman" w:cs="Times New Roman"/>
                <w:sz w:val="24"/>
                <w:szCs w:val="24"/>
              </w:rPr>
              <w:t>Doplnením spoločných ustanovení návrhu nariadenia vlády sa bude táto povinnosť primerane vzťahovať aj na žiadateľov, ktorý sú v</w:t>
            </w:r>
            <w:r w:rsidR="00AA07F9" w:rsidRPr="00AA07F9">
              <w:rPr>
                <w:rFonts w:ascii="Times New Roman" w:hAnsi="Times New Roman" w:cs="Times New Roman"/>
                <w:sz w:val="24"/>
                <w:szCs w:val="24"/>
              </w:rPr>
              <w:t>lastníkm</w:t>
            </w:r>
            <w:r w:rsidR="00AA07F9">
              <w:rPr>
                <w:rFonts w:ascii="Times New Roman" w:hAnsi="Times New Roman" w:cs="Times New Roman"/>
                <w:sz w:val="24"/>
                <w:szCs w:val="24"/>
              </w:rPr>
              <w:t>i</w:t>
            </w:r>
            <w:r w:rsidR="00AA07F9" w:rsidRPr="00AA07F9">
              <w:rPr>
                <w:rFonts w:ascii="Times New Roman" w:hAnsi="Times New Roman" w:cs="Times New Roman"/>
                <w:sz w:val="24"/>
                <w:szCs w:val="24"/>
              </w:rPr>
              <w:t xml:space="preserve"> nahlásenej plochy</w:t>
            </w:r>
            <w:r w:rsidR="00AA07F9">
              <w:rPr>
                <w:rFonts w:ascii="Times New Roman" w:hAnsi="Times New Roman" w:cs="Times New Roman"/>
                <w:sz w:val="24"/>
                <w:szCs w:val="24"/>
              </w:rPr>
              <w:t xml:space="preserve">.  </w:t>
            </w:r>
            <w:r w:rsidRPr="00BF375C">
              <w:rPr>
                <w:rFonts w:ascii="Times New Roman" w:hAnsi="Times New Roman" w:cs="Times New Roman"/>
                <w:sz w:val="24"/>
                <w:szCs w:val="24"/>
              </w:rPr>
              <w:t xml:space="preserve">Aby si však žiadatelia mohli upraviť evidenciu podľa elektronického vzoru podľa vyhlášky č. 172/2018 Z. z., ktorý by bol aj kompatibilný k integrovanému administratívnemu a kontrolnému systému, dopĺňa sa do nariadenia prechodné ustanovenie, že „Žiadateľ predkladá v roku predloženia žiadosti 2023 elektronickú evidenciu prenajatých a vlastných pozemkov podľa prílohy č. 1 tabuľky č. 1 bodu 2 do 31. </w:t>
            </w:r>
            <w:r>
              <w:rPr>
                <w:rFonts w:ascii="Times New Roman" w:hAnsi="Times New Roman" w:cs="Times New Roman"/>
                <w:sz w:val="24"/>
                <w:szCs w:val="24"/>
              </w:rPr>
              <w:t>júla</w:t>
            </w:r>
            <w:r w:rsidRPr="00BF375C">
              <w:rPr>
                <w:rFonts w:ascii="Times New Roman" w:hAnsi="Times New Roman" w:cs="Times New Roman"/>
                <w:sz w:val="24"/>
                <w:szCs w:val="24"/>
              </w:rPr>
              <w:t xml:space="preserve"> 2023.“</w:t>
            </w:r>
            <w:r w:rsidR="001E6B00">
              <w:rPr>
                <w:rFonts w:ascii="Times New Roman" w:hAnsi="Times New Roman" w:cs="Times New Roman"/>
                <w:sz w:val="24"/>
                <w:szCs w:val="24"/>
              </w:rPr>
              <w:t>.</w:t>
            </w:r>
            <w:r w:rsidR="001E6B00">
              <w:t xml:space="preserve"> </w:t>
            </w:r>
            <w:r w:rsidR="001E6B00" w:rsidRPr="001E6B00">
              <w:rPr>
                <w:rFonts w:ascii="Times New Roman" w:hAnsi="Times New Roman" w:cs="Times New Roman"/>
                <w:sz w:val="24"/>
                <w:szCs w:val="24"/>
              </w:rPr>
              <w:t>Na rozporovom konaní dňa 20. 3. 2023 rozpor nebol odstránený.</w:t>
            </w:r>
          </w:p>
        </w:tc>
      </w:tr>
    </w:tbl>
    <w:p w:rsidR="006D59D7" w:rsidRPr="00EF4A35" w:rsidRDefault="006D59D7" w:rsidP="00F168CD">
      <w:pPr>
        <w:spacing w:line="240" w:lineRule="auto"/>
        <w:contextualSpacing/>
        <w:rPr>
          <w:rFonts w:ascii="Times New Roman" w:hAnsi="Times New Roman" w:cs="Times New Roman"/>
          <w:sz w:val="24"/>
          <w:szCs w:val="24"/>
        </w:rPr>
      </w:pPr>
      <w:bookmarkStart w:id="0" w:name="_GoBack"/>
      <w:bookmarkEnd w:id="0"/>
    </w:p>
    <w:sectPr w:rsidR="006D59D7" w:rsidRPr="00EF4A35" w:rsidSect="009B3B1E">
      <w:footerReference w:type="default" r:id="rId8"/>
      <w:pgSz w:w="11906" w:h="16838"/>
      <w:pgMar w:top="851" w:right="1417" w:bottom="993"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C40" w:rsidRDefault="004D6C40" w:rsidP="00A44D73">
      <w:pPr>
        <w:spacing w:after="0" w:line="240" w:lineRule="auto"/>
      </w:pPr>
      <w:r>
        <w:separator/>
      </w:r>
    </w:p>
  </w:endnote>
  <w:endnote w:type="continuationSeparator" w:id="0">
    <w:p w:rsidR="004D6C40" w:rsidRDefault="004D6C40" w:rsidP="00A4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43143776"/>
      <w:docPartObj>
        <w:docPartGallery w:val="Page Numbers (Bottom of Page)"/>
        <w:docPartUnique/>
      </w:docPartObj>
    </w:sdtPr>
    <w:sdtEndPr/>
    <w:sdtContent>
      <w:p w:rsidR="00A44D73" w:rsidRPr="00A44D73" w:rsidRDefault="00524FE7" w:rsidP="00A44D73">
        <w:pPr>
          <w:pStyle w:val="Pta"/>
          <w:jc w:val="center"/>
          <w:rPr>
            <w:rFonts w:ascii="Times New Roman" w:hAnsi="Times New Roman" w:cs="Times New Roman"/>
            <w:sz w:val="24"/>
          </w:rPr>
        </w:pPr>
        <w:r w:rsidRPr="00A44D73">
          <w:rPr>
            <w:rFonts w:ascii="Times New Roman" w:hAnsi="Times New Roman" w:cs="Times New Roman"/>
            <w:sz w:val="24"/>
          </w:rPr>
          <w:fldChar w:fldCharType="begin"/>
        </w:r>
        <w:r w:rsidR="00A44D73" w:rsidRPr="00A44D73">
          <w:rPr>
            <w:rFonts w:ascii="Times New Roman" w:hAnsi="Times New Roman" w:cs="Times New Roman"/>
            <w:sz w:val="24"/>
          </w:rPr>
          <w:instrText>PAGE   \* MERGEFORMAT</w:instrText>
        </w:r>
        <w:r w:rsidRPr="00A44D73">
          <w:rPr>
            <w:rFonts w:ascii="Times New Roman" w:hAnsi="Times New Roman" w:cs="Times New Roman"/>
            <w:sz w:val="24"/>
          </w:rPr>
          <w:fldChar w:fldCharType="separate"/>
        </w:r>
        <w:r w:rsidR="009A6601">
          <w:rPr>
            <w:rFonts w:ascii="Times New Roman" w:hAnsi="Times New Roman" w:cs="Times New Roman"/>
            <w:noProof/>
            <w:sz w:val="24"/>
          </w:rPr>
          <w:t>7</w:t>
        </w:r>
        <w:r w:rsidRPr="00A44D73">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C40" w:rsidRDefault="004D6C40" w:rsidP="00A44D73">
      <w:pPr>
        <w:spacing w:after="0" w:line="240" w:lineRule="auto"/>
      </w:pPr>
      <w:r>
        <w:separator/>
      </w:r>
    </w:p>
  </w:footnote>
  <w:footnote w:type="continuationSeparator" w:id="0">
    <w:p w:rsidR="004D6C40" w:rsidRDefault="004D6C40" w:rsidP="00A44D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4D73"/>
    <w:rsid w:val="000157C8"/>
    <w:rsid w:val="00016E52"/>
    <w:rsid w:val="000316DF"/>
    <w:rsid w:val="00076F0D"/>
    <w:rsid w:val="00135CCC"/>
    <w:rsid w:val="0014208E"/>
    <w:rsid w:val="001968B0"/>
    <w:rsid w:val="001A60A4"/>
    <w:rsid w:val="001B5656"/>
    <w:rsid w:val="001B5760"/>
    <w:rsid w:val="001E6B00"/>
    <w:rsid w:val="002179E3"/>
    <w:rsid w:val="00245452"/>
    <w:rsid w:val="0024644D"/>
    <w:rsid w:val="00255ED6"/>
    <w:rsid w:val="00272334"/>
    <w:rsid w:val="00276904"/>
    <w:rsid w:val="002B0D25"/>
    <w:rsid w:val="002C5BEB"/>
    <w:rsid w:val="002E62AA"/>
    <w:rsid w:val="00350588"/>
    <w:rsid w:val="003632A9"/>
    <w:rsid w:val="003945D5"/>
    <w:rsid w:val="003D3C42"/>
    <w:rsid w:val="003D4DAD"/>
    <w:rsid w:val="00455DF9"/>
    <w:rsid w:val="004D6C40"/>
    <w:rsid w:val="005120EA"/>
    <w:rsid w:val="005175F2"/>
    <w:rsid w:val="00524FE7"/>
    <w:rsid w:val="005469AE"/>
    <w:rsid w:val="00565A6F"/>
    <w:rsid w:val="00572888"/>
    <w:rsid w:val="00587FA1"/>
    <w:rsid w:val="005A35BB"/>
    <w:rsid w:val="005D53EA"/>
    <w:rsid w:val="005F01D6"/>
    <w:rsid w:val="00626100"/>
    <w:rsid w:val="00636220"/>
    <w:rsid w:val="0064707C"/>
    <w:rsid w:val="00664AFE"/>
    <w:rsid w:val="00680737"/>
    <w:rsid w:val="006D59D7"/>
    <w:rsid w:val="006F13B1"/>
    <w:rsid w:val="007146D7"/>
    <w:rsid w:val="00716BAD"/>
    <w:rsid w:val="0072273A"/>
    <w:rsid w:val="007277E4"/>
    <w:rsid w:val="00803A9D"/>
    <w:rsid w:val="008056D2"/>
    <w:rsid w:val="00810C40"/>
    <w:rsid w:val="008751EE"/>
    <w:rsid w:val="008756BF"/>
    <w:rsid w:val="008855EB"/>
    <w:rsid w:val="00886297"/>
    <w:rsid w:val="008968B9"/>
    <w:rsid w:val="008C00C1"/>
    <w:rsid w:val="008E78B8"/>
    <w:rsid w:val="00900C76"/>
    <w:rsid w:val="00942C68"/>
    <w:rsid w:val="009632A3"/>
    <w:rsid w:val="009928D8"/>
    <w:rsid w:val="009A6601"/>
    <w:rsid w:val="009B3B1E"/>
    <w:rsid w:val="009D4096"/>
    <w:rsid w:val="00A11825"/>
    <w:rsid w:val="00A40696"/>
    <w:rsid w:val="00A44D73"/>
    <w:rsid w:val="00A6162A"/>
    <w:rsid w:val="00A70678"/>
    <w:rsid w:val="00A725AD"/>
    <w:rsid w:val="00A8680D"/>
    <w:rsid w:val="00A95E1F"/>
    <w:rsid w:val="00A96317"/>
    <w:rsid w:val="00AA07F9"/>
    <w:rsid w:val="00AB789F"/>
    <w:rsid w:val="00AE4756"/>
    <w:rsid w:val="00AF1F0A"/>
    <w:rsid w:val="00B250A9"/>
    <w:rsid w:val="00B60114"/>
    <w:rsid w:val="00B7778E"/>
    <w:rsid w:val="00BB04EA"/>
    <w:rsid w:val="00BD5B52"/>
    <w:rsid w:val="00BF375C"/>
    <w:rsid w:val="00C10E79"/>
    <w:rsid w:val="00C64885"/>
    <w:rsid w:val="00C94AAD"/>
    <w:rsid w:val="00CB77B5"/>
    <w:rsid w:val="00CC5128"/>
    <w:rsid w:val="00CD35E5"/>
    <w:rsid w:val="00D0031A"/>
    <w:rsid w:val="00D02BEC"/>
    <w:rsid w:val="00D13779"/>
    <w:rsid w:val="00D4137E"/>
    <w:rsid w:val="00D630D1"/>
    <w:rsid w:val="00D65ED4"/>
    <w:rsid w:val="00E34F80"/>
    <w:rsid w:val="00E56F66"/>
    <w:rsid w:val="00EB5AA9"/>
    <w:rsid w:val="00EB7DF6"/>
    <w:rsid w:val="00EE4B20"/>
    <w:rsid w:val="00EF4A35"/>
    <w:rsid w:val="00F067F7"/>
    <w:rsid w:val="00F168CD"/>
    <w:rsid w:val="00F16DBE"/>
    <w:rsid w:val="00F40E1E"/>
    <w:rsid w:val="00FB29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E6F3"/>
  <w15:docId w15:val="{64C6B4AE-4DEE-4A02-89E9-B9E7B20A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4D73"/>
    <w:pPr>
      <w:spacing w:after="200" w:line="276" w:lineRule="auto"/>
    </w:pPr>
    <w:rPr>
      <w:rFonts w:eastAsiaTheme="minorEastAs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44D7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4D73"/>
    <w:rPr>
      <w:rFonts w:eastAsiaTheme="minorEastAsia"/>
    </w:rPr>
  </w:style>
  <w:style w:type="paragraph" w:styleId="Pta">
    <w:name w:val="footer"/>
    <w:basedOn w:val="Normlny"/>
    <w:link w:val="PtaChar"/>
    <w:uiPriority w:val="99"/>
    <w:unhideWhenUsed/>
    <w:rsid w:val="00A44D73"/>
    <w:pPr>
      <w:tabs>
        <w:tab w:val="center" w:pos="4536"/>
        <w:tab w:val="right" w:pos="9072"/>
      </w:tabs>
      <w:spacing w:after="0" w:line="240" w:lineRule="auto"/>
    </w:pPr>
  </w:style>
  <w:style w:type="character" w:customStyle="1" w:styleId="PtaChar">
    <w:name w:val="Päta Char"/>
    <w:basedOn w:val="Predvolenpsmoodseku"/>
    <w:link w:val="Pta"/>
    <w:uiPriority w:val="99"/>
    <w:rsid w:val="00A44D73"/>
    <w:rPr>
      <w:rFonts w:eastAsiaTheme="minorEastAsia"/>
    </w:rPr>
  </w:style>
  <w:style w:type="paragraph" w:styleId="Textbubliny">
    <w:name w:val="Balloon Text"/>
    <w:basedOn w:val="Normlny"/>
    <w:link w:val="TextbublinyChar"/>
    <w:uiPriority w:val="99"/>
    <w:semiHidden/>
    <w:unhideWhenUsed/>
    <w:rsid w:val="008E78B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E78B8"/>
    <w:rPr>
      <w:rFonts w:ascii="Segoe UI" w:eastAsiaTheme="minorEastAsia" w:hAnsi="Segoe UI" w:cs="Segoe UI"/>
      <w:sz w:val="18"/>
      <w:szCs w:val="18"/>
    </w:rPr>
  </w:style>
  <w:style w:type="character" w:styleId="Hypertextovprepojenie">
    <w:name w:val="Hyperlink"/>
    <w:basedOn w:val="Predvolenpsmoodseku"/>
    <w:uiPriority w:val="99"/>
    <w:semiHidden/>
    <w:unhideWhenUsed/>
    <w:rsid w:val="00AA07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19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19/113/2019050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7FA3D-A7FC-478E-9739-D9440444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2480</Words>
  <Characters>14138</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martin.illas</dc:creator>
  <cp:lastModifiedBy>Zachardová Barbora</cp:lastModifiedBy>
  <cp:revision>77</cp:revision>
  <cp:lastPrinted>2021-05-06T09:57:00Z</cp:lastPrinted>
  <dcterms:created xsi:type="dcterms:W3CDTF">2021-05-04T09:22:00Z</dcterms:created>
  <dcterms:modified xsi:type="dcterms:W3CDTF">2023-03-22T14:11:00Z</dcterms:modified>
</cp:coreProperties>
</file>