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B043B4" w:rsidRDefault="001B23B7" w:rsidP="000800FC">
            <w:pPr>
              <w:rPr>
                <w:rFonts w:ascii="Times New Roman" w:eastAsia="Times New Roman" w:hAnsi="Times New Roman" w:cs="Times New Roman"/>
                <w:sz w:val="20"/>
                <w:szCs w:val="20"/>
                <w:lang w:eastAsia="sk-SK"/>
              </w:rPr>
            </w:pPr>
          </w:p>
          <w:p w:rsidR="001B23B7" w:rsidRDefault="0077073C" w:rsidP="000800FC">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Návrh zákona o premenách obchodných spoločností a družstiev a o zmene a doplnení niektorých zákonov</w:t>
            </w:r>
          </w:p>
          <w:p w:rsidR="0077073C" w:rsidRPr="00B043B4" w:rsidRDefault="0077073C"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B043B4" w:rsidRDefault="0077073C" w:rsidP="000800FC">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Ministerstvo spravodlivosti Slovenskej republiky</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77073C"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77073C"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77073C" w:rsidRPr="00A35AAC" w:rsidRDefault="0077073C" w:rsidP="0077073C">
            <w:pPr>
              <w:rPr>
                <w:rFonts w:ascii="Times New Roman" w:eastAsia="Times New Roman" w:hAnsi="Times New Roman" w:cs="Times New Roman"/>
                <w:sz w:val="20"/>
                <w:szCs w:val="20"/>
                <w:lang w:eastAsia="sk-SK"/>
              </w:rPr>
            </w:pPr>
            <w:r w:rsidRPr="00A35AAC">
              <w:rPr>
                <w:rFonts w:ascii="Times New Roman" w:eastAsia="Times New Roman" w:hAnsi="Times New Roman" w:cs="Times New Roman"/>
                <w:sz w:val="20"/>
                <w:szCs w:val="20"/>
                <w:lang w:eastAsia="sk-SK"/>
              </w:rPr>
              <w:t>Smernica Európskeho parlamentu a Rady (EÚ) 2019/2121 z 27. novembra 2019, ktorou sa mení smernica (EÚ) 2017/1132, pokiaľ ide o cezhraničné premeny, zlúčenia alebo splynutia a rozde</w:t>
            </w:r>
            <w:r w:rsidR="00524ADF">
              <w:rPr>
                <w:rFonts w:ascii="Times New Roman" w:eastAsia="Times New Roman" w:hAnsi="Times New Roman" w:cs="Times New Roman"/>
                <w:sz w:val="20"/>
                <w:szCs w:val="20"/>
                <w:lang w:eastAsia="sk-SK"/>
              </w:rPr>
              <w:t>lenia (ďalej len ako „smernica (EÚ) 2019/2121</w:t>
            </w:r>
            <w:r w:rsidRPr="00A35AAC">
              <w:rPr>
                <w:rFonts w:ascii="Times New Roman" w:eastAsia="Times New Roman" w:hAnsi="Times New Roman" w:cs="Times New Roman"/>
                <w:sz w:val="20"/>
                <w:szCs w:val="20"/>
                <w:lang w:eastAsia="sk-SK"/>
              </w:rPr>
              <w:t>“)</w:t>
            </w:r>
            <w:r w:rsidR="00746BC0">
              <w:rPr>
                <w:rFonts w:ascii="Times New Roman" w:eastAsia="Times New Roman" w:hAnsi="Times New Roman" w:cs="Times New Roman"/>
                <w:sz w:val="20"/>
                <w:szCs w:val="20"/>
                <w:lang w:eastAsia="sk-SK"/>
              </w:rPr>
              <w:t>.</w:t>
            </w:r>
          </w:p>
          <w:p w:rsidR="0077073C" w:rsidRPr="00A35AAC" w:rsidRDefault="0077073C" w:rsidP="0077073C">
            <w:pPr>
              <w:rPr>
                <w:rFonts w:ascii="Times New Roman" w:eastAsia="Times New Roman" w:hAnsi="Times New Roman" w:cs="Times New Roman"/>
                <w:sz w:val="20"/>
                <w:szCs w:val="20"/>
                <w:lang w:eastAsia="sk-SK"/>
              </w:rPr>
            </w:pPr>
            <w:r w:rsidRPr="00A35AAC">
              <w:rPr>
                <w:rFonts w:ascii="Times New Roman" w:eastAsia="Times New Roman" w:hAnsi="Times New Roman" w:cs="Times New Roman"/>
                <w:sz w:val="20"/>
                <w:szCs w:val="20"/>
                <w:lang w:eastAsia="sk-SK"/>
              </w:rPr>
              <w:t>Smernica Európskeho parlamentu a Rady (EÚ) 2017/1132 zo 14. júna 2017 týkajúca sa niektorých aspektov práva obchodných spoločností (kodifikované znenie) (ďalej len ako „kodifikovaná smernica“)</w:t>
            </w:r>
          </w:p>
          <w:p w:rsidR="001B23B7" w:rsidRPr="00A35AAC" w:rsidRDefault="001B23B7" w:rsidP="000800FC">
            <w:pPr>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043B4" w:rsidRDefault="0077073C"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december 2022</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77073C"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 2023</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1B23B7">
            <w:pPr>
              <w:rPr>
                <w:rFonts w:ascii="Times New Roman" w:eastAsia="Times New Roman" w:hAnsi="Times New Roman" w:cs="Times New Roman"/>
                <w:i/>
                <w:sz w:val="20"/>
                <w:szCs w:val="20"/>
                <w:lang w:eastAsia="sk-SK"/>
              </w:rPr>
            </w:pP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8926BB"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apríl 2023</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77073C" w:rsidRPr="00DD7446" w:rsidRDefault="0077073C" w:rsidP="0077073C">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Účelom návrhu zákona je transpozícia smernice </w:t>
            </w:r>
            <w:r w:rsidR="00524ADF">
              <w:rPr>
                <w:rFonts w:ascii="Times New Roman" w:eastAsia="Times New Roman" w:hAnsi="Times New Roman" w:cs="Times New Roman"/>
                <w:sz w:val="20"/>
                <w:szCs w:val="20"/>
                <w:lang w:eastAsia="sk-SK"/>
              </w:rPr>
              <w:t>(EÚ) 2019/2121</w:t>
            </w:r>
            <w:r w:rsidRPr="00DD7446">
              <w:rPr>
                <w:rFonts w:ascii="Times New Roman" w:eastAsia="Times New Roman" w:hAnsi="Times New Roman" w:cs="Times New Roman"/>
                <w:sz w:val="20"/>
                <w:szCs w:val="20"/>
                <w:lang w:eastAsia="sk-SK"/>
              </w:rPr>
              <w:t xml:space="preserve"> a vyhotovenie jednotnej, ucelenej a prehľadnej právnej úpravy vnútroštátnych splynutí a zlúčení, rozdelení, zmeny právnej formy a cezhraničných splynutí a zlúčení, ktorá nahrádza aktuálne platnú právnu úpravu.</w:t>
            </w:r>
          </w:p>
          <w:p w:rsidR="0077073C" w:rsidRPr="00DD7446" w:rsidRDefault="0077073C" w:rsidP="0077073C">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V súčasnosti je právna úprava vnútroštátnych splynutí a zlúčení, rozdelení, zmeny právnej formy ako aj cezhraničných zlúčení a splynutí obsiahnutá v zákone č. 513/1991 Zb. Obchodný zákonník (ďalej len ako „Obchodný zákonník“).</w:t>
            </w:r>
            <w:r w:rsidR="003030F6">
              <w:rPr>
                <w:rFonts w:ascii="Times New Roman" w:eastAsia="Times New Roman" w:hAnsi="Times New Roman" w:cs="Times New Roman"/>
                <w:sz w:val="20"/>
                <w:szCs w:val="20"/>
                <w:lang w:eastAsia="sk-SK"/>
              </w:rPr>
              <w:t xml:space="preserve"> P</w:t>
            </w:r>
            <w:r w:rsidR="003030F6" w:rsidRPr="00DD7446">
              <w:rPr>
                <w:rFonts w:ascii="Times New Roman" w:eastAsia="Times New Roman" w:hAnsi="Times New Roman" w:cs="Times New Roman"/>
                <w:sz w:val="20"/>
                <w:szCs w:val="20"/>
                <w:lang w:eastAsia="sk-SK"/>
              </w:rPr>
              <w:t>rávna úprava</w:t>
            </w:r>
            <w:r w:rsidRPr="00DD7446">
              <w:rPr>
                <w:rFonts w:ascii="Times New Roman" w:eastAsia="Times New Roman" w:hAnsi="Times New Roman" w:cs="Times New Roman"/>
                <w:sz w:val="20"/>
                <w:szCs w:val="20"/>
                <w:lang w:eastAsia="sk-SK"/>
              </w:rPr>
              <w:t xml:space="preserve"> </w:t>
            </w:r>
            <w:r w:rsidR="003030F6" w:rsidRPr="00DD7446">
              <w:rPr>
                <w:rFonts w:ascii="Times New Roman" w:eastAsia="Times New Roman" w:hAnsi="Times New Roman" w:cs="Times New Roman"/>
                <w:sz w:val="20"/>
                <w:szCs w:val="20"/>
                <w:lang w:eastAsia="sk-SK"/>
              </w:rPr>
              <w:t>je zložito usporiadaná a</w:t>
            </w:r>
            <w:r w:rsidR="003030F6">
              <w:rPr>
                <w:rFonts w:ascii="Times New Roman" w:eastAsia="Times New Roman" w:hAnsi="Times New Roman" w:cs="Times New Roman"/>
                <w:sz w:val="20"/>
                <w:szCs w:val="20"/>
                <w:lang w:eastAsia="sk-SK"/>
              </w:rPr>
              <w:t> </w:t>
            </w:r>
            <w:proofErr w:type="spellStart"/>
            <w:r w:rsidR="003030F6" w:rsidRPr="00DD7446">
              <w:rPr>
                <w:rFonts w:ascii="Times New Roman" w:eastAsia="Times New Roman" w:hAnsi="Times New Roman" w:cs="Times New Roman"/>
                <w:sz w:val="20"/>
                <w:szCs w:val="20"/>
                <w:lang w:eastAsia="sk-SK"/>
              </w:rPr>
              <w:t>fragmentovaná</w:t>
            </w:r>
            <w:proofErr w:type="spellEnd"/>
            <w:r w:rsidR="003030F6">
              <w:rPr>
                <w:rFonts w:ascii="Times New Roman" w:eastAsia="Times New Roman" w:hAnsi="Times New Roman" w:cs="Times New Roman"/>
                <w:sz w:val="20"/>
                <w:szCs w:val="20"/>
                <w:lang w:eastAsia="sk-SK"/>
              </w:rPr>
              <w:t>, n</w:t>
            </w:r>
            <w:r w:rsidRPr="00DD7446">
              <w:rPr>
                <w:rFonts w:ascii="Times New Roman" w:eastAsia="Times New Roman" w:hAnsi="Times New Roman" w:cs="Times New Roman"/>
                <w:sz w:val="20"/>
                <w:szCs w:val="20"/>
                <w:lang w:eastAsia="sk-SK"/>
              </w:rPr>
              <w:t>akoľko bola do Obchodného zákonníka dopĺňaná priebežne aj v súvislosti s čiastkovou transpozíciou smerníc v oblasti práva obchodných spoločnos</w:t>
            </w:r>
            <w:r w:rsidR="00014874">
              <w:rPr>
                <w:rFonts w:ascii="Times New Roman" w:eastAsia="Times New Roman" w:hAnsi="Times New Roman" w:cs="Times New Roman"/>
                <w:sz w:val="20"/>
                <w:szCs w:val="20"/>
                <w:lang w:eastAsia="sk-SK"/>
              </w:rPr>
              <w:t>tí</w:t>
            </w:r>
            <w:r w:rsidRPr="00DD7446">
              <w:rPr>
                <w:rFonts w:ascii="Times New Roman" w:eastAsia="Times New Roman" w:hAnsi="Times New Roman" w:cs="Times New Roman"/>
                <w:sz w:val="20"/>
                <w:szCs w:val="20"/>
                <w:lang w:eastAsia="sk-SK"/>
              </w:rPr>
              <w:t xml:space="preserve">. Transpozícia smernice </w:t>
            </w:r>
            <w:r w:rsidR="00524ADF">
              <w:rPr>
                <w:rFonts w:ascii="Times New Roman" w:eastAsia="Times New Roman" w:hAnsi="Times New Roman" w:cs="Times New Roman"/>
                <w:sz w:val="20"/>
                <w:szCs w:val="20"/>
                <w:lang w:eastAsia="sk-SK"/>
              </w:rPr>
              <w:t>(EÚ) 2019/2121</w:t>
            </w:r>
            <w:r w:rsidR="00524ADF" w:rsidRPr="00DD7446">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 xml:space="preserve">dáva priestor na to, aby popri novej právnej úprave vyplývajúcej z tejto smernice prešli revíziou aj ostatné ustanovenia Obchodného zákonníka týkajúce sa premien obchodných spoločností a družstva (ďalej ako „spoločnosť“). </w:t>
            </w:r>
          </w:p>
          <w:p w:rsidR="001B23B7" w:rsidRPr="00687438" w:rsidRDefault="0077073C" w:rsidP="00687438">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Cieľom smernice </w:t>
            </w:r>
            <w:r w:rsidR="00524ADF">
              <w:rPr>
                <w:rFonts w:ascii="Times New Roman" w:eastAsia="Times New Roman" w:hAnsi="Times New Roman" w:cs="Times New Roman"/>
                <w:sz w:val="20"/>
                <w:szCs w:val="20"/>
                <w:lang w:eastAsia="sk-SK"/>
              </w:rPr>
              <w:t>(EÚ) 2019/2121</w:t>
            </w:r>
            <w:r w:rsidR="00524ADF" w:rsidRPr="00DD7446">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je jej podpora za súčasnej ochrany zainteresovaných osôb – veriteľov a spoločníkov.</w:t>
            </w:r>
            <w:r w:rsidRPr="0077073C">
              <w:rPr>
                <w:rFonts w:ascii="Times New Roman" w:eastAsia="Times New Roman" w:hAnsi="Times New Roman" w:cs="Times New Roman"/>
                <w:i/>
                <w:sz w:val="20"/>
                <w:szCs w:val="20"/>
                <w:lang w:eastAsia="sk-SK"/>
              </w:rPr>
              <w:t xml:space="preserve"> </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77073C" w:rsidRPr="00DD7446" w:rsidRDefault="0077073C" w:rsidP="00524ADF">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Nakoľko cieľom návrhu zákona je pre spoločnosti vytvoriť jasnejší rámec, ako postupovať pri premene, cezhraničnej premene a zmene právnej formy, usporadúvajú sa tieto pravidlá tak, aby pre každú právnu formu boli jasné požiadavky danej transakcie. V oblasti vnútroštátnych premien sa tieto pravidlá v zásade preberajú z Obchodného zákonníka a dáva sa im nová štruktúra, za súčasného riešenia problémov aplikačnej praxe. Zavádza sa nový inštitút čiastočného rozdelenia, a teda rozštiepenia, ktoré umožní spoločnostiam </w:t>
            </w:r>
            <w:proofErr w:type="spellStart"/>
            <w:r w:rsidRPr="00DD7446">
              <w:rPr>
                <w:rFonts w:ascii="Times New Roman" w:eastAsia="Times New Roman" w:hAnsi="Times New Roman" w:cs="Times New Roman"/>
                <w:sz w:val="20"/>
                <w:szCs w:val="20"/>
                <w:lang w:eastAsia="sk-SK"/>
              </w:rPr>
              <w:t>štrukturovať</w:t>
            </w:r>
            <w:proofErr w:type="spellEnd"/>
            <w:r w:rsidRPr="00DD7446">
              <w:rPr>
                <w:rFonts w:ascii="Times New Roman" w:eastAsia="Times New Roman" w:hAnsi="Times New Roman" w:cs="Times New Roman"/>
                <w:sz w:val="20"/>
                <w:szCs w:val="20"/>
                <w:lang w:eastAsia="sk-SK"/>
              </w:rPr>
              <w:t xml:space="preserve"> svoje podnikanie aj takýmto spôsobom.</w:t>
            </w:r>
          </w:p>
          <w:p w:rsidR="001B23B7" w:rsidRPr="00B043B4" w:rsidRDefault="0077073C" w:rsidP="00524ADF">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V oblasti cezhraničných premien sa dopĺňajú nové inštitúty – cezhraničné rozdelenia a cezhraničná zmena právnej formy. Cezhraničné rozdelenie, ktorým môže byť len rozdelenie, kedy nástupnícke spoločnosti sú novovzniknutými spoločnosťami je inštitútom, ktorý dopĺňa cezhraničné fúzie. Cezhraničná zmena právnej formy predstavuje takúto cezhraničnú zmenu spojenú s cezhraničnou zmenou sídla spoločnosti. Pri cezhraničnej fúzii sa dopĺňajú nové ustanovenia o ochrane veriteľov a spoločníkov, ktoré pôvodná právna úprava neobsahovala. Uvedené cezhraničné transakcie nie je možné uskutočniť bez lepšieho využitia systému prepojenia registrov, v dôsledku čoho je nevyhnutná úprava ustanovení týkajúcich sa obchodného registra, rovnako ako zmien v systémoch, ktoré komunikáciu medzi obchodnými registrami vylepšia.</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DD7446" w:rsidRDefault="0077073C" w:rsidP="000800F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Obchodné spoločnosti, družstvá, notári, advokáti, audítori, registrové súdy</w:t>
            </w:r>
            <w:r w:rsidR="00A35AAC">
              <w:rPr>
                <w:rFonts w:ascii="Times New Roman" w:eastAsia="Times New Roman" w:hAnsi="Times New Roman" w:cs="Times New Roman"/>
                <w:sz w:val="20"/>
                <w:szCs w:val="20"/>
                <w:lang w:eastAsia="sk-SK"/>
              </w:rPr>
              <w:t>.</w:t>
            </w:r>
          </w:p>
          <w:p w:rsidR="0077073C" w:rsidRPr="00B043B4" w:rsidRDefault="0077073C" w:rsidP="000800FC">
            <w:pPr>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Alternatívne riešenia</w:t>
            </w:r>
          </w:p>
        </w:tc>
      </w:tr>
      <w:tr w:rsidR="001B23B7" w:rsidRPr="00B043B4"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77073C" w:rsidRPr="00DD7446" w:rsidRDefault="0077073C" w:rsidP="00524ADF">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Nakoľko navrhovaná právna úprava v časti preberá ustanovenia Obchodného zákonníka a v časti zabezpečuje splnenie transpozičnej povinnosti SR vo vzťahu k EÚ, je možné vziať do úvahy ako alternatívne riešenie ponechanie ustanovení o premenách a cezhraničných premenách v Obchodnom zákonníku a doplnenie transpozície smernice </w:t>
            </w:r>
            <w:r w:rsidR="00524ADF">
              <w:rPr>
                <w:rFonts w:ascii="Times New Roman" w:eastAsia="Times New Roman" w:hAnsi="Times New Roman" w:cs="Times New Roman"/>
                <w:sz w:val="20"/>
                <w:szCs w:val="20"/>
                <w:lang w:eastAsia="sk-SK"/>
              </w:rPr>
              <w:t>(EÚ) 2019/2121</w:t>
            </w:r>
            <w:r w:rsidR="00524ADF" w:rsidRPr="00DD7446">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do tejto právnej úpravy.</w:t>
            </w:r>
          </w:p>
          <w:p w:rsidR="0077073C" w:rsidRPr="00DD7446" w:rsidRDefault="0077073C" w:rsidP="00524ADF">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Takáto úprava by však vzhľadom na charakter aktuálnych ustanovení nebola pre adresáta normy už ďalej jasná a zrozumiteľná, preto sa takáto alternatíva nejaví ako vhodná.</w:t>
            </w:r>
          </w:p>
          <w:p w:rsidR="0077073C" w:rsidRPr="00DD7446" w:rsidRDefault="0077073C" w:rsidP="00524ADF">
            <w:pPr>
              <w:jc w:val="both"/>
              <w:rPr>
                <w:rFonts w:ascii="Times New Roman" w:eastAsia="Times New Roman" w:hAnsi="Times New Roman" w:cs="Times New Roman"/>
                <w:sz w:val="20"/>
                <w:szCs w:val="20"/>
                <w:lang w:eastAsia="sk-SK"/>
              </w:rPr>
            </w:pPr>
          </w:p>
          <w:p w:rsidR="001B23B7" w:rsidRPr="00B043B4" w:rsidRDefault="0077073C" w:rsidP="00524ADF">
            <w:pPr>
              <w:jc w:val="both"/>
              <w:rPr>
                <w:rFonts w:ascii="Times New Roman" w:eastAsia="Times New Roman" w:hAnsi="Times New Roman" w:cs="Times New Roman"/>
                <w:i/>
                <w:sz w:val="20"/>
                <w:szCs w:val="20"/>
                <w:lang w:eastAsia="sk-SK"/>
              </w:rPr>
            </w:pPr>
            <w:r w:rsidRPr="00DD7446">
              <w:rPr>
                <w:rFonts w:ascii="Times New Roman" w:eastAsia="Times New Roman" w:hAnsi="Times New Roman" w:cs="Times New Roman"/>
                <w:sz w:val="20"/>
                <w:szCs w:val="20"/>
                <w:lang w:eastAsia="sk-SK"/>
              </w:rPr>
              <w:t>V časti úprav predstavených v predkladanom materiáli, ktorými sa zabezpečí splnenie transpozičnej povinnosti SR vo vzťahu k EÚ neprichádza do úvahy tzv. nulový variant – zachovanie súčasného legislatívneho stavu.</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1A212E"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77073C">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1A212E"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p>
          <w:p w:rsidR="00A117B8" w:rsidRPr="00DD7446" w:rsidRDefault="00A117B8" w:rsidP="000800F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Vyhláška Ministerstva spravodlivosti Slovenskej republiky 25/2004 Z. z., ktorou sa ustanovujú vzory tlačív na podávanie návrhov na zápis do obchodného registra a zoznam listín, ktoré je potrebné k návrhu na zápis priložiť.</w:t>
            </w:r>
          </w:p>
          <w:p w:rsidR="00A117B8" w:rsidRPr="00B043B4" w:rsidRDefault="00A117B8"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507"/>
            </w:tblGrid>
            <w:tr w:rsidR="00A7788F" w:rsidRPr="007D0EE1" w:rsidTr="007E6014">
              <w:trPr>
                <w:trHeight w:val="78"/>
              </w:trPr>
              <w:tc>
                <w:tcPr>
                  <w:tcW w:w="8507" w:type="dxa"/>
                </w:tcPr>
                <w:p w:rsidR="00A7788F" w:rsidRPr="007D0EE1" w:rsidRDefault="00A7788F" w:rsidP="00A7788F">
                  <w:pPr>
                    <w:pStyle w:val="Default"/>
                    <w:rPr>
                      <w:color w:val="auto"/>
                      <w:sz w:val="20"/>
                      <w:szCs w:val="20"/>
                    </w:rPr>
                  </w:pPr>
                  <w:r w:rsidRPr="007D0EE1">
                    <w:rPr>
                      <w:i/>
                      <w:iCs/>
                      <w:color w:val="auto"/>
                      <w:sz w:val="20"/>
                      <w:szCs w:val="20"/>
                    </w:rPr>
                    <w:t xml:space="preserve">Uveďte, či v predkladanom návrhu právneho predpisu dochádza ku </w:t>
                  </w:r>
                  <w:proofErr w:type="spellStart"/>
                  <w:r w:rsidRPr="007D0EE1">
                    <w:rPr>
                      <w:i/>
                      <w:iCs/>
                      <w:color w:val="auto"/>
                      <w:sz w:val="20"/>
                      <w:szCs w:val="20"/>
                    </w:rPr>
                    <w:t>goldplatingu</w:t>
                  </w:r>
                  <w:proofErr w:type="spellEnd"/>
                  <w:r w:rsidRPr="007D0EE1">
                    <w:rPr>
                      <w:i/>
                      <w:iCs/>
                      <w:color w:val="auto"/>
                      <w:sz w:val="20"/>
                      <w:szCs w:val="20"/>
                    </w:rPr>
                    <w:t xml:space="preserve"> podľa tabuľky zhody. </w:t>
                  </w:r>
                </w:p>
              </w:tc>
            </w:tr>
            <w:tr w:rsidR="00A7788F" w:rsidRPr="007D0EE1" w:rsidTr="007E6014">
              <w:trPr>
                <w:trHeight w:val="258"/>
              </w:trPr>
              <w:tc>
                <w:tcPr>
                  <w:tcW w:w="8507" w:type="dxa"/>
                </w:tcPr>
                <w:p w:rsidR="00A7788F" w:rsidRPr="007D0EE1" w:rsidRDefault="00A7788F" w:rsidP="00DD7446">
                  <w:pPr>
                    <w:pStyle w:val="Default"/>
                    <w:jc w:val="both"/>
                    <w:rPr>
                      <w:b/>
                      <w:iCs/>
                      <w:color w:val="auto"/>
                      <w:sz w:val="20"/>
                      <w:szCs w:val="20"/>
                    </w:rPr>
                  </w:pPr>
                  <w:r w:rsidRPr="007D0EE1">
                    <w:rPr>
                      <w:b/>
                      <w:iCs/>
                      <w:color w:val="auto"/>
                      <w:sz w:val="20"/>
                      <w:szCs w:val="20"/>
                    </w:rPr>
                    <w:t xml:space="preserve">                                                                                                                               </w:t>
                  </w:r>
                  <w:sdt>
                    <w:sdtPr>
                      <w:rPr>
                        <w:b/>
                        <w:iCs/>
                        <w:color w:val="auto"/>
                        <w:sz w:val="20"/>
                        <w:szCs w:val="20"/>
                      </w:rPr>
                      <w:id w:val="1614706761"/>
                      <w14:checkbox>
                        <w14:checked w14:val="1"/>
                        <w14:checkedState w14:val="2612" w14:font="MS Gothic"/>
                        <w14:uncheckedState w14:val="2610" w14:font="MS Gothic"/>
                      </w14:checkbox>
                    </w:sdtPr>
                    <w:sdtEndPr/>
                    <w:sdtContent>
                      <w:r w:rsidR="0077073C" w:rsidRPr="007D0EE1">
                        <w:rPr>
                          <w:rFonts w:ascii="MS Gothic" w:eastAsia="MS Gothic" w:hAnsi="MS Gothic" w:hint="eastAsia"/>
                          <w:b/>
                          <w:iCs/>
                          <w:color w:val="auto"/>
                          <w:sz w:val="20"/>
                          <w:szCs w:val="20"/>
                        </w:rPr>
                        <w:t>☒</w:t>
                      </w:r>
                    </w:sdtContent>
                  </w:sdt>
                  <w:r w:rsidRPr="007D0EE1">
                    <w:rPr>
                      <w:b/>
                      <w:iCs/>
                      <w:color w:val="auto"/>
                      <w:sz w:val="20"/>
                      <w:szCs w:val="20"/>
                    </w:rPr>
                    <w:t xml:space="preserve"> Áno                  </w:t>
                  </w:r>
                  <w:sdt>
                    <w:sdtPr>
                      <w:rPr>
                        <w:b/>
                        <w:iCs/>
                        <w:color w:val="auto"/>
                        <w:sz w:val="20"/>
                        <w:szCs w:val="20"/>
                      </w:rPr>
                      <w:id w:val="-155225922"/>
                      <w14:checkbox>
                        <w14:checked w14:val="0"/>
                        <w14:checkedState w14:val="2612" w14:font="MS Gothic"/>
                        <w14:uncheckedState w14:val="2610" w14:font="MS Gothic"/>
                      </w14:checkbox>
                    </w:sdtPr>
                    <w:sdtEndPr/>
                    <w:sdtContent>
                      <w:r w:rsidR="00187182" w:rsidRPr="007D0EE1">
                        <w:rPr>
                          <w:rFonts w:ascii="MS Gothic" w:eastAsia="MS Gothic" w:hAnsi="MS Gothic" w:hint="eastAsia"/>
                          <w:b/>
                          <w:iCs/>
                          <w:color w:val="auto"/>
                          <w:sz w:val="20"/>
                          <w:szCs w:val="20"/>
                        </w:rPr>
                        <w:t>☐</w:t>
                      </w:r>
                    </w:sdtContent>
                  </w:sdt>
                  <w:r w:rsidRPr="007D0EE1">
                    <w:rPr>
                      <w:b/>
                      <w:iCs/>
                      <w:color w:val="auto"/>
                      <w:sz w:val="20"/>
                      <w:szCs w:val="20"/>
                    </w:rPr>
                    <w:t xml:space="preserve"> Nie</w:t>
                  </w:r>
                </w:p>
                <w:p w:rsidR="00A7788F" w:rsidRPr="007D0EE1" w:rsidRDefault="00A7788F" w:rsidP="00DD7446">
                  <w:pPr>
                    <w:pStyle w:val="Default"/>
                    <w:jc w:val="both"/>
                    <w:rPr>
                      <w:i/>
                      <w:iCs/>
                      <w:color w:val="auto"/>
                      <w:sz w:val="20"/>
                      <w:szCs w:val="20"/>
                    </w:rPr>
                  </w:pPr>
                </w:p>
                <w:p w:rsidR="00A7788F" w:rsidRPr="007D0EE1" w:rsidRDefault="00A7788F" w:rsidP="00DD7446">
                  <w:pPr>
                    <w:pStyle w:val="Default"/>
                    <w:jc w:val="both"/>
                    <w:rPr>
                      <w:i/>
                      <w:iCs/>
                      <w:color w:val="auto"/>
                      <w:sz w:val="20"/>
                      <w:szCs w:val="20"/>
                    </w:rPr>
                  </w:pPr>
                  <w:r w:rsidRPr="007D0EE1">
                    <w:rPr>
                      <w:i/>
                      <w:iCs/>
                      <w:color w:val="auto"/>
                      <w:sz w:val="20"/>
                      <w:szCs w:val="20"/>
                    </w:rPr>
                    <w:t xml:space="preserve">Ak áno, uveďte, ktorých vplyvov podľa bodu 9 sa </w:t>
                  </w:r>
                  <w:proofErr w:type="spellStart"/>
                  <w:r w:rsidRPr="007D0EE1">
                    <w:rPr>
                      <w:i/>
                      <w:iCs/>
                      <w:color w:val="auto"/>
                      <w:sz w:val="20"/>
                      <w:szCs w:val="20"/>
                    </w:rPr>
                    <w:t>goldplating</w:t>
                  </w:r>
                  <w:proofErr w:type="spellEnd"/>
                  <w:r w:rsidRPr="007D0EE1">
                    <w:rPr>
                      <w:i/>
                      <w:iCs/>
                      <w:color w:val="auto"/>
                      <w:sz w:val="20"/>
                      <w:szCs w:val="20"/>
                    </w:rPr>
                    <w:t xml:space="preserve"> týka: </w:t>
                  </w:r>
                </w:p>
                <w:p w:rsidR="0077073C" w:rsidRPr="007D0EE1" w:rsidRDefault="0077073C" w:rsidP="00DD7446">
                  <w:pPr>
                    <w:pStyle w:val="Default"/>
                    <w:jc w:val="both"/>
                    <w:rPr>
                      <w:i/>
                      <w:iCs/>
                      <w:color w:val="auto"/>
                      <w:sz w:val="20"/>
                      <w:szCs w:val="20"/>
                    </w:rPr>
                  </w:pPr>
                </w:p>
                <w:p w:rsidR="007E6014" w:rsidRDefault="0005074B" w:rsidP="007D0EE1">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Goldplating</w:t>
                  </w:r>
                  <w:proofErr w:type="spellEnd"/>
                  <w:r w:rsidR="007E6014">
                    <w:rPr>
                      <w:rFonts w:ascii="Times New Roman" w:hAnsi="Times New Roman" w:cs="Times New Roman"/>
                      <w:sz w:val="20"/>
                      <w:szCs w:val="20"/>
                    </w:rPr>
                    <w:t xml:space="preserve"> </w:t>
                  </w:r>
                  <w:r w:rsidR="00624BBC">
                    <w:rPr>
                      <w:rFonts w:ascii="Times New Roman" w:hAnsi="Times New Roman" w:cs="Times New Roman"/>
                      <w:sz w:val="20"/>
                      <w:szCs w:val="20"/>
                    </w:rPr>
                    <w:t xml:space="preserve">je </w:t>
                  </w:r>
                  <w:r w:rsidR="007E6014">
                    <w:rPr>
                      <w:rFonts w:ascii="Times New Roman" w:hAnsi="Times New Roman" w:cs="Times New Roman"/>
                      <w:sz w:val="20"/>
                      <w:szCs w:val="20"/>
                    </w:rPr>
                    <w:t>stanovený pod</w:t>
                  </w:r>
                  <w:r w:rsidR="00D634A3">
                    <w:rPr>
                      <w:rFonts w:ascii="Times New Roman" w:hAnsi="Times New Roman" w:cs="Times New Roman"/>
                      <w:sz w:val="20"/>
                      <w:szCs w:val="20"/>
                    </w:rPr>
                    <w:t xml:space="preserve">ľa </w:t>
                  </w:r>
                  <w:r w:rsidR="007E6014">
                    <w:rPr>
                      <w:rFonts w:ascii="Times New Roman" w:hAnsi="Times New Roman" w:cs="Times New Roman"/>
                      <w:sz w:val="20"/>
                      <w:szCs w:val="20"/>
                    </w:rPr>
                    <w:t xml:space="preserve">Tabuľky zhody </w:t>
                  </w:r>
                  <w:r w:rsidR="00624BBC">
                    <w:rPr>
                      <w:rFonts w:ascii="Times New Roman" w:hAnsi="Times New Roman" w:cs="Times New Roman"/>
                      <w:sz w:val="20"/>
                      <w:szCs w:val="20"/>
                    </w:rPr>
                    <w:t xml:space="preserve">a </w:t>
                  </w:r>
                  <w:r w:rsidR="007E6014">
                    <w:rPr>
                      <w:rFonts w:ascii="Times New Roman" w:hAnsi="Times New Roman" w:cs="Times New Roman"/>
                      <w:sz w:val="20"/>
                      <w:szCs w:val="20"/>
                    </w:rPr>
                    <w:t xml:space="preserve">dotýka </w:t>
                  </w:r>
                  <w:r w:rsidR="00624BBC">
                    <w:rPr>
                      <w:rFonts w:ascii="Times New Roman" w:hAnsi="Times New Roman" w:cs="Times New Roman"/>
                      <w:sz w:val="20"/>
                      <w:szCs w:val="20"/>
                    </w:rPr>
                    <w:t xml:space="preserve">sa </w:t>
                  </w:r>
                  <w:r w:rsidR="007E6014">
                    <w:rPr>
                      <w:rFonts w:ascii="Times New Roman" w:hAnsi="Times New Roman" w:cs="Times New Roman"/>
                      <w:sz w:val="20"/>
                      <w:szCs w:val="20"/>
                    </w:rPr>
                    <w:t>vplyvov na podnikateľské prostredie</w:t>
                  </w:r>
                  <w:r w:rsidR="00D634A3">
                    <w:rPr>
                      <w:rFonts w:ascii="Times New Roman" w:hAnsi="Times New Roman" w:cs="Times New Roman"/>
                      <w:sz w:val="20"/>
                      <w:szCs w:val="20"/>
                    </w:rPr>
                    <w:t xml:space="preserve">. </w:t>
                  </w:r>
                  <w:r w:rsidR="00624BBC">
                    <w:rPr>
                      <w:rFonts w:ascii="Times New Roman" w:hAnsi="Times New Roman" w:cs="Times New Roman"/>
                      <w:sz w:val="20"/>
                      <w:szCs w:val="20"/>
                    </w:rPr>
                    <w:t xml:space="preserve">Identifikované boli </w:t>
                  </w:r>
                  <w:r w:rsidR="007E6014">
                    <w:rPr>
                      <w:rFonts w:ascii="Times New Roman" w:hAnsi="Times New Roman" w:cs="Times New Roman"/>
                      <w:sz w:val="20"/>
                      <w:szCs w:val="20"/>
                    </w:rPr>
                    <w:t>pozitívne vplyvy na podnikateľské prostredie a negatívne vplyvy na podnikateľské prostredie</w:t>
                  </w:r>
                  <w:r w:rsidR="00624BBC">
                    <w:rPr>
                      <w:rFonts w:ascii="Times New Roman" w:hAnsi="Times New Roman" w:cs="Times New Roman"/>
                      <w:sz w:val="20"/>
                      <w:szCs w:val="20"/>
                    </w:rPr>
                    <w:t xml:space="preserve">. Sú zhrnuté </w:t>
                  </w:r>
                  <w:r w:rsidR="00D634A3">
                    <w:rPr>
                      <w:rFonts w:ascii="Times New Roman" w:hAnsi="Times New Roman" w:cs="Times New Roman"/>
                      <w:sz w:val="20"/>
                      <w:szCs w:val="20"/>
                    </w:rPr>
                    <w:t xml:space="preserve">aj v </w:t>
                  </w:r>
                  <w:r w:rsidR="007E6014">
                    <w:rPr>
                      <w:rFonts w:ascii="Times New Roman" w:hAnsi="Times New Roman" w:cs="Times New Roman"/>
                      <w:sz w:val="20"/>
                      <w:szCs w:val="20"/>
                    </w:rPr>
                    <w:t xml:space="preserve">Analýze vplyvov na </w:t>
                  </w:r>
                  <w:r w:rsidR="00D634A3">
                    <w:rPr>
                      <w:rFonts w:ascii="Times New Roman" w:hAnsi="Times New Roman" w:cs="Times New Roman"/>
                      <w:sz w:val="20"/>
                      <w:szCs w:val="20"/>
                    </w:rPr>
                    <w:t>podnikateľské prostredie</w:t>
                  </w:r>
                  <w:r w:rsidR="007E6014">
                    <w:rPr>
                      <w:rFonts w:ascii="Times New Roman" w:hAnsi="Times New Roman" w:cs="Times New Roman"/>
                      <w:sz w:val="20"/>
                      <w:szCs w:val="20"/>
                    </w:rPr>
                    <w:t xml:space="preserve"> v časti 3.4</w:t>
                  </w:r>
                  <w:r w:rsidR="00D634A3">
                    <w:rPr>
                      <w:rFonts w:ascii="Times New Roman" w:hAnsi="Times New Roman" w:cs="Times New Roman"/>
                      <w:sz w:val="20"/>
                      <w:szCs w:val="20"/>
                    </w:rPr>
                    <w:t xml:space="preserve"> Iné vplyvy na podnikateľské prostredie</w:t>
                  </w:r>
                  <w:r w:rsidR="007E6014">
                    <w:rPr>
                      <w:rFonts w:ascii="Times New Roman" w:hAnsi="Times New Roman" w:cs="Times New Roman"/>
                      <w:sz w:val="20"/>
                      <w:szCs w:val="20"/>
                    </w:rPr>
                    <w:t>:</w:t>
                  </w:r>
                </w:p>
                <w:p w:rsidR="007E6014" w:rsidRDefault="007E6014" w:rsidP="007D0EE1">
                  <w:pPr>
                    <w:spacing w:after="0"/>
                    <w:jc w:val="both"/>
                    <w:rPr>
                      <w:rFonts w:ascii="Times New Roman" w:hAnsi="Times New Roman" w:cs="Times New Roman"/>
                      <w:sz w:val="20"/>
                      <w:szCs w:val="20"/>
                    </w:rPr>
                  </w:pPr>
                </w:p>
                <w:p w:rsidR="003E62B2" w:rsidRPr="003E62B2" w:rsidRDefault="003E62B2" w:rsidP="003E62B2">
                  <w:pPr>
                    <w:pStyle w:val="Odsekzoznamu"/>
                    <w:numPr>
                      <w:ilvl w:val="0"/>
                      <w:numId w:val="2"/>
                    </w:numPr>
                    <w:spacing w:after="0"/>
                    <w:jc w:val="both"/>
                    <w:rPr>
                      <w:rFonts w:ascii="Times New Roman" w:hAnsi="Times New Roman" w:cs="Times New Roman"/>
                      <w:b/>
                      <w:sz w:val="20"/>
                      <w:szCs w:val="20"/>
                    </w:rPr>
                  </w:pPr>
                  <w:r w:rsidRPr="003E62B2">
                    <w:rPr>
                      <w:rFonts w:ascii="Times New Roman" w:hAnsi="Times New Roman" w:cs="Times New Roman"/>
                      <w:b/>
                      <w:sz w:val="20"/>
                      <w:szCs w:val="20"/>
                    </w:rPr>
                    <w:t>Článok 64, 65 a 66</w:t>
                  </w:r>
                </w:p>
                <w:p w:rsidR="003E62B2" w:rsidRPr="003E62B2" w:rsidRDefault="003E62B2" w:rsidP="003E62B2">
                  <w:pPr>
                    <w:spacing w:after="0"/>
                    <w:jc w:val="both"/>
                    <w:rPr>
                      <w:rFonts w:ascii="Times New Roman" w:hAnsi="Times New Roman" w:cs="Times New Roman"/>
                      <w:sz w:val="20"/>
                      <w:szCs w:val="20"/>
                    </w:rPr>
                  </w:pPr>
                  <w:r w:rsidRPr="003E62B2">
                    <w:rPr>
                      <w:rFonts w:ascii="Times New Roman" w:hAnsi="Times New Roman" w:cs="Times New Roman"/>
                      <w:sz w:val="20"/>
                      <w:szCs w:val="20"/>
                    </w:rPr>
                    <w:t>Predkladateľ považuje za vhodné pre spoločnosti umožniť im poskytnúť finančnú asistenciu v prípade nadobúdania ich vlastných akcií. Predmetná úprava bola pripravená na základe požiadaviek právnej praxe. Uvedenou úpravou sa má dosiahnuť umožniť spoločnostiam zvýšiť ich konkurencieschopnosť a rozšíriť možnosť hľadania kapitálu.</w:t>
                  </w:r>
                </w:p>
                <w:p w:rsidR="003E62B2" w:rsidRPr="003E62B2" w:rsidRDefault="003E62B2" w:rsidP="003E62B2">
                  <w:pPr>
                    <w:spacing w:after="0"/>
                    <w:jc w:val="both"/>
                    <w:rPr>
                      <w:rFonts w:ascii="Times New Roman" w:hAnsi="Times New Roman" w:cs="Times New Roman"/>
                      <w:b/>
                      <w:sz w:val="20"/>
                      <w:szCs w:val="20"/>
                    </w:rPr>
                  </w:pPr>
                </w:p>
                <w:p w:rsidR="00F81E45" w:rsidRPr="007E6014" w:rsidRDefault="00F81E45" w:rsidP="00F81E45">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85 ods. 3 – vo vzťahu k opcii k odseku 1</w:t>
                  </w:r>
                </w:p>
                <w:p w:rsidR="00F81E45" w:rsidRDefault="00F81E45" w:rsidP="00F81E45">
                  <w:pPr>
                    <w:spacing w:after="0"/>
                    <w:jc w:val="both"/>
                    <w:rPr>
                      <w:rFonts w:ascii="Times New Roman" w:hAnsi="Times New Roman" w:cs="Times New Roman"/>
                      <w:sz w:val="20"/>
                      <w:szCs w:val="20"/>
                    </w:rPr>
                  </w:pPr>
                  <w:r w:rsidRPr="007D0EE1">
                    <w:rPr>
                      <w:rFonts w:ascii="Times New Roman" w:hAnsi="Times New Roman" w:cs="Times New Roman"/>
                      <w:sz w:val="20"/>
                      <w:szCs w:val="20"/>
                      <w:lang w:eastAsia="sk-SK"/>
                    </w:rPr>
                    <w:t xml:space="preserve">V danom prípade ide o pozitívny </w:t>
                  </w:r>
                  <w:proofErr w:type="spellStart"/>
                  <w:r w:rsidRPr="007D0EE1">
                    <w:rPr>
                      <w:rFonts w:ascii="Times New Roman" w:hAnsi="Times New Roman" w:cs="Times New Roman"/>
                      <w:sz w:val="20"/>
                      <w:szCs w:val="20"/>
                      <w:lang w:eastAsia="sk-SK"/>
                    </w:rPr>
                    <w:t>goldplating</w:t>
                  </w:r>
                  <w:proofErr w:type="spellEnd"/>
                  <w:r w:rsidRPr="007D0EE1">
                    <w:rPr>
                      <w:rFonts w:ascii="Times New Roman" w:hAnsi="Times New Roman" w:cs="Times New Roman"/>
                      <w:sz w:val="20"/>
                      <w:szCs w:val="20"/>
                      <w:lang w:eastAsia="sk-SK"/>
                    </w:rPr>
                    <w:t xml:space="preserve">, nakoľko ak sa tak dohodnú akcionári, štatutárny  orgán nemusí vypracúvať písomnú správu a znižuje sa tak administratívna záťaž zúčastnenej spoločnosti. </w:t>
                  </w:r>
                  <w:r w:rsidRPr="007D0EE1">
                    <w:rPr>
                      <w:rFonts w:ascii="Times New Roman" w:hAnsi="Times New Roman" w:cs="Times New Roman"/>
                      <w:sz w:val="20"/>
                      <w:szCs w:val="20"/>
                    </w:rPr>
                    <w:t>Takáto právna úprava už je v aktuálne platnej právnej účinná ako transpozícia pôvodnej smernice o zlúčeniach a splynutiach akciových spoločností (EÚ) 2011/35.</w:t>
                  </w:r>
                </w:p>
                <w:p w:rsidR="00F81E45" w:rsidRPr="007D0EE1" w:rsidRDefault="00F81E45" w:rsidP="00F81E45">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86a ods. 4 písm. a)</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cezhraničnej premeny.</w:t>
                  </w:r>
                </w:p>
                <w:p w:rsidR="007D0EE1" w:rsidRPr="007D0EE1" w:rsidRDefault="007D0EE1" w:rsidP="007D0EE1">
                  <w:pPr>
                    <w:spacing w:after="0"/>
                    <w:jc w:val="both"/>
                    <w:rPr>
                      <w:rFonts w:ascii="Times New Roman" w:hAnsi="Times New Roman" w:cs="Times New Roman"/>
                      <w:bCs/>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86a ods. 4 písm. b)</w:t>
                  </w:r>
                </w:p>
                <w:p w:rsidR="007D0EE1" w:rsidRPr="007D0EE1" w:rsidRDefault="007D0EE1" w:rsidP="007D0EE1">
                  <w:pPr>
                    <w:spacing w:after="0"/>
                    <w:jc w:val="both"/>
                    <w:rPr>
                      <w:rFonts w:ascii="Times New Roman" w:hAnsi="Times New Roman" w:cs="Times New Roman"/>
                      <w:bCs/>
                      <w:sz w:val="20"/>
                      <w:szCs w:val="20"/>
                    </w:rPr>
                  </w:pPr>
                  <w:r w:rsidRPr="007D0EE1">
                    <w:rPr>
                      <w:rFonts w:ascii="Times New Roman" w:hAnsi="Times New Roman" w:cs="Times New Roman"/>
                      <w:bCs/>
                      <w:sz w:val="20"/>
                      <w:szCs w:val="20"/>
                    </w:rPr>
                    <w:t>Predkladateľ považuje za nevyhnutné, vzhľadom na ochranu veriteľov, aby v prípade, že sa voči spoločnosti vedie konanie o jej zrušení,  bolo prítomné obmedzenie cezhraničnej premeny.</w:t>
                  </w:r>
                </w:p>
                <w:p w:rsidR="007D0EE1" w:rsidRPr="007D0EE1" w:rsidRDefault="007D0EE1" w:rsidP="007D0EE1">
                  <w:pPr>
                    <w:spacing w:after="0"/>
                    <w:jc w:val="both"/>
                    <w:rPr>
                      <w:rFonts w:ascii="Times New Roman" w:hAnsi="Times New Roman" w:cs="Times New Roman"/>
                      <w:bCs/>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bCs/>
                      <w:sz w:val="20"/>
                      <w:szCs w:val="20"/>
                    </w:rPr>
                  </w:pPr>
                  <w:r w:rsidRPr="007E6014">
                    <w:rPr>
                      <w:rFonts w:ascii="Times New Roman" w:hAnsi="Times New Roman" w:cs="Times New Roman"/>
                      <w:b/>
                      <w:bCs/>
                      <w:sz w:val="20"/>
                      <w:szCs w:val="20"/>
                    </w:rPr>
                    <w:t>Článok 86e ods. 4 druhá veta</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Pozitívny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 xml:space="preserve"> – ak má spoločnosť jediného spoločníka, nie je potrebné vypracúvať správu štatutárneho orgánu, čím sa znižuje záťaž na spoločnosť.</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86f ods. 3 druhá veta</w:t>
                  </w:r>
                </w:p>
                <w:p w:rsidR="007D0EE1" w:rsidRPr="007D0EE1" w:rsidRDefault="007D0EE1" w:rsidP="007D0EE1">
                  <w:pPr>
                    <w:spacing w:after="0"/>
                    <w:jc w:val="both"/>
                    <w:rPr>
                      <w:rFonts w:ascii="Times New Roman" w:hAnsi="Times New Roman" w:cs="Times New Roman"/>
                      <w:bCs/>
                      <w:sz w:val="20"/>
                      <w:szCs w:val="20"/>
                    </w:rPr>
                  </w:pPr>
                  <w:r w:rsidRPr="007D0EE1">
                    <w:rPr>
                      <w:rFonts w:ascii="Times New Roman" w:hAnsi="Times New Roman" w:cs="Times New Roman"/>
                      <w:bCs/>
                      <w:sz w:val="20"/>
                      <w:szCs w:val="20"/>
                    </w:rPr>
                    <w:t xml:space="preserve">Pozitívny </w:t>
                  </w:r>
                  <w:proofErr w:type="spellStart"/>
                  <w:r w:rsidRPr="007D0EE1">
                    <w:rPr>
                      <w:rFonts w:ascii="Times New Roman" w:hAnsi="Times New Roman" w:cs="Times New Roman"/>
                      <w:bCs/>
                      <w:sz w:val="20"/>
                      <w:szCs w:val="20"/>
                    </w:rPr>
                    <w:t>goldplating</w:t>
                  </w:r>
                  <w:proofErr w:type="spellEnd"/>
                  <w:r w:rsidRPr="007D0EE1">
                    <w:rPr>
                      <w:rFonts w:ascii="Times New Roman" w:hAnsi="Times New Roman" w:cs="Times New Roman"/>
                      <w:bCs/>
                      <w:sz w:val="20"/>
                      <w:szCs w:val="20"/>
                    </w:rPr>
                    <w:t xml:space="preserve"> – ak má spoločnosť jediného spoločníka, nie je potrebné vypracúvať správu štatutárneho orgánu, čím sa znižuje záťaž na spoločnosť.</w:t>
                  </w:r>
                </w:p>
                <w:p w:rsidR="007D0EE1" w:rsidRPr="007D0EE1" w:rsidRDefault="007D0EE1" w:rsidP="007D0EE1">
                  <w:pPr>
                    <w:spacing w:after="0"/>
                    <w:jc w:val="both"/>
                    <w:rPr>
                      <w:rFonts w:ascii="Times New Roman" w:hAnsi="Times New Roman" w:cs="Times New Roman"/>
                      <w:bCs/>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bCs/>
                      <w:sz w:val="20"/>
                      <w:szCs w:val="20"/>
                    </w:rPr>
                  </w:pPr>
                  <w:r w:rsidRPr="007E6014">
                    <w:rPr>
                      <w:rFonts w:ascii="Times New Roman" w:hAnsi="Times New Roman" w:cs="Times New Roman"/>
                      <w:b/>
                      <w:bCs/>
                      <w:sz w:val="20"/>
                      <w:szCs w:val="20"/>
                    </w:rPr>
                    <w:t>Článok 86g ods. 5</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lastRenderedPageBreak/>
                    <w:t>Už v súčasne účinnej právnej úprave pri cezhraničnom zlúčení a splynutí je takáto možnosť zakotvená. Spoločnosti považujú zverejňovanie v Obchodnom vestníku za efektívne a predkladateľ považuje za vhodné umožniť takýto spôsob zverejnenia aj pri cezhraničnej zmene právnej formy.</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87 ods. 3</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zlúčenia a splynutia spoločnosti. Takáto právna úprava už je v aktuálne platnej právnej účinná ako transpozícia pôvodnej smernice o zlúčeniach a splynutiach akciových spoločností (EÚ) 2011/35.</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 xml:space="preserve">Článok 96 ods. 1 druhý </w:t>
                  </w:r>
                  <w:proofErr w:type="spellStart"/>
                  <w:r w:rsidRPr="007E6014">
                    <w:rPr>
                      <w:rFonts w:ascii="Times New Roman" w:hAnsi="Times New Roman" w:cs="Times New Roman"/>
                      <w:b/>
                      <w:sz w:val="20"/>
                      <w:szCs w:val="20"/>
                    </w:rPr>
                    <w:t>pododsek</w:t>
                  </w:r>
                  <w:proofErr w:type="spellEnd"/>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Cieľom predkladanej právnej úpravy je umožniť spoločnostiam, aby sa na príprave správy mohli podieľať aj viacerí audítori, ak sa tak spoločnosti dohodnú. Ustanovenie sa použije popri </w:t>
                  </w:r>
                  <w:proofErr w:type="spellStart"/>
                  <w:r w:rsidRPr="007D0EE1">
                    <w:rPr>
                      <w:rFonts w:ascii="Times New Roman" w:hAnsi="Times New Roman" w:cs="Times New Roman"/>
                      <w:sz w:val="20"/>
                      <w:szCs w:val="20"/>
                    </w:rPr>
                    <w:t>defaultnom</w:t>
                  </w:r>
                  <w:proofErr w:type="spellEnd"/>
                  <w:r w:rsidRPr="007D0EE1">
                    <w:rPr>
                      <w:rFonts w:ascii="Times New Roman" w:hAnsi="Times New Roman" w:cs="Times New Roman"/>
                      <w:sz w:val="20"/>
                      <w:szCs w:val="20"/>
                    </w:rPr>
                    <w:t xml:space="preserve"> ustanovení o jednom spoločnom audítorovi.</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 xml:space="preserve">Článok 97 ods. 4 </w:t>
                  </w:r>
                  <w:proofErr w:type="spellStart"/>
                  <w:r w:rsidRPr="007E6014">
                    <w:rPr>
                      <w:rFonts w:ascii="Times New Roman" w:hAnsi="Times New Roman" w:cs="Times New Roman"/>
                      <w:b/>
                      <w:sz w:val="20"/>
                      <w:szCs w:val="20"/>
                    </w:rPr>
                    <w:t>pododsek</w:t>
                  </w:r>
                  <w:proofErr w:type="spellEnd"/>
                  <w:r w:rsidRPr="007E6014">
                    <w:rPr>
                      <w:rFonts w:ascii="Times New Roman" w:hAnsi="Times New Roman" w:cs="Times New Roman"/>
                      <w:b/>
                      <w:sz w:val="20"/>
                      <w:szCs w:val="20"/>
                    </w:rPr>
                    <w:t xml:space="preserve"> 3 prvá veta</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Predkladateľ má za to, že vo vzťahu k spoločníkom, je vhodné vyžadovať, aby dokumenty týkajúce sa transakcie ostali na webovom sídle spoločnosti, a to napríklad pre prípad, že by spoločník chcel žalovať spoločnosť o určenie výmenného pomeru akcií, primeraný peňažný doplatok.</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 xml:space="preserve">Článok 97 ods. 4 </w:t>
                  </w:r>
                  <w:proofErr w:type="spellStart"/>
                  <w:r w:rsidRPr="007E6014">
                    <w:rPr>
                      <w:rFonts w:ascii="Times New Roman" w:hAnsi="Times New Roman" w:cs="Times New Roman"/>
                      <w:b/>
                      <w:sz w:val="20"/>
                      <w:szCs w:val="20"/>
                    </w:rPr>
                    <w:t>pododsek</w:t>
                  </w:r>
                  <w:proofErr w:type="spellEnd"/>
                  <w:r w:rsidRPr="007E6014">
                    <w:rPr>
                      <w:rFonts w:ascii="Times New Roman" w:hAnsi="Times New Roman" w:cs="Times New Roman"/>
                      <w:b/>
                      <w:sz w:val="20"/>
                      <w:szCs w:val="20"/>
                    </w:rPr>
                    <w:t xml:space="preserve"> 3 prvá veta</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Z dôvodu ochrany spoločnosti zúčastnenej na premene je nevyhnutné určiť, že v prípade prerušenia uverejnenia dokumentov na stránke uvedené nemá vplyv na platnosť uznesenia valného zhromaždenia, ak si spoločnosť riadne splní svoju povinnosť podľa odseku 1.</w:t>
                  </w:r>
                </w:p>
                <w:p w:rsidR="007D0EE1" w:rsidRPr="0005074B" w:rsidRDefault="007D0EE1" w:rsidP="007D0EE1">
                  <w:pPr>
                    <w:spacing w:after="0"/>
                    <w:jc w:val="both"/>
                    <w:rPr>
                      <w:rFonts w:ascii="Times New Roman" w:hAnsi="Times New Roman" w:cs="Times New Roman"/>
                      <w:b/>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112</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Podľa názoru predkladateľa ide o pozitívny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 nakoľko umožňuje spoločnostiam s previazaným kapitálom transformáciu zjednodušeným spôsobom. Takáto právna úprava už je v aktuálne platnej právnej účinná ako transpozícia pôvodnej smernice o zlúčeniach a splynutiach akciových spoločností (EÚ) 2011/35.</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119 ods. 1, písm. a), b)</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Smernica v prílohe II stanovuje ako kapitálové spoločnosti, na ktoré sa ustanovenia smernice aplikujú spoločnosť s ručením obmedzeným a akciovú spoločnosť.</w:t>
                  </w:r>
                </w:p>
                <w:p w:rsid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Navrhovaná právna úprava po vzore aj aktuálne účinnej úpravy Obchodného zákonníka rozširuje možnosť cezhraničnej fúzie aj na komanditnú spoločnosť a verejnú obchodnú spoločnosť (družstvo je, naopak, z aplikácie vylúčené). Predkladateľ považuje tento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 xml:space="preserve"> za pozitívny.</w:t>
                  </w:r>
                </w:p>
                <w:p w:rsidR="007332F5" w:rsidRDefault="007332F5" w:rsidP="007332F5">
                  <w:pPr>
                    <w:spacing w:after="0"/>
                    <w:jc w:val="both"/>
                    <w:rPr>
                      <w:rFonts w:ascii="Times New Roman" w:hAnsi="Times New Roman" w:cs="Times New Roman"/>
                      <w:sz w:val="20"/>
                      <w:szCs w:val="20"/>
                    </w:rPr>
                  </w:pPr>
                </w:p>
                <w:p w:rsidR="007332F5" w:rsidRPr="007332F5" w:rsidRDefault="007332F5" w:rsidP="007332F5">
                  <w:pPr>
                    <w:pStyle w:val="Odsekzoznamu"/>
                    <w:numPr>
                      <w:ilvl w:val="0"/>
                      <w:numId w:val="2"/>
                    </w:numPr>
                    <w:spacing w:after="0"/>
                    <w:jc w:val="both"/>
                    <w:rPr>
                      <w:rFonts w:ascii="Times New Roman" w:hAnsi="Times New Roman" w:cs="Times New Roman"/>
                      <w:b/>
                      <w:sz w:val="20"/>
                      <w:szCs w:val="20"/>
                    </w:rPr>
                  </w:pPr>
                  <w:r w:rsidRPr="007332F5">
                    <w:rPr>
                      <w:rFonts w:ascii="Times New Roman" w:hAnsi="Times New Roman" w:cs="Times New Roman"/>
                      <w:b/>
                      <w:sz w:val="20"/>
                      <w:szCs w:val="20"/>
                    </w:rPr>
                    <w:t xml:space="preserve">Článok 120 ods. 5 písm. a) </w:t>
                  </w:r>
                </w:p>
                <w:p w:rsidR="007332F5" w:rsidRDefault="007332F5" w:rsidP="007332F5">
                  <w:pPr>
                    <w:spacing w:after="0"/>
                    <w:jc w:val="both"/>
                    <w:rPr>
                      <w:rFonts w:ascii="Times New Roman" w:hAnsi="Times New Roman" w:cs="Times New Roman"/>
                      <w:sz w:val="20"/>
                      <w:szCs w:val="20"/>
                    </w:rPr>
                  </w:pPr>
                  <w:r>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cezhraničnej premeny.</w:t>
                  </w:r>
                </w:p>
                <w:p w:rsidR="007332F5" w:rsidRDefault="007332F5" w:rsidP="007332F5">
                  <w:pPr>
                    <w:spacing w:after="0"/>
                    <w:jc w:val="both"/>
                    <w:rPr>
                      <w:rFonts w:ascii="Times New Roman" w:hAnsi="Times New Roman" w:cs="Times New Roman"/>
                      <w:sz w:val="20"/>
                      <w:szCs w:val="20"/>
                    </w:rPr>
                  </w:pPr>
                </w:p>
                <w:p w:rsidR="007332F5" w:rsidRDefault="007332F5" w:rsidP="007332F5">
                  <w:pPr>
                    <w:pStyle w:val="Odsekzoznamu"/>
                    <w:numPr>
                      <w:ilvl w:val="0"/>
                      <w:numId w:val="2"/>
                    </w:numPr>
                    <w:spacing w:after="0"/>
                    <w:jc w:val="both"/>
                    <w:rPr>
                      <w:rFonts w:ascii="Times New Roman" w:hAnsi="Times New Roman" w:cs="Times New Roman"/>
                      <w:b/>
                      <w:sz w:val="20"/>
                      <w:szCs w:val="20"/>
                    </w:rPr>
                  </w:pPr>
                  <w:r w:rsidRPr="007332F5">
                    <w:rPr>
                      <w:rFonts w:ascii="Times New Roman" w:hAnsi="Times New Roman" w:cs="Times New Roman"/>
                      <w:b/>
                      <w:sz w:val="20"/>
                      <w:szCs w:val="20"/>
                    </w:rPr>
                    <w:t xml:space="preserve">Článok 120 ods. 5 písm. b) </w:t>
                  </w:r>
                </w:p>
                <w:p w:rsidR="007332F5" w:rsidRDefault="007332F5" w:rsidP="007332F5">
                  <w:pPr>
                    <w:spacing w:after="0"/>
                    <w:jc w:val="both"/>
                    <w:rPr>
                      <w:rFonts w:ascii="Times New Roman" w:hAnsi="Times New Roman" w:cs="Times New Roman"/>
                      <w:sz w:val="20"/>
                      <w:szCs w:val="20"/>
                    </w:rPr>
                  </w:pPr>
                  <w:r>
                    <w:rPr>
                      <w:rFonts w:ascii="Times New Roman" w:hAnsi="Times New Roman" w:cs="Times New Roman"/>
                      <w:sz w:val="20"/>
                      <w:szCs w:val="20"/>
                    </w:rPr>
                    <w:t>Predkladateľ považuje za nevyhnutné, vzhľadom na ochranu veriteľov, aby v prípade, že sa voči spoločnosti vedie konanie o jej zrušení,  bolo prítomné obmedzenie cezhraničnej premeny.</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 xml:space="preserve">Článok 124 ods. 4 druhá veta </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Predkladateľ uvedenú úpravu považuje za pozitívny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 pretože ak má spoločnosť jediného spoločníka, nie je potrebné vypracúvať správu štatutárneho orgánu, čím sa znižuje záťaž na spoločnosť.</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 xml:space="preserve">Článok 125 ods. 4 druhý </w:t>
                  </w:r>
                  <w:proofErr w:type="spellStart"/>
                  <w:r w:rsidRPr="007E6014">
                    <w:rPr>
                      <w:rFonts w:ascii="Times New Roman" w:hAnsi="Times New Roman" w:cs="Times New Roman"/>
                      <w:b/>
                      <w:sz w:val="20"/>
                      <w:szCs w:val="20"/>
                    </w:rPr>
                    <w:t>pododsek</w:t>
                  </w:r>
                  <w:proofErr w:type="spellEnd"/>
                </w:p>
                <w:p w:rsidR="00014874" w:rsidRDefault="00014874" w:rsidP="00014874">
                  <w:pPr>
                    <w:spacing w:after="0"/>
                    <w:jc w:val="both"/>
                    <w:rPr>
                      <w:rFonts w:ascii="Times New Roman" w:hAnsi="Times New Roman" w:cs="Times New Roman"/>
                      <w:sz w:val="20"/>
                      <w:szCs w:val="20"/>
                    </w:rPr>
                  </w:pPr>
                  <w:r w:rsidRPr="00014874">
                    <w:rPr>
                      <w:rFonts w:ascii="Times New Roman" w:hAnsi="Times New Roman" w:cs="Times New Roman"/>
                      <w:sz w:val="20"/>
                      <w:szCs w:val="20"/>
                    </w:rPr>
                    <w:t xml:space="preserve">Predkladateľ uvedenú úpravu považuje za pozitívny </w:t>
                  </w:r>
                  <w:proofErr w:type="spellStart"/>
                  <w:r w:rsidRPr="00014874">
                    <w:rPr>
                      <w:rFonts w:ascii="Times New Roman" w:hAnsi="Times New Roman" w:cs="Times New Roman"/>
                      <w:sz w:val="20"/>
                      <w:szCs w:val="20"/>
                    </w:rPr>
                    <w:t>goldplating</w:t>
                  </w:r>
                  <w:proofErr w:type="spellEnd"/>
                  <w:r w:rsidRPr="00014874">
                    <w:rPr>
                      <w:rFonts w:ascii="Times New Roman" w:hAnsi="Times New Roman" w:cs="Times New Roman"/>
                      <w:sz w:val="20"/>
                      <w:szCs w:val="20"/>
                    </w:rPr>
                    <w:t>, pretože ak má spoločnosť jediného spoločníka, nie je potrebné vypracúvať správu audítora, čím sa znižuje záťaž na spoločnosť.</w:t>
                  </w:r>
                </w:p>
                <w:p w:rsidR="00014874" w:rsidRDefault="00014874" w:rsidP="00014874">
                  <w:pPr>
                    <w:spacing w:after="0"/>
                    <w:jc w:val="both"/>
                    <w:rPr>
                      <w:rFonts w:ascii="Times New Roman" w:hAnsi="Times New Roman" w:cs="Times New Roman"/>
                      <w:sz w:val="20"/>
                      <w:szCs w:val="20"/>
                    </w:rPr>
                  </w:pPr>
                </w:p>
                <w:p w:rsidR="00014874" w:rsidRPr="00014874" w:rsidRDefault="00014874" w:rsidP="00014874">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 xml:space="preserve">Článok 126a ods. 6 druhý </w:t>
                  </w:r>
                  <w:proofErr w:type="spellStart"/>
                  <w:r w:rsidRPr="00014874">
                    <w:rPr>
                      <w:rFonts w:ascii="Times New Roman" w:hAnsi="Times New Roman" w:cs="Times New Roman"/>
                      <w:b/>
                      <w:sz w:val="20"/>
                      <w:szCs w:val="20"/>
                    </w:rPr>
                    <w:t>pododsek</w:t>
                  </w:r>
                  <w:proofErr w:type="spellEnd"/>
                </w:p>
                <w:p w:rsidR="00014874" w:rsidRDefault="00014874" w:rsidP="00014874">
                  <w:pPr>
                    <w:spacing w:after="0"/>
                    <w:jc w:val="both"/>
                    <w:rPr>
                      <w:rFonts w:ascii="Times New Roman" w:hAnsi="Times New Roman" w:cs="Times New Roman"/>
                      <w:sz w:val="20"/>
                      <w:szCs w:val="20"/>
                    </w:rPr>
                  </w:pPr>
                  <w:r w:rsidRPr="00374233">
                    <w:rPr>
                      <w:rFonts w:ascii="Times New Roman" w:hAnsi="Times New Roman" w:cs="Times New Roman"/>
                      <w:sz w:val="20"/>
                      <w:szCs w:val="20"/>
                    </w:rPr>
                    <w:lastRenderedPageBreak/>
                    <w:t>Predkladateľ považuje za vhodné upraviť záväznosť rozhodnutia súdu o určení výšky doplatku aj pre akcionárov, ktorí výšku nenamietali, a to z dôvodu zásady rovnakého zaobchádzania s akcionármi.</w:t>
                  </w:r>
                </w:p>
                <w:p w:rsidR="00F81E45" w:rsidRDefault="00F81E45" w:rsidP="00014874">
                  <w:pPr>
                    <w:spacing w:after="0"/>
                    <w:jc w:val="both"/>
                    <w:rPr>
                      <w:rFonts w:ascii="Times New Roman" w:hAnsi="Times New Roman" w:cs="Times New Roman"/>
                      <w:sz w:val="20"/>
                      <w:szCs w:val="20"/>
                    </w:rPr>
                  </w:pPr>
                </w:p>
                <w:p w:rsidR="00014874" w:rsidRPr="00014874" w:rsidRDefault="00014874" w:rsidP="00014874">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Článok 135 ods. 1</w:t>
                  </w:r>
                </w:p>
                <w:p w:rsidR="00014874" w:rsidRDefault="00014874" w:rsidP="00014874">
                  <w:pPr>
                    <w:spacing w:after="0"/>
                    <w:jc w:val="both"/>
                    <w:rPr>
                      <w:rFonts w:ascii="Times New Roman" w:hAnsi="Times New Roman" w:cs="Times New Roman"/>
                      <w:sz w:val="20"/>
                      <w:szCs w:val="20"/>
                    </w:rPr>
                  </w:pPr>
                  <w:r w:rsidRPr="0023436E">
                    <w:rPr>
                      <w:rFonts w:ascii="Times New Roman" w:hAnsi="Times New Roman" w:cs="Times New Roman"/>
                      <w:sz w:val="20"/>
                      <w:szCs w:val="20"/>
                    </w:rPr>
                    <w:t xml:space="preserve">Predkladateľ považuje za vhodné umožniť spoločnostiam vykonať rozdelenie zlúčením v prípade ich transformácie. Predmetná právna úprava je už obsiahnutá v aktuálne účinnom znení § 69 odsek 4 Obchodného zákonníka, a do slovenského právneho poriadku bola zavedená ako transpozícia smernice 82/891/EHS, ktorá je v súčasnosti neúčinná a bola nahradená smernicou (EÚ) 2017/1132. Predkladateľ hodnotí takýto </w:t>
                  </w:r>
                  <w:proofErr w:type="spellStart"/>
                  <w:r w:rsidRPr="0023436E">
                    <w:rPr>
                      <w:rFonts w:ascii="Times New Roman" w:hAnsi="Times New Roman" w:cs="Times New Roman"/>
                      <w:sz w:val="20"/>
                      <w:szCs w:val="20"/>
                    </w:rPr>
                    <w:t>goldplating</w:t>
                  </w:r>
                  <w:proofErr w:type="spellEnd"/>
                  <w:r w:rsidRPr="0023436E">
                    <w:rPr>
                      <w:rFonts w:ascii="Times New Roman" w:hAnsi="Times New Roman" w:cs="Times New Roman"/>
                      <w:sz w:val="20"/>
                      <w:szCs w:val="20"/>
                    </w:rPr>
                    <w:t xml:space="preserve"> ako pozitívny.</w:t>
                  </w:r>
                </w:p>
                <w:p w:rsidR="00014874" w:rsidRDefault="00014874" w:rsidP="00014874">
                  <w:pPr>
                    <w:spacing w:after="0"/>
                    <w:jc w:val="both"/>
                    <w:rPr>
                      <w:rFonts w:ascii="Times New Roman" w:hAnsi="Times New Roman" w:cs="Times New Roman"/>
                      <w:sz w:val="20"/>
                      <w:szCs w:val="20"/>
                    </w:rPr>
                  </w:pPr>
                </w:p>
                <w:p w:rsidR="00014874" w:rsidRPr="00014874" w:rsidRDefault="00014874" w:rsidP="00014874">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Článok 135 ods. 2</w:t>
                  </w:r>
                </w:p>
                <w:p w:rsidR="00014874" w:rsidRDefault="00014874" w:rsidP="00014874">
                  <w:pPr>
                    <w:spacing w:after="0"/>
                    <w:jc w:val="both"/>
                    <w:rPr>
                      <w:rFonts w:ascii="Times New Roman" w:hAnsi="Times New Roman" w:cs="Times New Roman"/>
                      <w:sz w:val="20"/>
                      <w:szCs w:val="20"/>
                    </w:rPr>
                  </w:pPr>
                  <w:r w:rsidRPr="0023436E">
                    <w:rPr>
                      <w:rFonts w:ascii="Times New Roman" w:hAnsi="Times New Roman" w:cs="Times New Roman"/>
                      <w:sz w:val="20"/>
                      <w:szCs w:val="20"/>
                    </w:rPr>
                    <w:t xml:space="preserve">Predkladateľ považuje za vhodné umožniť spoločnostiam vykonať rozdelenie splynutím v prípade ich transformácie. Predmetná právna úprava je už obsiahnutá v aktuálne účinnom znení § 69 Obchodného zákonníka a do slovenského právneho poriadku bola zavedená ako transpozícia smernice 82/891/EHS, ktorá je v súčasnosti neúčinná a bola nahradená smernicou (EÚ) 2017/1132. Predkladateľ hodnotí takýto </w:t>
                  </w:r>
                  <w:proofErr w:type="spellStart"/>
                  <w:r w:rsidRPr="0023436E">
                    <w:rPr>
                      <w:rFonts w:ascii="Times New Roman" w:hAnsi="Times New Roman" w:cs="Times New Roman"/>
                      <w:sz w:val="20"/>
                      <w:szCs w:val="20"/>
                    </w:rPr>
                    <w:t>goldplating</w:t>
                  </w:r>
                  <w:proofErr w:type="spellEnd"/>
                  <w:r w:rsidRPr="0023436E">
                    <w:rPr>
                      <w:rFonts w:ascii="Times New Roman" w:hAnsi="Times New Roman" w:cs="Times New Roman"/>
                      <w:sz w:val="20"/>
                      <w:szCs w:val="20"/>
                    </w:rPr>
                    <w:t xml:space="preserve"> ako pozitívny.</w:t>
                  </w:r>
                </w:p>
                <w:p w:rsidR="00014874" w:rsidRDefault="00014874" w:rsidP="00014874">
                  <w:pPr>
                    <w:spacing w:after="0"/>
                    <w:jc w:val="both"/>
                    <w:rPr>
                      <w:rFonts w:ascii="Times New Roman" w:hAnsi="Times New Roman" w:cs="Times New Roman"/>
                      <w:sz w:val="20"/>
                      <w:szCs w:val="20"/>
                    </w:rPr>
                  </w:pPr>
                </w:p>
                <w:p w:rsidR="00014874" w:rsidRPr="00014874" w:rsidRDefault="00014874" w:rsidP="00014874">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Článok 135 ods. 3</w:t>
                  </w:r>
                </w:p>
                <w:p w:rsidR="00014874" w:rsidRDefault="00014874" w:rsidP="00014874">
                  <w:pPr>
                    <w:spacing w:after="0"/>
                    <w:jc w:val="both"/>
                    <w:rPr>
                      <w:rFonts w:ascii="Times New Roman" w:hAnsi="Times New Roman" w:cs="Times New Roman"/>
                      <w:sz w:val="20"/>
                      <w:szCs w:val="20"/>
                    </w:rPr>
                  </w:pPr>
                  <w:r w:rsidRPr="0023436E">
                    <w:rPr>
                      <w:rFonts w:ascii="Times New Roman" w:hAnsi="Times New Roman" w:cs="Times New Roman"/>
                      <w:sz w:val="20"/>
                      <w:szCs w:val="20"/>
                    </w:rPr>
                    <w:t xml:space="preserve">Predkladateľ považuje za vhodné umožniť spoločnostiam vykonať rozdelenie zlúčením v kombinácii s rozdelením splynutím v prípade ich transformácie. Predkladateľ hodnotí takýto </w:t>
                  </w:r>
                  <w:proofErr w:type="spellStart"/>
                  <w:r w:rsidRPr="0023436E">
                    <w:rPr>
                      <w:rFonts w:ascii="Times New Roman" w:hAnsi="Times New Roman" w:cs="Times New Roman"/>
                      <w:sz w:val="20"/>
                      <w:szCs w:val="20"/>
                    </w:rPr>
                    <w:t>goldplating</w:t>
                  </w:r>
                  <w:proofErr w:type="spellEnd"/>
                  <w:r w:rsidRPr="0023436E">
                    <w:rPr>
                      <w:rFonts w:ascii="Times New Roman" w:hAnsi="Times New Roman" w:cs="Times New Roman"/>
                      <w:sz w:val="20"/>
                      <w:szCs w:val="20"/>
                    </w:rPr>
                    <w:t xml:space="preserve"> ako pozitívny</w:t>
                  </w:r>
                </w:p>
                <w:p w:rsidR="00014874" w:rsidRDefault="00014874" w:rsidP="00014874">
                  <w:pPr>
                    <w:spacing w:after="0"/>
                    <w:jc w:val="both"/>
                    <w:rPr>
                      <w:rFonts w:ascii="Times New Roman" w:hAnsi="Times New Roman" w:cs="Times New Roman"/>
                      <w:sz w:val="20"/>
                      <w:szCs w:val="20"/>
                    </w:rPr>
                  </w:pPr>
                </w:p>
                <w:p w:rsidR="00014874" w:rsidRPr="00014874" w:rsidRDefault="00014874" w:rsidP="00014874">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 xml:space="preserve">Článok 137 ods. 3 druhý </w:t>
                  </w:r>
                  <w:proofErr w:type="spellStart"/>
                  <w:r w:rsidRPr="00014874">
                    <w:rPr>
                      <w:rFonts w:ascii="Times New Roman" w:hAnsi="Times New Roman" w:cs="Times New Roman"/>
                      <w:b/>
                      <w:sz w:val="20"/>
                      <w:szCs w:val="20"/>
                    </w:rPr>
                    <w:t>pododsek</w:t>
                  </w:r>
                  <w:proofErr w:type="spellEnd"/>
                  <w:r w:rsidRPr="00014874">
                    <w:rPr>
                      <w:rFonts w:ascii="Times New Roman" w:hAnsi="Times New Roman" w:cs="Times New Roman"/>
                      <w:b/>
                      <w:sz w:val="20"/>
                      <w:szCs w:val="20"/>
                    </w:rPr>
                    <w:t xml:space="preserve"> druhá veta</w:t>
                  </w:r>
                </w:p>
                <w:p w:rsidR="00014874" w:rsidRPr="00663DE2" w:rsidRDefault="00014874" w:rsidP="00014874">
                  <w:pPr>
                    <w:spacing w:after="0"/>
                    <w:jc w:val="both"/>
                    <w:rPr>
                      <w:rFonts w:ascii="Times New Roman" w:hAnsi="Times New Roman" w:cs="Times New Roman"/>
                      <w:sz w:val="20"/>
                      <w:szCs w:val="20"/>
                    </w:rPr>
                  </w:pPr>
                  <w:r w:rsidRPr="00262911">
                    <w:rPr>
                      <w:rFonts w:ascii="Times New Roman" w:hAnsi="Times New Roman" w:cs="Times New Roman"/>
                      <w:sz w:val="20"/>
                      <w:szCs w:val="20"/>
                    </w:rPr>
                    <w:t xml:space="preserve">Predkladateľ považuje za vhodné zaviesť predmetnú úpravu, nakoľko je pre spoločnosti férovejšie, ak je ručenie obmedzený do výšky majetku, ktorý na </w:t>
                  </w:r>
                  <w:proofErr w:type="spellStart"/>
                  <w:r w:rsidRPr="00262911">
                    <w:rPr>
                      <w:rFonts w:ascii="Times New Roman" w:hAnsi="Times New Roman" w:cs="Times New Roman"/>
                      <w:sz w:val="20"/>
                      <w:szCs w:val="20"/>
                    </w:rPr>
                    <w:t>ne</w:t>
                  </w:r>
                  <w:proofErr w:type="spellEnd"/>
                  <w:r w:rsidRPr="00262911">
                    <w:rPr>
                      <w:rFonts w:ascii="Times New Roman" w:hAnsi="Times New Roman" w:cs="Times New Roman"/>
                      <w:sz w:val="20"/>
                      <w:szCs w:val="20"/>
                    </w:rPr>
                    <w:t xml:space="preserve"> prešiel v rámci rozdelenia. Rovnako sa tak úprava vnútroštátneho rozdelenia zosúlaďuje s úpravou cezhraničných rozdelení.</w:t>
                  </w:r>
                </w:p>
                <w:p w:rsidR="00014874" w:rsidRDefault="00014874" w:rsidP="00014874">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140</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Podľa názoru predkladateľa ide o pozitívny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 nakoľko umožňuje spoločnostiam s previazaným kapitálom transformáciu zjednodušeným spôsobom. Takáto právna úprava už je v aktuálne platnej právnej účinná ako transpozícia pôvodnej smernice o zlúčeniach a splynutiach akciových spoločností (EÚ) 2011/35.</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141 ods. 2 druhá veta</w:t>
                  </w:r>
                </w:p>
                <w:p w:rsid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Cieľom predkladanej právnej úpravy je umožniť spoločnostiam, aby sa na príprave správy mohli podieľať aj viacerí audítori, ak sa tak spoločnosti dohodnú. Ustanovenie sa použije popri </w:t>
                  </w:r>
                  <w:proofErr w:type="spellStart"/>
                  <w:r w:rsidRPr="007D0EE1">
                    <w:rPr>
                      <w:rFonts w:ascii="Times New Roman" w:hAnsi="Times New Roman" w:cs="Times New Roman"/>
                      <w:sz w:val="20"/>
                      <w:szCs w:val="20"/>
                    </w:rPr>
                    <w:t>defaultnom</w:t>
                  </w:r>
                  <w:proofErr w:type="spellEnd"/>
                  <w:r w:rsidRPr="007D0EE1">
                    <w:rPr>
                      <w:rFonts w:ascii="Times New Roman" w:hAnsi="Times New Roman" w:cs="Times New Roman"/>
                      <w:sz w:val="20"/>
                      <w:szCs w:val="20"/>
                    </w:rPr>
                    <w:t xml:space="preserve"> ustanovení o jednom spoločnom audítorovi.</w:t>
                  </w:r>
                </w:p>
                <w:p w:rsidR="00014874" w:rsidRDefault="00014874" w:rsidP="007D0EE1">
                  <w:pPr>
                    <w:spacing w:after="0"/>
                    <w:jc w:val="both"/>
                    <w:rPr>
                      <w:rFonts w:ascii="Times New Roman" w:hAnsi="Times New Roman" w:cs="Times New Roman"/>
                      <w:sz w:val="20"/>
                      <w:szCs w:val="20"/>
                    </w:rPr>
                  </w:pPr>
                </w:p>
                <w:p w:rsidR="00014874" w:rsidRPr="00014874" w:rsidRDefault="00014874" w:rsidP="00014874">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 xml:space="preserve">Článok 143 ods. 4 </w:t>
                  </w:r>
                  <w:proofErr w:type="spellStart"/>
                  <w:r w:rsidRPr="00014874">
                    <w:rPr>
                      <w:rFonts w:ascii="Times New Roman" w:hAnsi="Times New Roman" w:cs="Times New Roman"/>
                      <w:b/>
                      <w:sz w:val="20"/>
                      <w:szCs w:val="20"/>
                    </w:rPr>
                    <w:t>pododsek</w:t>
                  </w:r>
                  <w:proofErr w:type="spellEnd"/>
                  <w:r w:rsidRPr="00014874">
                    <w:rPr>
                      <w:rFonts w:ascii="Times New Roman" w:hAnsi="Times New Roman" w:cs="Times New Roman"/>
                      <w:b/>
                      <w:sz w:val="20"/>
                      <w:szCs w:val="20"/>
                    </w:rPr>
                    <w:t xml:space="preserve"> 3 prvá veta</w:t>
                  </w:r>
                </w:p>
                <w:p w:rsidR="00014874" w:rsidRPr="00034588" w:rsidRDefault="00014874" w:rsidP="00014874">
                  <w:pPr>
                    <w:spacing w:after="0"/>
                    <w:jc w:val="both"/>
                    <w:rPr>
                      <w:rFonts w:ascii="Times New Roman" w:hAnsi="Times New Roman" w:cs="Times New Roman"/>
                      <w:sz w:val="20"/>
                      <w:szCs w:val="20"/>
                    </w:rPr>
                  </w:pPr>
                  <w:r w:rsidRPr="00034588">
                    <w:rPr>
                      <w:rFonts w:ascii="Times New Roman" w:hAnsi="Times New Roman" w:cs="Times New Roman"/>
                      <w:sz w:val="20"/>
                      <w:szCs w:val="20"/>
                    </w:rPr>
                    <w:t>Predkladateľ má za to, že vo vzťahu k spoločníkom, je vhodné vyžadovať, aby dokumenty týkajúce sa transakcie ostali na webovom sídle spoločnosti, a to napríklad pre prípad, že by spoločník chcel žalovať spoločnosť o určenie výmenného pomeru akcií, primeraný peňažný doplatok</w:t>
                  </w:r>
                </w:p>
                <w:p w:rsidR="00014874" w:rsidRDefault="00014874" w:rsidP="00014874">
                  <w:pPr>
                    <w:spacing w:after="0"/>
                    <w:jc w:val="both"/>
                    <w:rPr>
                      <w:rFonts w:ascii="Times New Roman" w:hAnsi="Times New Roman" w:cs="Times New Roman"/>
                      <w:sz w:val="20"/>
                      <w:szCs w:val="20"/>
                    </w:rPr>
                  </w:pPr>
                </w:p>
                <w:p w:rsidR="00014874" w:rsidRPr="00014874" w:rsidRDefault="00014874" w:rsidP="00014874">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 xml:space="preserve">Článok 143 ods. 4 </w:t>
                  </w:r>
                  <w:proofErr w:type="spellStart"/>
                  <w:r w:rsidRPr="00014874">
                    <w:rPr>
                      <w:rFonts w:ascii="Times New Roman" w:hAnsi="Times New Roman" w:cs="Times New Roman"/>
                      <w:b/>
                      <w:sz w:val="20"/>
                      <w:szCs w:val="20"/>
                    </w:rPr>
                    <w:t>pododsek</w:t>
                  </w:r>
                  <w:proofErr w:type="spellEnd"/>
                  <w:r w:rsidRPr="00014874">
                    <w:rPr>
                      <w:rFonts w:ascii="Times New Roman" w:hAnsi="Times New Roman" w:cs="Times New Roman"/>
                      <w:b/>
                      <w:sz w:val="20"/>
                      <w:szCs w:val="20"/>
                    </w:rPr>
                    <w:t xml:space="preserve"> 3 druhá veta</w:t>
                  </w:r>
                </w:p>
                <w:p w:rsidR="00014874" w:rsidRDefault="00014874" w:rsidP="00014874">
                  <w:pPr>
                    <w:spacing w:after="0"/>
                    <w:jc w:val="both"/>
                    <w:rPr>
                      <w:rFonts w:ascii="Times New Roman" w:hAnsi="Times New Roman" w:cs="Times New Roman"/>
                      <w:sz w:val="20"/>
                      <w:szCs w:val="20"/>
                    </w:rPr>
                  </w:pPr>
                  <w:r w:rsidRPr="00034588">
                    <w:rPr>
                      <w:rFonts w:ascii="Times New Roman" w:hAnsi="Times New Roman" w:cs="Times New Roman"/>
                      <w:sz w:val="20"/>
                      <w:szCs w:val="20"/>
                    </w:rPr>
                    <w:t>Z dôvodu ochrany spoločnosti zúčastnenej na premene je nevyhnutné určiť, že v prípade prerušenia uverejnenia dokumentov na stránke uvedené nemá vplyv na platnosť uznesenia valného zhromaždenia, ak si spoločnosť riadne splní svoju povinnosť podľa odseku 1.</w:t>
                  </w:r>
                </w:p>
                <w:p w:rsidR="00014874" w:rsidRPr="007D0EE1" w:rsidRDefault="00014874"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144 ods. 2</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Predmetné ustanovenie bolo transponované čo do opcie </w:t>
                  </w:r>
                  <w:r w:rsidR="00F81E45">
                    <w:rPr>
                      <w:rFonts w:ascii="Times New Roman" w:hAnsi="Times New Roman" w:cs="Times New Roman"/>
                      <w:sz w:val="20"/>
                      <w:szCs w:val="20"/>
                    </w:rPr>
                    <w:t>čl. 141 a čl. 143 ods. 1 písm. d</w:t>
                  </w:r>
                  <w:r w:rsidRPr="007D0EE1">
                    <w:rPr>
                      <w:rFonts w:ascii="Times New Roman" w:hAnsi="Times New Roman" w:cs="Times New Roman"/>
                      <w:sz w:val="20"/>
                      <w:szCs w:val="20"/>
                    </w:rPr>
                    <w:t>).</w:t>
                  </w:r>
                </w:p>
                <w:p w:rsidR="003030F6"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Čo sa týka čl. 143 ods. 1 písm. c), opcia využitá nebola.</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Cieľom ustanovenia je umožniť akcionárom spoločnosti rozhodnúť o tom, že sa nebude vypracúvať správa predstavenstva a znížiť tak administratívnu záťaž spoločnosti. </w:t>
                  </w:r>
                </w:p>
                <w:p w:rsid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Rovnako je cieľom umožniť akcionárom rozhodnúť, že priebežná účtovná závierka nebude zverejnená online. Predkladateľ má za to, že oproti minimálnej ú</w:t>
                  </w:r>
                  <w:r w:rsidR="0005074B">
                    <w:rPr>
                      <w:rFonts w:ascii="Times New Roman" w:hAnsi="Times New Roman" w:cs="Times New Roman"/>
                      <w:sz w:val="20"/>
                      <w:szCs w:val="20"/>
                    </w:rPr>
                    <w:t>pra</w:t>
                  </w:r>
                  <w:r w:rsidRPr="007D0EE1">
                    <w:rPr>
                      <w:rFonts w:ascii="Times New Roman" w:hAnsi="Times New Roman" w:cs="Times New Roman"/>
                      <w:sz w:val="20"/>
                      <w:szCs w:val="20"/>
                    </w:rPr>
                    <w:t xml:space="preserve">ve stanovenej smernicou ide o pozitívy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w:t>
                  </w:r>
                </w:p>
                <w:p w:rsidR="00AD7DCE" w:rsidRDefault="00AD7DCE" w:rsidP="007D0EE1">
                  <w:pPr>
                    <w:spacing w:after="0"/>
                    <w:jc w:val="both"/>
                    <w:rPr>
                      <w:rFonts w:ascii="Times New Roman" w:hAnsi="Times New Roman" w:cs="Times New Roman"/>
                      <w:sz w:val="20"/>
                      <w:szCs w:val="20"/>
                    </w:rPr>
                  </w:pPr>
                </w:p>
                <w:p w:rsidR="00AD7DCE" w:rsidRDefault="00AD7DCE" w:rsidP="00AD7DCE">
                  <w:pPr>
                    <w:pStyle w:val="Odsekzoznamu"/>
                    <w:numPr>
                      <w:ilvl w:val="0"/>
                      <w:numId w:val="2"/>
                    </w:numPr>
                    <w:spacing w:after="0"/>
                    <w:jc w:val="both"/>
                    <w:rPr>
                      <w:rFonts w:ascii="Times New Roman" w:hAnsi="Times New Roman" w:cs="Times New Roman"/>
                      <w:b/>
                      <w:sz w:val="20"/>
                      <w:szCs w:val="20"/>
                    </w:rPr>
                  </w:pPr>
                  <w:r w:rsidRPr="00AD7DCE">
                    <w:rPr>
                      <w:rFonts w:ascii="Times New Roman" w:hAnsi="Times New Roman" w:cs="Times New Roman"/>
                      <w:b/>
                      <w:sz w:val="20"/>
                      <w:szCs w:val="20"/>
                    </w:rPr>
                    <w:t>Článok 146 ods. 3 druhá veta</w:t>
                  </w:r>
                </w:p>
                <w:p w:rsidR="007D0EE1" w:rsidRDefault="00923E5E" w:rsidP="007D0EE1">
                  <w:pPr>
                    <w:spacing w:after="0"/>
                    <w:jc w:val="both"/>
                    <w:rPr>
                      <w:rFonts w:ascii="Times New Roman" w:hAnsi="Times New Roman" w:cs="Times New Roman"/>
                      <w:sz w:val="20"/>
                      <w:szCs w:val="20"/>
                    </w:rPr>
                  </w:pPr>
                  <w:r w:rsidRPr="00923E5E">
                    <w:rPr>
                      <w:rFonts w:ascii="Times New Roman" w:hAnsi="Times New Roman" w:cs="Times New Roman"/>
                      <w:sz w:val="20"/>
                      <w:szCs w:val="20"/>
                    </w:rPr>
                    <w:t>Predkladateľ považuje ručenie do výšky čistého obchodného imania, ktoré na spoločnosť prešlo za spravodlivejšie voči spoločnostiam, ako keby mali ručiť celým svojím majetkom, pričom sa zároveň zachováva dostatočná úroveň ochrany veriteľov.</w:t>
                  </w:r>
                </w:p>
                <w:p w:rsidR="00923E5E" w:rsidRDefault="00923E5E" w:rsidP="007D0EE1">
                  <w:pPr>
                    <w:spacing w:after="0"/>
                    <w:jc w:val="both"/>
                    <w:rPr>
                      <w:rFonts w:ascii="Times New Roman" w:hAnsi="Times New Roman" w:cs="Times New Roman"/>
                      <w:sz w:val="20"/>
                      <w:szCs w:val="20"/>
                    </w:rPr>
                  </w:pPr>
                </w:p>
                <w:p w:rsidR="00AD7DCE" w:rsidRDefault="00AD7DCE" w:rsidP="00AD7DCE">
                  <w:pPr>
                    <w:pStyle w:val="Odsekzoznamu"/>
                    <w:numPr>
                      <w:ilvl w:val="0"/>
                      <w:numId w:val="2"/>
                    </w:numPr>
                    <w:spacing w:after="0"/>
                    <w:jc w:val="both"/>
                    <w:rPr>
                      <w:rFonts w:ascii="Times New Roman" w:hAnsi="Times New Roman" w:cs="Times New Roman"/>
                      <w:b/>
                      <w:sz w:val="20"/>
                      <w:szCs w:val="20"/>
                    </w:rPr>
                  </w:pPr>
                  <w:r w:rsidRPr="00AD7DCE">
                    <w:rPr>
                      <w:rFonts w:ascii="Times New Roman" w:hAnsi="Times New Roman" w:cs="Times New Roman"/>
                      <w:b/>
                      <w:sz w:val="20"/>
                      <w:szCs w:val="20"/>
                    </w:rPr>
                    <w:t>Článok 146 ods. 6</w:t>
                  </w:r>
                </w:p>
                <w:p w:rsidR="00AD7DCE" w:rsidRDefault="00AD7DCE" w:rsidP="00AD7DCE">
                  <w:pPr>
                    <w:spacing w:after="0"/>
                    <w:jc w:val="both"/>
                    <w:rPr>
                      <w:rFonts w:ascii="Times New Roman" w:hAnsi="Times New Roman" w:cs="Times New Roman"/>
                      <w:sz w:val="20"/>
                      <w:szCs w:val="20"/>
                    </w:rPr>
                  </w:pPr>
                  <w:r w:rsidRPr="00297D91">
                    <w:rPr>
                      <w:rFonts w:ascii="Times New Roman" w:hAnsi="Times New Roman" w:cs="Times New Roman"/>
                      <w:sz w:val="20"/>
                      <w:szCs w:val="20"/>
                    </w:rPr>
                    <w:t>Predkladateľ považuje solidárne ručenie spoločností za dôležitý nástroj ochrany veriteľov pri rozdelení.</w:t>
                  </w:r>
                </w:p>
                <w:p w:rsidR="00AD7DCE" w:rsidRDefault="00AD7DCE" w:rsidP="00AD7DCE">
                  <w:pPr>
                    <w:spacing w:after="0"/>
                    <w:jc w:val="both"/>
                    <w:rPr>
                      <w:rFonts w:ascii="Times New Roman" w:hAnsi="Times New Roman" w:cs="Times New Roman"/>
                      <w:b/>
                      <w:sz w:val="20"/>
                      <w:szCs w:val="20"/>
                    </w:rPr>
                  </w:pPr>
                </w:p>
                <w:p w:rsidR="00AD7DCE" w:rsidRDefault="00AD7DCE" w:rsidP="00AD7DCE">
                  <w:pPr>
                    <w:pStyle w:val="Odsekzoznamu"/>
                    <w:numPr>
                      <w:ilvl w:val="0"/>
                      <w:numId w:val="2"/>
                    </w:numPr>
                    <w:spacing w:after="0"/>
                    <w:jc w:val="both"/>
                    <w:rPr>
                      <w:rFonts w:ascii="Times New Roman" w:hAnsi="Times New Roman" w:cs="Times New Roman"/>
                      <w:b/>
                      <w:sz w:val="20"/>
                      <w:szCs w:val="20"/>
                    </w:rPr>
                  </w:pPr>
                  <w:r w:rsidRPr="00AD7DCE">
                    <w:rPr>
                      <w:rFonts w:ascii="Times New Roman" w:hAnsi="Times New Roman" w:cs="Times New Roman"/>
                      <w:b/>
                      <w:sz w:val="20"/>
                      <w:szCs w:val="20"/>
                    </w:rPr>
                    <w:t>Článok 146 ods. 7</w:t>
                  </w:r>
                </w:p>
                <w:p w:rsidR="00AD7DCE" w:rsidRDefault="00AD7DCE" w:rsidP="00AD7DCE">
                  <w:pPr>
                    <w:spacing w:after="0"/>
                    <w:jc w:val="both"/>
                    <w:rPr>
                      <w:rFonts w:ascii="Times New Roman" w:hAnsi="Times New Roman" w:cs="Times New Roman"/>
                      <w:sz w:val="20"/>
                      <w:szCs w:val="20"/>
                    </w:rPr>
                  </w:pPr>
                  <w:r w:rsidRPr="00681FD2">
                    <w:rPr>
                      <w:rFonts w:ascii="Times New Roman" w:hAnsi="Times New Roman" w:cs="Times New Roman"/>
                      <w:sz w:val="20"/>
                      <w:szCs w:val="20"/>
                    </w:rPr>
                    <w:t>Predkladateľ považuje ručenie do výšky čistého obchodného imania, ktoré na spoločnosť prešlo za spravodlivejšie voči spoločnostiam, ako keby mali ručiť celým svojím majetkom, pričom sa zároveň zachováva dostatočná úroveň ochrany veriteľov.</w:t>
                  </w:r>
                </w:p>
                <w:p w:rsidR="00AD7DCE" w:rsidRPr="00AD7DCE" w:rsidRDefault="00AD7DCE" w:rsidP="00AD7DCE">
                  <w:pPr>
                    <w:spacing w:after="0"/>
                    <w:jc w:val="both"/>
                    <w:rPr>
                      <w:rFonts w:ascii="Times New Roman" w:hAnsi="Times New Roman" w:cs="Times New Roman"/>
                      <w:b/>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160a ods. 5 písm. a)</w:t>
                  </w:r>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cezhraničného rozdelenia.</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160a ods. 5 písm. b)</w:t>
                  </w:r>
                </w:p>
                <w:p w:rsidR="007D0EE1" w:rsidRPr="007D0EE1" w:rsidRDefault="007D0EE1" w:rsidP="007D0EE1">
                  <w:pPr>
                    <w:spacing w:after="0"/>
                    <w:jc w:val="both"/>
                    <w:rPr>
                      <w:rFonts w:ascii="Times New Roman" w:hAnsi="Times New Roman" w:cs="Times New Roman"/>
                      <w:bCs/>
                      <w:sz w:val="20"/>
                      <w:szCs w:val="20"/>
                    </w:rPr>
                  </w:pPr>
                  <w:r w:rsidRPr="007D0EE1">
                    <w:rPr>
                      <w:rFonts w:ascii="Times New Roman" w:hAnsi="Times New Roman" w:cs="Times New Roman"/>
                      <w:bCs/>
                      <w:sz w:val="20"/>
                      <w:szCs w:val="20"/>
                    </w:rPr>
                    <w:t>Predkladateľ považuje za nevyhnutné, vzhľadom na ochranu veriteľov, aby v prípade, že sa voči spoločnosti vedie konanie o jej zrušení,  bolo prítomné obmedzenie cezhraničného rozdelenia.</w:t>
                  </w:r>
                </w:p>
                <w:p w:rsidR="007D0EE1" w:rsidRPr="007D0EE1" w:rsidRDefault="007D0EE1" w:rsidP="007D0EE1">
                  <w:pPr>
                    <w:spacing w:after="0"/>
                    <w:jc w:val="both"/>
                    <w:rPr>
                      <w:rFonts w:ascii="Times New Roman" w:hAnsi="Times New Roman" w:cs="Times New Roman"/>
                      <w:bCs/>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bCs/>
                      <w:sz w:val="20"/>
                      <w:szCs w:val="20"/>
                    </w:rPr>
                  </w:pPr>
                  <w:r w:rsidRPr="007E6014">
                    <w:rPr>
                      <w:rFonts w:ascii="Times New Roman" w:hAnsi="Times New Roman" w:cs="Times New Roman"/>
                      <w:b/>
                      <w:bCs/>
                      <w:sz w:val="20"/>
                      <w:szCs w:val="20"/>
                    </w:rPr>
                    <w:t>Článok 160e ods. 4 druhá veta</w:t>
                  </w:r>
                </w:p>
                <w:p w:rsidR="007D0EE1" w:rsidRPr="007D0EE1" w:rsidRDefault="007D0EE1" w:rsidP="007D0EE1">
                  <w:pPr>
                    <w:spacing w:after="0"/>
                    <w:jc w:val="both"/>
                    <w:rPr>
                      <w:rFonts w:ascii="Times New Roman" w:hAnsi="Times New Roman" w:cs="Times New Roman"/>
                      <w:bCs/>
                      <w:sz w:val="20"/>
                      <w:szCs w:val="20"/>
                    </w:rPr>
                  </w:pPr>
                  <w:r w:rsidRPr="007D0EE1">
                    <w:rPr>
                      <w:rFonts w:ascii="Times New Roman" w:hAnsi="Times New Roman" w:cs="Times New Roman"/>
                      <w:bCs/>
                      <w:sz w:val="20"/>
                      <w:szCs w:val="20"/>
                    </w:rPr>
                    <w:t>Predkladateľ považuje za nevyhnutné upraviť výnimku z povinnosti vypracovania správy štatutárneho orgánu, ak má spoločnosť jediného spoločníka. Zapracovaním výnimky sa zníži záťaž spoločností, v tomto zmysle ju predkladateľ považuje za pozitívny element.</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 xml:space="preserve">Článok 160f ods. 3 druhý </w:t>
                  </w:r>
                  <w:proofErr w:type="spellStart"/>
                  <w:r w:rsidRPr="007E6014">
                    <w:rPr>
                      <w:rFonts w:ascii="Times New Roman" w:hAnsi="Times New Roman" w:cs="Times New Roman"/>
                      <w:b/>
                      <w:sz w:val="20"/>
                      <w:szCs w:val="20"/>
                    </w:rPr>
                    <w:t>poddodsek</w:t>
                  </w:r>
                  <w:proofErr w:type="spellEnd"/>
                </w:p>
                <w:p w:rsidR="007D0EE1" w:rsidRPr="007D0EE1"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 xml:space="preserve">Pozitívny </w:t>
                  </w:r>
                  <w:proofErr w:type="spellStart"/>
                  <w:r w:rsidRPr="007D0EE1">
                    <w:rPr>
                      <w:rFonts w:ascii="Times New Roman" w:hAnsi="Times New Roman" w:cs="Times New Roman"/>
                      <w:sz w:val="20"/>
                      <w:szCs w:val="20"/>
                    </w:rPr>
                    <w:t>goldplating</w:t>
                  </w:r>
                  <w:proofErr w:type="spellEnd"/>
                  <w:r w:rsidRPr="007D0EE1">
                    <w:rPr>
                      <w:rFonts w:ascii="Times New Roman" w:hAnsi="Times New Roman" w:cs="Times New Roman"/>
                      <w:sz w:val="20"/>
                      <w:szCs w:val="20"/>
                    </w:rPr>
                    <w:t xml:space="preserve"> – ak má spoločnosť jediného spoločníka, nie je potrebné vypracúvať písomnú správu audítora, čím sa znižuje záťaž na spoločnosť.</w:t>
                  </w:r>
                </w:p>
                <w:p w:rsidR="007D0EE1" w:rsidRPr="007D0EE1" w:rsidRDefault="007D0EE1" w:rsidP="007D0EE1">
                  <w:pPr>
                    <w:spacing w:after="0"/>
                    <w:jc w:val="both"/>
                    <w:rPr>
                      <w:rFonts w:ascii="Times New Roman" w:hAnsi="Times New Roman" w:cs="Times New Roman"/>
                      <w:sz w:val="20"/>
                      <w:szCs w:val="20"/>
                    </w:rPr>
                  </w:pPr>
                </w:p>
                <w:p w:rsidR="007D0EE1" w:rsidRPr="007E6014" w:rsidRDefault="007D0EE1" w:rsidP="007E6014">
                  <w:pPr>
                    <w:pStyle w:val="Odsekzoznamu"/>
                    <w:numPr>
                      <w:ilvl w:val="0"/>
                      <w:numId w:val="2"/>
                    </w:numPr>
                    <w:spacing w:after="0"/>
                    <w:jc w:val="both"/>
                    <w:rPr>
                      <w:rFonts w:ascii="Times New Roman" w:hAnsi="Times New Roman" w:cs="Times New Roman"/>
                      <w:b/>
                      <w:sz w:val="20"/>
                      <w:szCs w:val="20"/>
                    </w:rPr>
                  </w:pPr>
                  <w:r w:rsidRPr="007E6014">
                    <w:rPr>
                      <w:rFonts w:ascii="Times New Roman" w:hAnsi="Times New Roman" w:cs="Times New Roman"/>
                      <w:b/>
                      <w:sz w:val="20"/>
                      <w:szCs w:val="20"/>
                    </w:rPr>
                    <w:t>Článok 160g ods. 5</w:t>
                  </w:r>
                </w:p>
                <w:p w:rsidR="0077073C" w:rsidRDefault="007D0EE1" w:rsidP="007D0EE1">
                  <w:pPr>
                    <w:spacing w:after="0"/>
                    <w:jc w:val="both"/>
                    <w:rPr>
                      <w:rFonts w:ascii="Times New Roman" w:hAnsi="Times New Roman" w:cs="Times New Roman"/>
                      <w:sz w:val="20"/>
                      <w:szCs w:val="20"/>
                    </w:rPr>
                  </w:pPr>
                  <w:r w:rsidRPr="007D0EE1">
                    <w:rPr>
                      <w:rFonts w:ascii="Times New Roman" w:hAnsi="Times New Roman" w:cs="Times New Roman"/>
                      <w:sz w:val="20"/>
                      <w:szCs w:val="20"/>
                    </w:rPr>
                    <w:t>Už v súčasne účinnej právnej úprave pri cezhraničnom zlúčení a splynutí je takáto možnosť zakotvená. Spoločnosti považujú zverejňovanie v Obchodnom vestníku za efektívne a predkladateľ považuje za vhodné umožniť takýto spôsob zverejnenia aj pri cezhraničnom rozdelení.</w:t>
                  </w:r>
                </w:p>
                <w:p w:rsidR="00014874" w:rsidRDefault="00014874" w:rsidP="00014874">
                  <w:pPr>
                    <w:spacing w:after="0"/>
                    <w:jc w:val="both"/>
                    <w:rPr>
                      <w:rFonts w:ascii="Times New Roman" w:hAnsi="Times New Roman" w:cs="Times New Roman"/>
                      <w:sz w:val="20"/>
                      <w:szCs w:val="20"/>
                    </w:rPr>
                  </w:pPr>
                </w:p>
                <w:p w:rsidR="00014874" w:rsidRPr="00014874" w:rsidRDefault="00014874" w:rsidP="00014874">
                  <w:pPr>
                    <w:pStyle w:val="Odsekzoznamu"/>
                    <w:numPr>
                      <w:ilvl w:val="0"/>
                      <w:numId w:val="2"/>
                    </w:numPr>
                    <w:spacing w:after="0"/>
                    <w:jc w:val="both"/>
                    <w:rPr>
                      <w:rFonts w:ascii="Times New Roman" w:hAnsi="Times New Roman" w:cs="Times New Roman"/>
                      <w:b/>
                      <w:sz w:val="20"/>
                      <w:szCs w:val="20"/>
                    </w:rPr>
                  </w:pPr>
                  <w:r w:rsidRPr="00014874">
                    <w:rPr>
                      <w:rFonts w:ascii="Times New Roman" w:hAnsi="Times New Roman" w:cs="Times New Roman"/>
                      <w:b/>
                      <w:sz w:val="20"/>
                      <w:szCs w:val="20"/>
                    </w:rPr>
                    <w:t xml:space="preserve">Článok 160i ods. 4 druhý </w:t>
                  </w:r>
                  <w:proofErr w:type="spellStart"/>
                  <w:r w:rsidRPr="00014874">
                    <w:rPr>
                      <w:rFonts w:ascii="Times New Roman" w:hAnsi="Times New Roman" w:cs="Times New Roman"/>
                      <w:b/>
                      <w:sz w:val="20"/>
                      <w:szCs w:val="20"/>
                    </w:rPr>
                    <w:t>pododsek</w:t>
                  </w:r>
                  <w:proofErr w:type="spellEnd"/>
                </w:p>
                <w:p w:rsidR="00014874" w:rsidRPr="001731E8" w:rsidRDefault="00014874" w:rsidP="00014874">
                  <w:pPr>
                    <w:spacing w:after="0"/>
                    <w:jc w:val="both"/>
                    <w:rPr>
                      <w:rFonts w:ascii="Times New Roman" w:hAnsi="Times New Roman" w:cs="Times New Roman"/>
                      <w:sz w:val="20"/>
                      <w:szCs w:val="20"/>
                    </w:rPr>
                  </w:pPr>
                  <w:r w:rsidRPr="00120A28">
                    <w:rPr>
                      <w:rFonts w:ascii="Times New Roman" w:hAnsi="Times New Roman" w:cs="Times New Roman"/>
                      <w:sz w:val="20"/>
                      <w:szCs w:val="20"/>
                    </w:rPr>
                    <w:t>Predkladateľ považuje za vhodné upraviť záväznosť rozhodnutia súdu o určení výšky doplatku aj pre spoločníkov, ktorí výšku nenamietali, a to z dôvodu zásady rovnakého zaobchádzania so spoločníkmi.</w:t>
                  </w:r>
                </w:p>
                <w:p w:rsidR="00014874" w:rsidRDefault="00014874" w:rsidP="00014874">
                  <w:pPr>
                    <w:spacing w:after="0"/>
                    <w:jc w:val="both"/>
                    <w:rPr>
                      <w:b/>
                      <w:bCs/>
                      <w:sz w:val="20"/>
                      <w:szCs w:val="20"/>
                    </w:rPr>
                  </w:pPr>
                </w:p>
                <w:p w:rsidR="00014874" w:rsidRPr="007D0EE1" w:rsidRDefault="00014874" w:rsidP="007D0EE1">
                  <w:pPr>
                    <w:spacing w:after="0"/>
                    <w:jc w:val="both"/>
                    <w:rPr>
                      <w:sz w:val="20"/>
                      <w:szCs w:val="20"/>
                    </w:rPr>
                  </w:pPr>
                </w:p>
              </w:tc>
            </w:tr>
            <w:tr w:rsidR="00AD7DCE" w:rsidRPr="007D0EE1" w:rsidTr="007E6014">
              <w:trPr>
                <w:trHeight w:val="258"/>
              </w:trPr>
              <w:tc>
                <w:tcPr>
                  <w:tcW w:w="8507" w:type="dxa"/>
                </w:tcPr>
                <w:p w:rsidR="00AD7DCE" w:rsidRDefault="00AD7DCE" w:rsidP="00DD7446">
                  <w:pPr>
                    <w:pStyle w:val="Default"/>
                    <w:jc w:val="both"/>
                    <w:rPr>
                      <w:b/>
                      <w:iCs/>
                      <w:color w:val="auto"/>
                      <w:sz w:val="20"/>
                      <w:szCs w:val="20"/>
                    </w:rPr>
                  </w:pPr>
                </w:p>
                <w:p w:rsidR="00AD7DCE" w:rsidRDefault="00AD7DCE" w:rsidP="00DD7446">
                  <w:pPr>
                    <w:pStyle w:val="Default"/>
                    <w:jc w:val="both"/>
                    <w:rPr>
                      <w:b/>
                      <w:iCs/>
                      <w:color w:val="auto"/>
                      <w:sz w:val="20"/>
                      <w:szCs w:val="20"/>
                    </w:rPr>
                  </w:pPr>
                </w:p>
                <w:p w:rsidR="00AD7DCE" w:rsidRPr="007D0EE1" w:rsidRDefault="00AD7DCE" w:rsidP="00DD7446">
                  <w:pPr>
                    <w:pStyle w:val="Default"/>
                    <w:jc w:val="both"/>
                    <w:rPr>
                      <w:b/>
                      <w:iCs/>
                      <w:color w:val="auto"/>
                      <w:sz w:val="20"/>
                      <w:szCs w:val="20"/>
                    </w:rPr>
                  </w:pPr>
                </w:p>
              </w:tc>
            </w:tr>
            <w:tr w:rsidR="00AD7DCE" w:rsidRPr="007D0EE1" w:rsidTr="007E6014">
              <w:trPr>
                <w:trHeight w:val="258"/>
              </w:trPr>
              <w:tc>
                <w:tcPr>
                  <w:tcW w:w="8507" w:type="dxa"/>
                </w:tcPr>
                <w:p w:rsidR="00AD7DCE" w:rsidRDefault="00AD7DCE" w:rsidP="00DD7446">
                  <w:pPr>
                    <w:pStyle w:val="Default"/>
                    <w:jc w:val="both"/>
                    <w:rPr>
                      <w:b/>
                      <w:iCs/>
                      <w:color w:val="auto"/>
                      <w:sz w:val="20"/>
                      <w:szCs w:val="20"/>
                    </w:rPr>
                  </w:pPr>
                </w:p>
                <w:p w:rsidR="00AD7DCE" w:rsidRPr="007D0EE1" w:rsidRDefault="00AD7DCE" w:rsidP="00DD7446">
                  <w:pPr>
                    <w:pStyle w:val="Default"/>
                    <w:jc w:val="both"/>
                    <w:rPr>
                      <w:b/>
                      <w:iCs/>
                      <w:color w:val="auto"/>
                      <w:sz w:val="20"/>
                      <w:szCs w:val="20"/>
                    </w:rPr>
                  </w:pPr>
                </w:p>
              </w:tc>
            </w:tr>
            <w:tr w:rsidR="00A7788F" w:rsidRPr="007D0EE1" w:rsidTr="007E6014">
              <w:trPr>
                <w:trHeight w:val="258"/>
              </w:trPr>
              <w:tc>
                <w:tcPr>
                  <w:tcW w:w="8507" w:type="dxa"/>
                </w:tcPr>
                <w:p w:rsidR="00A7788F" w:rsidRPr="007D0EE1" w:rsidRDefault="00A7788F" w:rsidP="007D0EE1">
                  <w:pPr>
                    <w:pStyle w:val="Default"/>
                    <w:jc w:val="both"/>
                    <w:rPr>
                      <w:sz w:val="20"/>
                      <w:szCs w:val="20"/>
                    </w:rPr>
                  </w:pPr>
                </w:p>
              </w:tc>
            </w:tr>
          </w:tbl>
          <w:p w:rsidR="001B23B7" w:rsidRPr="007D0EE1" w:rsidRDefault="001B23B7" w:rsidP="000800FC">
            <w:pPr>
              <w:jc w:val="both"/>
              <w:rPr>
                <w:rFonts w:ascii="Times New Roman" w:eastAsia="Times New Roman" w:hAnsi="Times New Roman" w:cs="Times New Roman"/>
                <w:i/>
                <w:sz w:val="20"/>
                <w:szCs w:val="20"/>
                <w:lang w:eastAsia="sk-SK"/>
              </w:rPr>
            </w:pPr>
          </w:p>
        </w:tc>
      </w:tr>
      <w:tr w:rsidR="001B23B7" w:rsidRPr="00B043B4" w:rsidTr="0005074B">
        <w:trPr>
          <w:trHeight w:val="80"/>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7D0EE1">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77073C" w:rsidRPr="0077073C" w:rsidRDefault="0077073C" w:rsidP="0077073C">
            <w:pPr>
              <w:rPr>
                <w:rFonts w:ascii="Times New Roman" w:eastAsia="Times New Roman" w:hAnsi="Times New Roman" w:cs="Times New Roman"/>
                <w:i/>
                <w:sz w:val="20"/>
                <w:szCs w:val="20"/>
                <w:lang w:eastAsia="sk-SK"/>
              </w:rPr>
            </w:pPr>
            <w:r w:rsidRPr="0077073C">
              <w:rPr>
                <w:rFonts w:ascii="Times New Roman" w:eastAsia="Times New Roman" w:hAnsi="Times New Roman" w:cs="Times New Roman"/>
                <w:i/>
                <w:sz w:val="20"/>
                <w:szCs w:val="20"/>
                <w:lang w:eastAsia="sk-SK"/>
              </w:rPr>
              <w:t xml:space="preserve">Termín na preskúmanie účinnosti a účelnosti predkladaného materiálu: </w:t>
            </w:r>
            <w:r w:rsidRPr="00DD7446">
              <w:rPr>
                <w:rFonts w:ascii="Times New Roman" w:eastAsia="Times New Roman" w:hAnsi="Times New Roman" w:cs="Times New Roman"/>
                <w:sz w:val="20"/>
                <w:szCs w:val="20"/>
                <w:lang w:eastAsia="sk-SK"/>
              </w:rPr>
              <w:t>202</w:t>
            </w:r>
            <w:r w:rsidR="007E6014">
              <w:rPr>
                <w:rFonts w:ascii="Times New Roman" w:eastAsia="Times New Roman" w:hAnsi="Times New Roman" w:cs="Times New Roman"/>
                <w:sz w:val="20"/>
                <w:szCs w:val="20"/>
                <w:lang w:eastAsia="sk-SK"/>
              </w:rPr>
              <w:t>6</w:t>
            </w:r>
          </w:p>
          <w:p w:rsidR="007E6014" w:rsidRDefault="007E6014" w:rsidP="0077073C">
            <w:pPr>
              <w:rPr>
                <w:rFonts w:ascii="Times New Roman" w:eastAsia="Times New Roman" w:hAnsi="Times New Roman" w:cs="Times New Roman"/>
                <w:i/>
                <w:sz w:val="20"/>
                <w:szCs w:val="20"/>
                <w:lang w:eastAsia="sk-SK"/>
              </w:rPr>
            </w:pPr>
          </w:p>
          <w:p w:rsidR="0077073C" w:rsidRPr="0077073C" w:rsidRDefault="0077073C" w:rsidP="0077073C">
            <w:pPr>
              <w:rPr>
                <w:rFonts w:ascii="Times New Roman" w:eastAsia="Times New Roman" w:hAnsi="Times New Roman" w:cs="Times New Roman"/>
                <w:i/>
                <w:sz w:val="20"/>
                <w:szCs w:val="20"/>
                <w:lang w:eastAsia="sk-SK"/>
              </w:rPr>
            </w:pPr>
            <w:r w:rsidRPr="0077073C">
              <w:rPr>
                <w:rFonts w:ascii="Times New Roman" w:eastAsia="Times New Roman" w:hAnsi="Times New Roman" w:cs="Times New Roman"/>
                <w:i/>
                <w:sz w:val="20"/>
                <w:szCs w:val="20"/>
                <w:lang w:eastAsia="sk-SK"/>
              </w:rPr>
              <w:t xml:space="preserve">Kritériá: </w:t>
            </w:r>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Zvýšenie administratívnych nákladov – porovnanie administratívnych nákladov reálnych a odhadovaných</w:t>
            </w:r>
          </w:p>
          <w:p w:rsidR="00A65014"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Miera využívania nových foriem vnútrozemských premien (</w:t>
            </w:r>
            <w:r w:rsidR="00A65014">
              <w:rPr>
                <w:rFonts w:ascii="Times New Roman" w:eastAsia="Times New Roman" w:hAnsi="Times New Roman" w:cs="Times New Roman"/>
                <w:sz w:val="20"/>
                <w:szCs w:val="20"/>
                <w:lang w:eastAsia="sk-SK"/>
              </w:rPr>
              <w:t xml:space="preserve">a. s., s. r. o. - </w:t>
            </w:r>
            <w:r w:rsidRPr="00DD7446">
              <w:rPr>
                <w:rFonts w:ascii="Times New Roman" w:eastAsia="Times New Roman" w:hAnsi="Times New Roman" w:cs="Times New Roman"/>
                <w:sz w:val="20"/>
                <w:szCs w:val="20"/>
                <w:lang w:eastAsia="sk-SK"/>
              </w:rPr>
              <w:t>od</w:t>
            </w:r>
            <w:r w:rsidR="00A65014">
              <w:rPr>
                <w:rFonts w:ascii="Times New Roman" w:eastAsia="Times New Roman" w:hAnsi="Times New Roman" w:cs="Times New Roman"/>
                <w:sz w:val="20"/>
                <w:szCs w:val="20"/>
                <w:lang w:eastAsia="sk-SK"/>
              </w:rPr>
              <w:t>štiepenie</w:t>
            </w:r>
            <w:r w:rsidRPr="00DD7446">
              <w:rPr>
                <w:rFonts w:ascii="Times New Roman" w:eastAsia="Times New Roman" w:hAnsi="Times New Roman" w:cs="Times New Roman"/>
                <w:sz w:val="20"/>
                <w:szCs w:val="20"/>
                <w:lang w:eastAsia="sk-SK"/>
              </w:rPr>
              <w:t>)</w:t>
            </w:r>
            <w:r w:rsidR="00A65014">
              <w:rPr>
                <w:rFonts w:ascii="Times New Roman" w:eastAsia="Times New Roman" w:hAnsi="Times New Roman" w:cs="Times New Roman"/>
                <w:sz w:val="20"/>
                <w:szCs w:val="20"/>
                <w:lang w:eastAsia="sk-SK"/>
              </w:rPr>
              <w:br/>
              <w:t>- Miera využívanie nových foriem vnútrozemských premien (v. o. s., k. s.)</w:t>
            </w:r>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Miera využívania cezhraničných premien – cezhraničné rozdelenie</w:t>
            </w:r>
            <w:r w:rsidR="00A65014">
              <w:rPr>
                <w:rFonts w:ascii="Times New Roman" w:eastAsia="Times New Roman" w:hAnsi="Times New Roman" w:cs="Times New Roman"/>
                <w:sz w:val="20"/>
                <w:szCs w:val="20"/>
                <w:lang w:eastAsia="sk-SK"/>
              </w:rPr>
              <w:t xml:space="preserve"> (s. r. o., a. s.)</w:t>
            </w:r>
            <w:r w:rsidR="00A65014">
              <w:rPr>
                <w:rFonts w:ascii="Times New Roman" w:eastAsia="Times New Roman" w:hAnsi="Times New Roman" w:cs="Times New Roman"/>
                <w:sz w:val="20"/>
                <w:szCs w:val="20"/>
                <w:lang w:eastAsia="sk-SK"/>
              </w:rPr>
              <w:br/>
              <w:t>- Miera využívania cezhraničných zmien právnej formy (s. r. o., a. s.)</w:t>
            </w:r>
          </w:p>
          <w:p w:rsidR="001B23B7" w:rsidRPr="00B043B4" w:rsidRDefault="0077073C" w:rsidP="0077073C">
            <w:pPr>
              <w:rPr>
                <w:rFonts w:ascii="Times New Roman" w:eastAsia="Times New Roman" w:hAnsi="Times New Roman" w:cs="Times New Roman"/>
                <w:i/>
                <w:sz w:val="20"/>
                <w:szCs w:val="20"/>
                <w:lang w:eastAsia="sk-SK"/>
              </w:rPr>
            </w:pPr>
            <w:r w:rsidRPr="00DD7446">
              <w:rPr>
                <w:rFonts w:ascii="Times New Roman" w:eastAsia="Times New Roman" w:hAnsi="Times New Roman" w:cs="Times New Roman"/>
                <w:sz w:val="20"/>
                <w:szCs w:val="20"/>
                <w:lang w:eastAsia="sk-SK"/>
              </w:rPr>
              <w:lastRenderedPageBreak/>
              <w:t xml:space="preserve">- Úprava IS OR </w:t>
            </w:r>
            <w:r w:rsidR="00A65014">
              <w:rPr>
                <w:rFonts w:ascii="Times New Roman" w:eastAsia="Times New Roman" w:hAnsi="Times New Roman" w:cs="Times New Roman"/>
                <w:sz w:val="20"/>
                <w:szCs w:val="20"/>
                <w:lang w:eastAsia="sk-SK"/>
              </w:rPr>
              <w:t xml:space="preserve">SR </w:t>
            </w:r>
            <w:r w:rsidRPr="00DD7446">
              <w:rPr>
                <w:rFonts w:ascii="Times New Roman" w:eastAsia="Times New Roman" w:hAnsi="Times New Roman" w:cs="Times New Roman"/>
                <w:sz w:val="20"/>
                <w:szCs w:val="20"/>
                <w:lang w:eastAsia="sk-SK"/>
              </w:rPr>
              <w:t>pre cezhraničné premeny</w:t>
            </w:r>
            <w:r w:rsidR="00A65014">
              <w:rPr>
                <w:rFonts w:ascii="Times New Roman" w:eastAsia="Times New Roman" w:hAnsi="Times New Roman" w:cs="Times New Roman"/>
                <w:sz w:val="20"/>
                <w:szCs w:val="20"/>
                <w:lang w:eastAsia="sk-SK"/>
              </w:rPr>
              <w:t>/vnútrozemské premeny</w:t>
            </w:r>
            <w:r w:rsidRPr="00DD7446">
              <w:rPr>
                <w:rFonts w:ascii="Times New Roman" w:eastAsia="Times New Roman" w:hAnsi="Times New Roman" w:cs="Times New Roman"/>
                <w:sz w:val="20"/>
                <w:szCs w:val="20"/>
                <w:lang w:eastAsia="sk-SK"/>
              </w:rPr>
              <w:t xml:space="preserve"> a výmenu informácií prostredníctvom systému prepojenia centrálnych registrov</w:t>
            </w:r>
          </w:p>
        </w:tc>
      </w:tr>
      <w:tr w:rsidR="0077073C" w:rsidRPr="0077073C" w:rsidTr="000800FC">
        <w:tc>
          <w:tcPr>
            <w:tcW w:w="9180" w:type="dxa"/>
            <w:gridSpan w:val="11"/>
            <w:tcBorders>
              <w:top w:val="nil"/>
              <w:left w:val="nil"/>
              <w:bottom w:val="single" w:sz="4" w:space="0" w:color="auto"/>
              <w:right w:val="nil"/>
            </w:tcBorders>
            <w:shd w:val="clear" w:color="auto" w:fill="FFFFFF"/>
          </w:tcPr>
          <w:p w:rsidR="001B23B7" w:rsidRPr="0077073C" w:rsidRDefault="001B23B7" w:rsidP="00A7788F">
            <w:pPr>
              <w:jc w:val="both"/>
              <w:rPr>
                <w:rFonts w:ascii="Times New Roman" w:eastAsia="Times New Roman" w:hAnsi="Times New Roman" w:cs="Times New Roman"/>
                <w:b/>
                <w:sz w:val="20"/>
                <w:szCs w:val="20"/>
                <w:lang w:eastAsia="sk-SK"/>
              </w:rPr>
            </w:pPr>
          </w:p>
          <w:p w:rsidR="001B23B7" w:rsidRPr="0077073C" w:rsidRDefault="001B23B7" w:rsidP="00A7788F">
            <w:pPr>
              <w:jc w:val="both"/>
              <w:rPr>
                <w:rFonts w:ascii="Times New Roman" w:eastAsia="Times New Roman" w:hAnsi="Times New Roman" w:cs="Times New Roman"/>
                <w:b/>
                <w:sz w:val="20"/>
                <w:szCs w:val="20"/>
                <w:lang w:eastAsia="sk-SK"/>
              </w:rPr>
            </w:pPr>
          </w:p>
          <w:p w:rsidR="001B23B7" w:rsidRPr="0077073C" w:rsidRDefault="001B23B7" w:rsidP="00A7788F">
            <w:pPr>
              <w:ind w:left="142" w:hanging="142"/>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77073C" w:rsidRDefault="001B23B7" w:rsidP="00A7788F">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vyplniť iba v prípade, ak sa záverečné posúdenie</w:t>
            </w:r>
            <w:r w:rsidR="00A340BB" w:rsidRPr="0077073C">
              <w:rPr>
                <w:rFonts w:ascii="Times New Roman" w:eastAsia="Times New Roman" w:hAnsi="Times New Roman" w:cs="Times New Roman"/>
                <w:sz w:val="20"/>
                <w:szCs w:val="20"/>
                <w:lang w:eastAsia="sk-SK"/>
              </w:rPr>
              <w:t xml:space="preserve"> vybraných vplyvov</w:t>
            </w:r>
            <w:r w:rsidRPr="0077073C">
              <w:rPr>
                <w:rFonts w:ascii="Times New Roman" w:eastAsia="Times New Roman" w:hAnsi="Times New Roman" w:cs="Times New Roman"/>
                <w:sz w:val="20"/>
                <w:szCs w:val="20"/>
                <w:lang w:eastAsia="sk-SK"/>
              </w:rPr>
              <w:t xml:space="preserve"> uskutočnilo v zmysle bodu 9.1. </w:t>
            </w:r>
            <w:r w:rsidR="00A340BB" w:rsidRPr="0077073C">
              <w:rPr>
                <w:rFonts w:ascii="Times New Roman" w:eastAsia="Times New Roman" w:hAnsi="Times New Roman" w:cs="Times New Roman"/>
                <w:sz w:val="20"/>
                <w:szCs w:val="20"/>
                <w:lang w:eastAsia="sk-SK"/>
              </w:rPr>
              <w:t>j</w:t>
            </w:r>
            <w:r w:rsidRPr="0077073C">
              <w:rPr>
                <w:rFonts w:ascii="Times New Roman" w:eastAsia="Times New Roman" w:hAnsi="Times New Roman" w:cs="Times New Roman"/>
                <w:sz w:val="20"/>
                <w:szCs w:val="20"/>
                <w:lang w:eastAsia="sk-SK"/>
              </w:rPr>
              <w:t>ednotnej metodiky</w:t>
            </w:r>
            <w:r w:rsidR="00A340BB" w:rsidRPr="0077073C">
              <w:rPr>
                <w:rFonts w:ascii="Times New Roman" w:eastAsia="Times New Roman" w:hAnsi="Times New Roman" w:cs="Times New Roman"/>
                <w:sz w:val="20"/>
                <w:szCs w:val="20"/>
                <w:lang w:eastAsia="sk-SK"/>
              </w:rPr>
              <w:t>.</w:t>
            </w:r>
          </w:p>
          <w:p w:rsidR="00A7788F" w:rsidRPr="0077073C" w:rsidRDefault="00A7788F" w:rsidP="00A7788F">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77073C" w:rsidRDefault="004C6831" w:rsidP="00A7788F">
            <w:pPr>
              <w:jc w:val="both"/>
              <w:rPr>
                <w:rFonts w:ascii="Times New Roman" w:eastAsia="Times New Roman" w:hAnsi="Times New Roman" w:cs="Times New Roman"/>
                <w:sz w:val="20"/>
                <w:szCs w:val="20"/>
                <w:lang w:eastAsia="sk-SK"/>
              </w:rPr>
            </w:pPr>
          </w:p>
          <w:p w:rsidR="001B23B7" w:rsidRPr="0077073C" w:rsidRDefault="001B23B7" w:rsidP="00A7788F">
            <w:pPr>
              <w:jc w:val="both"/>
              <w:rPr>
                <w:rFonts w:ascii="Times New Roman" w:eastAsia="Times New Roman" w:hAnsi="Times New Roman" w:cs="Times New Roman"/>
                <w:b/>
                <w:sz w:val="20"/>
                <w:szCs w:val="20"/>
                <w:lang w:eastAsia="sk-SK"/>
              </w:rPr>
            </w:pPr>
          </w:p>
        </w:tc>
      </w:tr>
      <w:tr w:rsidR="0077073C" w:rsidRPr="0077073C"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77073C" w:rsidRDefault="001B23B7" w:rsidP="000800FC">
            <w:pPr>
              <w:numPr>
                <w:ilvl w:val="0"/>
                <w:numId w:val="1"/>
              </w:numPr>
              <w:ind w:left="426"/>
              <w:contextualSpacing/>
              <w:rPr>
                <w:rFonts w:ascii="Times New Roman" w:eastAsia="Calibri" w:hAnsi="Times New Roman" w:cs="Times New Roman"/>
                <w:b/>
              </w:rPr>
            </w:pPr>
            <w:r w:rsidRPr="0077073C">
              <w:rPr>
                <w:rFonts w:ascii="Times New Roman" w:eastAsia="Calibri" w:hAnsi="Times New Roman" w:cs="Times New Roman"/>
                <w:b/>
              </w:rPr>
              <w:t>Vybrané vplyvy  materiálu</w:t>
            </w:r>
          </w:p>
        </w:tc>
      </w:tr>
      <w:tr w:rsidR="0077073C" w:rsidRPr="0077073C"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77073C" w:rsidRDefault="001B23B7" w:rsidP="000800FC">
            <w:pPr>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77073C" w:rsidRDefault="003145AE" w:rsidP="000800FC">
                <w:pPr>
                  <w:jc w:val="center"/>
                  <w:rPr>
                    <w:rFonts w:ascii="Times New Roman" w:eastAsia="Times New Roman" w:hAnsi="Times New Roman" w:cs="Times New Roman"/>
                    <w:b/>
                    <w:sz w:val="20"/>
                    <w:szCs w:val="20"/>
                    <w:lang w:eastAsia="sk-SK"/>
                  </w:rPr>
                </w:pPr>
                <w:r w:rsidRPr="0077073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77073C" w:rsidRDefault="001B23B7" w:rsidP="000800FC">
            <w:pPr>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77073C" w:rsidRDefault="00203EE3" w:rsidP="000800FC">
                <w:pPr>
                  <w:jc w:val="center"/>
                  <w:rPr>
                    <w:rFonts w:ascii="Times New Roman" w:eastAsia="Times New Roman" w:hAnsi="Times New Roman" w:cs="Times New Roman"/>
                    <w:b/>
                    <w:sz w:val="20"/>
                    <w:szCs w:val="20"/>
                    <w:lang w:eastAsia="sk-SK"/>
                  </w:rPr>
                </w:pPr>
                <w:r w:rsidRPr="0077073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77073C" w:rsidRDefault="001B23B7" w:rsidP="000800FC">
            <w:pPr>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77073C" w:rsidRDefault="0077073C"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77073C" w:rsidRDefault="001B23B7" w:rsidP="000800FC">
            <w:pPr>
              <w:ind w:left="34"/>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Negatívne</w:t>
            </w:r>
          </w:p>
        </w:tc>
      </w:tr>
      <w:tr w:rsidR="0077073C" w:rsidRPr="0077073C" w:rsidTr="004C6831">
        <w:tc>
          <w:tcPr>
            <w:tcW w:w="3812" w:type="dxa"/>
            <w:tcBorders>
              <w:top w:val="nil"/>
              <w:left w:val="single" w:sz="4" w:space="0" w:color="auto"/>
              <w:bottom w:val="nil"/>
              <w:right w:val="single" w:sz="4" w:space="0" w:color="auto"/>
            </w:tcBorders>
            <w:shd w:val="clear" w:color="auto" w:fill="E2E2E2"/>
          </w:tcPr>
          <w:p w:rsidR="00B84F87" w:rsidRPr="0077073C" w:rsidRDefault="00B84F87">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    </w:t>
            </w:r>
            <w:r w:rsidR="001B23B7" w:rsidRPr="0077073C">
              <w:rPr>
                <w:rFonts w:ascii="Times New Roman" w:eastAsia="Times New Roman" w:hAnsi="Times New Roman" w:cs="Times New Roman"/>
                <w:sz w:val="20"/>
                <w:szCs w:val="20"/>
                <w:lang w:eastAsia="sk-SK"/>
              </w:rPr>
              <w:t xml:space="preserve">z toho rozpočtovo zabezpečené vplyvy, </w:t>
            </w:r>
            <w:r w:rsidR="00A340BB" w:rsidRPr="0077073C">
              <w:rPr>
                <w:rFonts w:ascii="Times New Roman" w:eastAsia="Times New Roman" w:hAnsi="Times New Roman" w:cs="Times New Roman"/>
                <w:sz w:val="20"/>
                <w:szCs w:val="20"/>
                <w:lang w:eastAsia="sk-SK"/>
              </w:rPr>
              <w:t xml:space="preserve">    </w:t>
            </w:r>
            <w:r w:rsidRPr="0077073C">
              <w:rPr>
                <w:rFonts w:ascii="Times New Roman" w:eastAsia="Times New Roman" w:hAnsi="Times New Roman" w:cs="Times New Roman"/>
                <w:sz w:val="20"/>
                <w:szCs w:val="20"/>
                <w:lang w:eastAsia="sk-SK"/>
              </w:rPr>
              <w:t xml:space="preserve">    </w:t>
            </w:r>
          </w:p>
          <w:p w:rsidR="00B84F87" w:rsidRPr="0077073C" w:rsidRDefault="00B84F87">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    </w:t>
            </w:r>
            <w:r w:rsidR="001B23B7" w:rsidRPr="0077073C">
              <w:rPr>
                <w:rFonts w:ascii="Times New Roman" w:eastAsia="Times New Roman" w:hAnsi="Times New Roman" w:cs="Times New Roman"/>
                <w:sz w:val="20"/>
                <w:szCs w:val="20"/>
                <w:lang w:eastAsia="sk-SK"/>
              </w:rPr>
              <w:t xml:space="preserve">v prípade identifikovaného negatívneho </w:t>
            </w:r>
          </w:p>
          <w:p w:rsidR="003145AE" w:rsidRPr="0077073C" w:rsidRDefault="00B84F87">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    </w:t>
            </w:r>
            <w:r w:rsidR="001B23B7" w:rsidRPr="0077073C">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77073C" w:rsidRDefault="00746BC0"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77073C" w:rsidRDefault="001B23B7" w:rsidP="00203EE3">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77073C" w:rsidRDefault="003C2A1F"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77073C" w:rsidRDefault="001B23B7" w:rsidP="00203EE3">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77073C" w:rsidRDefault="00746BC0"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77073C" w:rsidRDefault="001B23B7" w:rsidP="00203EE3">
            <w:pPr>
              <w:ind w:left="34"/>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Čiastočne</w:t>
            </w:r>
          </w:p>
        </w:tc>
      </w:tr>
      <w:tr w:rsidR="0077073C" w:rsidRPr="0077073C" w:rsidTr="004C6831">
        <w:tc>
          <w:tcPr>
            <w:tcW w:w="3812" w:type="dxa"/>
            <w:tcBorders>
              <w:top w:val="nil"/>
              <w:left w:val="single" w:sz="4" w:space="0" w:color="auto"/>
              <w:bottom w:val="nil"/>
              <w:right w:val="single" w:sz="4" w:space="0" w:color="auto"/>
            </w:tcBorders>
            <w:shd w:val="clear" w:color="auto" w:fill="E2E2E2"/>
          </w:tcPr>
          <w:p w:rsidR="003145AE" w:rsidRPr="0077073C" w:rsidRDefault="003145AE" w:rsidP="003145AE">
            <w:pPr>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77073C" w:rsidRDefault="003145AE" w:rsidP="003145AE">
                <w:pPr>
                  <w:jc w:val="center"/>
                  <w:rPr>
                    <w:rFonts w:ascii="Times New Roman" w:eastAsia="Times New Roman" w:hAnsi="Times New Roman" w:cs="Times New Roman"/>
                    <w:b/>
                    <w:sz w:val="20"/>
                    <w:szCs w:val="20"/>
                    <w:lang w:eastAsia="sk-SK"/>
                  </w:rPr>
                </w:pPr>
                <w:r w:rsidRPr="0077073C">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77073C" w:rsidRDefault="003145AE" w:rsidP="003145AE">
            <w:pPr>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77073C"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77073C" w:rsidRDefault="003145AE" w:rsidP="003145AE">
            <w:pPr>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77073C" w:rsidRDefault="003145AE" w:rsidP="003145AE">
                <w:pPr>
                  <w:ind w:left="-107" w:right="-108"/>
                  <w:jc w:val="center"/>
                  <w:rPr>
                    <w:rFonts w:ascii="Times New Roman" w:eastAsia="Times New Roman" w:hAnsi="Times New Roman" w:cs="Times New Roman"/>
                    <w:b/>
                    <w:sz w:val="20"/>
                    <w:szCs w:val="20"/>
                    <w:lang w:eastAsia="sk-SK"/>
                  </w:rPr>
                </w:pPr>
                <w:r w:rsidRPr="0077073C">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77073C" w:rsidRDefault="003145AE" w:rsidP="003145AE">
            <w:pPr>
              <w:ind w:left="34"/>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Negatívne</w:t>
            </w:r>
          </w:p>
        </w:tc>
      </w:tr>
      <w:tr w:rsidR="0077073C" w:rsidRPr="0077073C"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77073C" w:rsidRDefault="003145AE" w:rsidP="003145AE">
            <w:pPr>
              <w:ind w:left="171"/>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z toho rozpočtovo zabezpečené vplyvy,</w:t>
            </w:r>
          </w:p>
          <w:p w:rsidR="003145AE" w:rsidRPr="0077073C" w:rsidRDefault="003145AE" w:rsidP="003145AE">
            <w:pPr>
              <w:ind w:left="171"/>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77073C" w:rsidRDefault="003145AE" w:rsidP="003145AE">
                <w:pPr>
                  <w:jc w:val="center"/>
                  <w:rPr>
                    <w:rFonts w:ascii="Times New Roman" w:eastAsia="Times New Roman" w:hAnsi="Times New Roman" w:cs="Times New Roman"/>
                    <w:sz w:val="20"/>
                    <w:szCs w:val="20"/>
                    <w:lang w:eastAsia="sk-SK"/>
                  </w:rPr>
                </w:pPr>
                <w:r w:rsidRPr="0077073C">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77073C" w:rsidRDefault="003145AE" w:rsidP="003145AE">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77073C" w:rsidRDefault="003145AE" w:rsidP="003145AE">
                <w:pPr>
                  <w:jc w:val="center"/>
                  <w:rPr>
                    <w:rFonts w:ascii="Times New Roman" w:eastAsia="Times New Roman" w:hAnsi="Times New Roman" w:cs="Times New Roman"/>
                    <w:sz w:val="20"/>
                    <w:szCs w:val="20"/>
                    <w:lang w:eastAsia="sk-SK"/>
                  </w:rPr>
                </w:pPr>
                <w:r w:rsidRPr="0077073C">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77073C" w:rsidRDefault="003145AE" w:rsidP="003145AE">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77073C" w:rsidRDefault="003145AE" w:rsidP="003145AE">
                <w:pPr>
                  <w:ind w:left="-107" w:right="-108"/>
                  <w:jc w:val="center"/>
                  <w:rPr>
                    <w:rFonts w:ascii="Times New Roman" w:eastAsia="Times New Roman" w:hAnsi="Times New Roman" w:cs="Times New Roman"/>
                    <w:sz w:val="20"/>
                    <w:szCs w:val="20"/>
                    <w:lang w:eastAsia="sk-SK"/>
                  </w:rPr>
                </w:pPr>
                <w:r w:rsidRPr="0077073C">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77073C" w:rsidRDefault="003145AE" w:rsidP="003145AE">
            <w:pPr>
              <w:ind w:left="34"/>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Čiastočne</w:t>
            </w:r>
          </w:p>
        </w:tc>
      </w:tr>
      <w:tr w:rsidR="0077073C" w:rsidRPr="0077073C"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77073C" w:rsidRDefault="00A7788F" w:rsidP="001B4FB5">
            <w:pPr>
              <w:ind w:left="171"/>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77073C" w:rsidRDefault="00187182" w:rsidP="001B4FB5">
                <w:pPr>
                  <w:jc w:val="center"/>
                  <w:rPr>
                    <w:rFonts w:ascii="Times New Roman" w:eastAsia="Times New Roman" w:hAnsi="Times New Roman" w:cs="Times New Roman"/>
                    <w:sz w:val="20"/>
                    <w:szCs w:val="20"/>
                    <w:lang w:eastAsia="sk-SK"/>
                  </w:rPr>
                </w:pPr>
                <w:r w:rsidRPr="0077073C">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77073C" w:rsidRDefault="00A7788F" w:rsidP="001B4FB5">
            <w:pPr>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77073C"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77073C"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77073C" w:rsidRDefault="00187182" w:rsidP="001B4FB5">
                <w:pPr>
                  <w:ind w:left="-107" w:right="-108"/>
                  <w:jc w:val="center"/>
                  <w:rPr>
                    <w:rFonts w:ascii="Times New Roman" w:eastAsia="Times New Roman" w:hAnsi="Times New Roman" w:cs="Times New Roman"/>
                    <w:sz w:val="20"/>
                    <w:szCs w:val="20"/>
                    <w:lang w:eastAsia="sk-SK"/>
                  </w:rPr>
                </w:pPr>
                <w:r w:rsidRPr="0077073C">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77073C" w:rsidRDefault="00A7788F" w:rsidP="001B4FB5">
            <w:pPr>
              <w:ind w:left="34"/>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Nie</w:t>
            </w:r>
          </w:p>
        </w:tc>
      </w:tr>
      <w:tr w:rsidR="003145AE" w:rsidRPr="00B043B4" w:rsidTr="00A7788F">
        <w:tc>
          <w:tcPr>
            <w:tcW w:w="3812" w:type="dxa"/>
            <w:tcBorders>
              <w:top w:val="single" w:sz="4" w:space="0" w:color="auto"/>
              <w:left w:val="single" w:sz="4" w:space="0" w:color="auto"/>
              <w:bottom w:val="nil"/>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3145AE" w:rsidRPr="00B043B4"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3145AE" w:rsidRPr="00B043B4"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203EE3">
        <w:tc>
          <w:tcPr>
            <w:tcW w:w="3812" w:type="dxa"/>
            <w:tcBorders>
              <w:top w:val="nil"/>
              <w:left w:val="single" w:sz="4" w:space="0" w:color="000000"/>
              <w:bottom w:val="nil"/>
              <w:right w:val="single" w:sz="4" w:space="0" w:color="000000"/>
            </w:tcBorders>
            <w:shd w:val="clear" w:color="auto" w:fill="E2E2E2"/>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3145AE" w:rsidRPr="00B043B4" w:rsidRDefault="0077073C"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77073C"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145AE"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7707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77073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77073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77073C"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3C2A1F" w:rsidRDefault="003C2A1F" w:rsidP="003C2A1F">
            <w:pPr>
              <w:pBdr>
                <w:top w:val="single" w:sz="4" w:space="1" w:color="auto"/>
                <w:left w:val="single" w:sz="4" w:space="4" w:color="auto"/>
                <w:bottom w:val="single" w:sz="4" w:space="0" w:color="auto"/>
                <w:right w:val="single" w:sz="4" w:space="4" w:color="auto"/>
              </w:pBdr>
              <w:jc w:val="both"/>
              <w:rPr>
                <w:rFonts w:ascii="Times New Roman" w:eastAsia="Times New Roman" w:hAnsi="Times New Roman" w:cs="Times New Roman"/>
                <w:sz w:val="20"/>
                <w:szCs w:val="20"/>
                <w:lang w:eastAsia="sk-SK"/>
              </w:rPr>
            </w:pPr>
            <w:r w:rsidRPr="007D77C0">
              <w:rPr>
                <w:rFonts w:ascii="Times New Roman" w:eastAsia="Times New Roman" w:hAnsi="Times New Roman" w:cs="Times New Roman"/>
                <w:sz w:val="20"/>
                <w:szCs w:val="20"/>
                <w:lang w:eastAsia="sk-SK"/>
              </w:rPr>
              <w:t>Negatívny vplyv na rozpočet</w:t>
            </w:r>
            <w:r w:rsidR="008940F9" w:rsidRPr="007D77C0">
              <w:rPr>
                <w:rFonts w:ascii="Times New Roman" w:eastAsia="Times New Roman" w:hAnsi="Times New Roman" w:cs="Times New Roman"/>
                <w:sz w:val="20"/>
                <w:szCs w:val="20"/>
                <w:lang w:eastAsia="sk-SK"/>
              </w:rPr>
              <w:t xml:space="preserve"> kapitoly Ministerstva spravodlivosti SR</w:t>
            </w:r>
            <w:r w:rsidRPr="007D77C0">
              <w:rPr>
                <w:rFonts w:ascii="Times New Roman" w:eastAsia="Times New Roman" w:hAnsi="Times New Roman" w:cs="Times New Roman"/>
                <w:sz w:val="20"/>
                <w:szCs w:val="20"/>
                <w:lang w:eastAsia="sk-SK"/>
              </w:rPr>
              <w:t xml:space="preserve"> je zabezpečený v rámci návrhu limitu záväzných ukazovateľov štátneho rozpočtu kapitoly Ministerstvo spravodlivosti SR na rok 2024.</w:t>
            </w:r>
            <w:r w:rsidR="00746BC0" w:rsidRPr="007D77C0">
              <w:rPr>
                <w:rFonts w:ascii="Times New Roman" w:eastAsia="Times New Roman" w:hAnsi="Times New Roman" w:cs="Times New Roman"/>
                <w:sz w:val="20"/>
                <w:szCs w:val="20"/>
                <w:lang w:eastAsia="sk-SK"/>
              </w:rPr>
              <w:t xml:space="preserve"> Negatívny vplyv na rozpočet kapitoly Ministerstva financ</w:t>
            </w:r>
            <w:bookmarkStart w:id="0" w:name="_GoBack"/>
            <w:bookmarkEnd w:id="0"/>
            <w:r w:rsidR="00746BC0" w:rsidRPr="007D77C0">
              <w:rPr>
                <w:rFonts w:ascii="Times New Roman" w:eastAsia="Times New Roman" w:hAnsi="Times New Roman" w:cs="Times New Roman"/>
                <w:sz w:val="20"/>
                <w:szCs w:val="20"/>
                <w:lang w:eastAsia="sk-SK"/>
              </w:rPr>
              <w:t>ií SR nie je zabezpečený rozpočtom.</w:t>
            </w:r>
          </w:p>
          <w:p w:rsidR="0077073C" w:rsidRPr="00DD7446" w:rsidRDefault="0077073C" w:rsidP="0077073C">
            <w:pPr>
              <w:jc w:val="both"/>
              <w:rPr>
                <w:rFonts w:ascii="Times New Roman" w:eastAsia="Times New Roman" w:hAnsi="Times New Roman" w:cs="Times New Roman"/>
                <w:sz w:val="20"/>
                <w:szCs w:val="20"/>
                <w:lang w:eastAsia="sk-SK"/>
              </w:rPr>
            </w:pP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Identifikované vplyvy sú detailne opísané v jednotlivých analýzach. </w:t>
            </w:r>
            <w:r w:rsidR="00F47267">
              <w:rPr>
                <w:rFonts w:ascii="Times New Roman" w:eastAsia="Times New Roman" w:hAnsi="Times New Roman" w:cs="Times New Roman"/>
                <w:sz w:val="20"/>
                <w:szCs w:val="20"/>
                <w:lang w:eastAsia="sk-SK"/>
              </w:rPr>
              <w:br/>
            </w:r>
            <w:r w:rsidRPr="00DD7446">
              <w:rPr>
                <w:rFonts w:ascii="Times New Roman" w:eastAsia="Times New Roman" w:hAnsi="Times New Roman" w:cs="Times New Roman"/>
                <w:sz w:val="20"/>
                <w:szCs w:val="20"/>
                <w:lang w:eastAsia="sk-SK"/>
              </w:rPr>
              <w:t xml:space="preserve">Návrh zákona však obsahuje aj marginálne vplyvy </w:t>
            </w:r>
            <w:r w:rsidR="00F47267">
              <w:rPr>
                <w:rFonts w:ascii="Times New Roman" w:eastAsia="Times New Roman" w:hAnsi="Times New Roman" w:cs="Times New Roman"/>
                <w:sz w:val="20"/>
                <w:szCs w:val="20"/>
                <w:lang w:eastAsia="sk-SK"/>
              </w:rPr>
              <w:t xml:space="preserve">– pozitívne a negatívne </w:t>
            </w:r>
            <w:r w:rsidRPr="00DD7446">
              <w:rPr>
                <w:rFonts w:ascii="Times New Roman" w:eastAsia="Times New Roman" w:hAnsi="Times New Roman" w:cs="Times New Roman"/>
                <w:sz w:val="20"/>
                <w:szCs w:val="20"/>
                <w:lang w:eastAsia="sk-SK"/>
              </w:rPr>
              <w:t xml:space="preserve">na podnikateľské prostredie, ktoré sa v Analýze na podnikateľské prostredie detailne nepopísali. </w:t>
            </w:r>
          </w:p>
          <w:p w:rsidR="0077073C" w:rsidRPr="00DD7446" w:rsidRDefault="0077073C" w:rsidP="0077073C">
            <w:pPr>
              <w:contextualSpacing/>
              <w:rPr>
                <w:rFonts w:ascii="Times New Roman" w:eastAsia="Times New Roman" w:hAnsi="Times New Roman" w:cs="Times New Roman"/>
                <w:sz w:val="20"/>
                <w:szCs w:val="20"/>
                <w:lang w:eastAsia="sk-SK"/>
              </w:rPr>
            </w:pPr>
          </w:p>
          <w:p w:rsidR="0077073C" w:rsidRPr="00687438" w:rsidRDefault="0077073C" w:rsidP="0077073C">
            <w:pPr>
              <w:contextualSpacing/>
              <w:rPr>
                <w:rFonts w:ascii="Times New Roman" w:eastAsia="Times New Roman" w:hAnsi="Times New Roman" w:cs="Times New Roman"/>
                <w:b/>
                <w:sz w:val="20"/>
                <w:szCs w:val="20"/>
                <w:lang w:eastAsia="sk-SK"/>
              </w:rPr>
            </w:pPr>
            <w:r w:rsidRPr="00687438">
              <w:rPr>
                <w:rFonts w:ascii="Times New Roman" w:eastAsia="Times New Roman" w:hAnsi="Times New Roman" w:cs="Times New Roman"/>
                <w:b/>
                <w:sz w:val="20"/>
                <w:szCs w:val="20"/>
                <w:lang w:eastAsia="sk-SK"/>
              </w:rPr>
              <w:t>Marginálne pozitívne vplyvy:</w:t>
            </w: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povinnosť informovať záložných veriteľov (§</w:t>
            </w:r>
            <w:r w:rsidR="00A65014">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12)</w:t>
            </w: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Nová právna úprava presúva povinnosť informovať záložných veriteľov zo spoločnosti na spoločníka. Keďže táto regulácia sa dotkne len tých obchodných spoločností, ktoré majú vzťah so záložným veriteľom (obchodných spoločností bez záložných veriteľov sa táto regulácia nedotkne), a ktorých môže byť marginálny počet, predkladateľ návrhu zákona preto zaradzuje túto regulácia medzi marginálne pozitívne vplyvy.</w:t>
            </w:r>
          </w:p>
          <w:p w:rsidR="0077073C" w:rsidRPr="00DD7446" w:rsidRDefault="0077073C" w:rsidP="0077073C">
            <w:pPr>
              <w:contextualSpacing/>
              <w:rPr>
                <w:rFonts w:ascii="Times New Roman" w:eastAsia="Times New Roman" w:hAnsi="Times New Roman" w:cs="Times New Roman"/>
                <w:sz w:val="20"/>
                <w:szCs w:val="20"/>
                <w:lang w:eastAsia="sk-SK"/>
              </w:rPr>
            </w:pPr>
          </w:p>
          <w:p w:rsidR="0077073C" w:rsidRPr="00251CD1" w:rsidRDefault="0077073C" w:rsidP="0077073C">
            <w:pPr>
              <w:contextualSpacing/>
              <w:rPr>
                <w:rFonts w:ascii="Times New Roman" w:eastAsia="Times New Roman" w:hAnsi="Times New Roman" w:cs="Times New Roman"/>
                <w:b/>
                <w:sz w:val="20"/>
                <w:szCs w:val="20"/>
                <w:lang w:eastAsia="sk-SK"/>
              </w:rPr>
            </w:pPr>
            <w:r w:rsidRPr="00251CD1">
              <w:rPr>
                <w:rFonts w:ascii="Times New Roman" w:eastAsia="Times New Roman" w:hAnsi="Times New Roman" w:cs="Times New Roman"/>
                <w:b/>
                <w:sz w:val="20"/>
                <w:szCs w:val="20"/>
                <w:lang w:eastAsia="sk-SK"/>
              </w:rPr>
              <w:lastRenderedPageBreak/>
              <w:t>Marginálne negatívne vplyvy:</w:t>
            </w: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povinnosť informovať záložných veriteľov (§ 12)</w:t>
            </w: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Nová právna úprava presúva povinnosť informovať záložných veriteľov zo spoločnosti na spoločníka, ktorým môže byť aj právnická osoba. </w:t>
            </w:r>
            <w:r w:rsidR="00F47267">
              <w:rPr>
                <w:rFonts w:ascii="Times New Roman" w:eastAsia="Times New Roman" w:hAnsi="Times New Roman" w:cs="Times New Roman"/>
                <w:sz w:val="20"/>
                <w:szCs w:val="20"/>
                <w:lang w:eastAsia="sk-SK"/>
              </w:rPr>
              <w:br/>
            </w:r>
            <w:r w:rsidRPr="00DD7446">
              <w:rPr>
                <w:rFonts w:ascii="Times New Roman" w:eastAsia="Times New Roman" w:hAnsi="Times New Roman" w:cs="Times New Roman"/>
                <w:sz w:val="20"/>
                <w:szCs w:val="20"/>
                <w:lang w:eastAsia="sk-SK"/>
              </w:rPr>
              <w:t>Keďže táto regulácia sa dotkne len tých spoločníkov - PO, ktorí majú vzťah so záložným veriteľom (spoločníkov - PO bez záložných veriteľov sa táto regulácia nedotkne), a ktorých môže byť marginálny počet, predkladateľ návrhu zákona preto zaradzuje túto regulácia medzi marginálne negatívne vplyvy.</w:t>
            </w:r>
          </w:p>
          <w:p w:rsidR="0077073C" w:rsidRPr="00DD7446" w:rsidRDefault="0077073C" w:rsidP="0077073C">
            <w:pPr>
              <w:contextualSpacing/>
              <w:rPr>
                <w:rFonts w:ascii="Times New Roman" w:eastAsia="Times New Roman" w:hAnsi="Times New Roman" w:cs="Times New Roman"/>
                <w:sz w:val="20"/>
                <w:szCs w:val="20"/>
                <w:lang w:eastAsia="sk-SK"/>
              </w:rPr>
            </w:pP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 </w:t>
            </w:r>
            <w:r w:rsidR="00403954">
              <w:rPr>
                <w:rFonts w:ascii="Times New Roman" w:eastAsia="Times New Roman" w:hAnsi="Times New Roman" w:cs="Times New Roman"/>
                <w:sz w:val="20"/>
                <w:szCs w:val="20"/>
                <w:lang w:eastAsia="sk-SK"/>
              </w:rPr>
              <w:t>vyjadrenie</w:t>
            </w:r>
            <w:r w:rsidRPr="00DD7446">
              <w:rPr>
                <w:rFonts w:ascii="Times New Roman" w:eastAsia="Times New Roman" w:hAnsi="Times New Roman" w:cs="Times New Roman"/>
                <w:sz w:val="20"/>
                <w:szCs w:val="20"/>
                <w:lang w:eastAsia="sk-SK"/>
              </w:rPr>
              <w:t xml:space="preserve"> dozornej rady (§ 8</w:t>
            </w:r>
            <w:r w:rsidR="00403954">
              <w:rPr>
                <w:rFonts w:ascii="Times New Roman" w:eastAsia="Times New Roman" w:hAnsi="Times New Roman" w:cs="Times New Roman"/>
                <w:sz w:val="20"/>
                <w:szCs w:val="20"/>
                <w:lang w:eastAsia="sk-SK"/>
              </w:rPr>
              <w:t>1</w:t>
            </w:r>
            <w:r w:rsidRPr="00DD7446">
              <w:rPr>
                <w:rFonts w:ascii="Times New Roman" w:eastAsia="Times New Roman" w:hAnsi="Times New Roman" w:cs="Times New Roman"/>
                <w:sz w:val="20"/>
                <w:szCs w:val="20"/>
                <w:lang w:eastAsia="sk-SK"/>
              </w:rPr>
              <w:t>)</w:t>
            </w: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Nová právna úprava vyžaduje aj </w:t>
            </w:r>
            <w:r w:rsidR="00403954">
              <w:rPr>
                <w:rFonts w:ascii="Times New Roman" w:eastAsia="Times New Roman" w:hAnsi="Times New Roman" w:cs="Times New Roman"/>
                <w:sz w:val="20"/>
                <w:szCs w:val="20"/>
                <w:lang w:eastAsia="sk-SK"/>
              </w:rPr>
              <w:t xml:space="preserve">vyjadrenie </w:t>
            </w:r>
            <w:r w:rsidRPr="00DD7446">
              <w:rPr>
                <w:rFonts w:ascii="Times New Roman" w:eastAsia="Times New Roman" w:hAnsi="Times New Roman" w:cs="Times New Roman"/>
                <w:sz w:val="20"/>
                <w:szCs w:val="20"/>
                <w:lang w:eastAsia="sk-SK"/>
              </w:rPr>
              <w:t>dozornej rady. Z pohľadu predkladateľa však ide o marginálny vplyv</w:t>
            </w:r>
            <w:r w:rsidR="003030F6">
              <w:rPr>
                <w:rFonts w:ascii="Times New Roman" w:eastAsia="Times New Roman" w:hAnsi="Times New Roman" w:cs="Times New Roman"/>
                <w:sz w:val="20"/>
                <w:szCs w:val="20"/>
                <w:lang w:eastAsia="sk-SK"/>
              </w:rPr>
              <w:t xml:space="preserve"> na podnikateľské prostredie</w:t>
            </w:r>
            <w:r w:rsidRPr="00DD7446">
              <w:rPr>
                <w:rFonts w:ascii="Times New Roman" w:eastAsia="Times New Roman" w:hAnsi="Times New Roman" w:cs="Times New Roman"/>
                <w:sz w:val="20"/>
                <w:szCs w:val="20"/>
                <w:lang w:eastAsia="sk-SK"/>
              </w:rPr>
              <w:t xml:space="preserve">, keďže návrh zákona </w:t>
            </w:r>
            <w:r w:rsidR="003030F6">
              <w:rPr>
                <w:rFonts w:ascii="Times New Roman" w:eastAsia="Times New Roman" w:hAnsi="Times New Roman" w:cs="Times New Roman"/>
                <w:sz w:val="20"/>
                <w:szCs w:val="20"/>
                <w:lang w:eastAsia="sk-SK"/>
              </w:rPr>
              <w:t xml:space="preserve">upravuje </w:t>
            </w:r>
            <w:r w:rsidRPr="00DD7446">
              <w:rPr>
                <w:rFonts w:ascii="Times New Roman" w:eastAsia="Times New Roman" w:hAnsi="Times New Roman" w:cs="Times New Roman"/>
                <w:sz w:val="20"/>
                <w:szCs w:val="20"/>
                <w:lang w:eastAsia="sk-SK"/>
              </w:rPr>
              <w:t>v jed</w:t>
            </w:r>
            <w:r w:rsidR="00BB4980" w:rsidRPr="00DD7446">
              <w:rPr>
                <w:rFonts w:ascii="Times New Roman" w:eastAsia="Times New Roman" w:hAnsi="Times New Roman" w:cs="Times New Roman"/>
                <w:sz w:val="20"/>
                <w:szCs w:val="20"/>
                <w:lang w:eastAsia="sk-SK"/>
              </w:rPr>
              <w:t xml:space="preserve">notlivých ustanoveniach </w:t>
            </w:r>
            <w:r w:rsidR="003030F6">
              <w:rPr>
                <w:rFonts w:ascii="Times New Roman" w:eastAsia="Times New Roman" w:hAnsi="Times New Roman" w:cs="Times New Roman"/>
                <w:sz w:val="20"/>
                <w:szCs w:val="20"/>
                <w:lang w:eastAsia="sk-SK"/>
              </w:rPr>
              <w:t>návrhu zákona</w:t>
            </w:r>
            <w:r w:rsidRPr="00DD7446">
              <w:rPr>
                <w:rFonts w:ascii="Times New Roman" w:eastAsia="Times New Roman" w:hAnsi="Times New Roman" w:cs="Times New Roman"/>
                <w:sz w:val="20"/>
                <w:szCs w:val="20"/>
                <w:lang w:eastAsia="sk-SK"/>
              </w:rPr>
              <w:t xml:space="preserve">, </w:t>
            </w:r>
            <w:r w:rsidR="003030F6">
              <w:rPr>
                <w:rFonts w:ascii="Times New Roman" w:eastAsia="Times New Roman" w:hAnsi="Times New Roman" w:cs="Times New Roman"/>
                <w:sz w:val="20"/>
                <w:szCs w:val="20"/>
                <w:lang w:eastAsia="sk-SK"/>
              </w:rPr>
              <w:t>za akých okolností sa toto vyjadrenie nemusí uskutočniť</w:t>
            </w:r>
            <w:r w:rsidRPr="00DD7446">
              <w:rPr>
                <w:rFonts w:ascii="Times New Roman" w:eastAsia="Times New Roman" w:hAnsi="Times New Roman" w:cs="Times New Roman"/>
                <w:sz w:val="20"/>
                <w:szCs w:val="20"/>
                <w:lang w:eastAsia="sk-SK"/>
              </w:rPr>
              <w:t xml:space="preserve">. </w:t>
            </w:r>
          </w:p>
          <w:p w:rsidR="0077073C" w:rsidRPr="00DD7446" w:rsidRDefault="0077073C" w:rsidP="0077073C">
            <w:pPr>
              <w:contextualSpacing/>
              <w:rPr>
                <w:rFonts w:ascii="Times New Roman" w:eastAsia="Times New Roman" w:hAnsi="Times New Roman" w:cs="Times New Roman"/>
                <w:sz w:val="20"/>
                <w:szCs w:val="20"/>
                <w:lang w:eastAsia="sk-SK"/>
              </w:rPr>
            </w:pPr>
          </w:p>
          <w:p w:rsidR="0077073C" w:rsidRPr="00DD7446" w:rsidRDefault="0077073C" w:rsidP="0077073C">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 povinnosť informovať záložných veriteľov (§ </w:t>
            </w:r>
            <w:r w:rsidR="00403954">
              <w:rPr>
                <w:rFonts w:ascii="Times New Roman" w:eastAsia="Times New Roman" w:hAnsi="Times New Roman" w:cs="Times New Roman"/>
                <w:sz w:val="20"/>
                <w:szCs w:val="20"/>
                <w:lang w:eastAsia="sk-SK"/>
              </w:rPr>
              <w:t>85</w:t>
            </w:r>
            <w:r w:rsidRPr="00DD7446">
              <w:rPr>
                <w:rFonts w:ascii="Times New Roman" w:eastAsia="Times New Roman" w:hAnsi="Times New Roman" w:cs="Times New Roman"/>
                <w:sz w:val="20"/>
                <w:szCs w:val="20"/>
                <w:lang w:eastAsia="sk-SK"/>
              </w:rPr>
              <w:t>)</w:t>
            </w:r>
          </w:p>
          <w:p w:rsidR="0077073C" w:rsidRDefault="0077073C" w:rsidP="00687438">
            <w:pPr>
              <w:contextualSpacing/>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Nová právna úprava sa dotkne povinnosti informovať záložných veriteľov pri cezhraničnej premene cezhraničným rozdelením a pri cezhraničnej zmene právnej formy dvoch typov obchodných spoločností – s.</w:t>
            </w:r>
            <w:r w:rsidR="00403954">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r.</w:t>
            </w:r>
            <w:r w:rsidR="00403954">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o. a.</w:t>
            </w:r>
            <w:r w:rsidR="00403954">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 xml:space="preserve">s. </w:t>
            </w:r>
            <w:r w:rsidR="00F47267">
              <w:rPr>
                <w:rFonts w:ascii="Times New Roman" w:eastAsia="Times New Roman" w:hAnsi="Times New Roman" w:cs="Times New Roman"/>
                <w:sz w:val="20"/>
                <w:szCs w:val="20"/>
                <w:lang w:eastAsia="sk-SK"/>
              </w:rPr>
              <w:br/>
            </w:r>
            <w:r w:rsidRPr="00DD7446">
              <w:rPr>
                <w:rFonts w:ascii="Times New Roman" w:eastAsia="Times New Roman" w:hAnsi="Times New Roman" w:cs="Times New Roman"/>
                <w:sz w:val="20"/>
                <w:szCs w:val="20"/>
                <w:lang w:eastAsia="sk-SK"/>
              </w:rPr>
              <w:t>Keďže táto regulácia sa dotkne len tých obchodných spoločností, ktoré majú vzťah so záložným veriteľom (obchodných spoločností bez záložných veriteľov sa táto regulácia nedotkne), a ktorých môže byť marginálny počet, predkladateľ návrhu zákona preto zaradzuje túto regulácia medzi marginálne negatívne vplyvy.</w:t>
            </w:r>
          </w:p>
          <w:p w:rsidR="00687438" w:rsidRPr="00B043B4" w:rsidRDefault="00687438" w:rsidP="00687438">
            <w:pPr>
              <w:contextualSpacing/>
              <w:rPr>
                <w:rFonts w:ascii="Times New Roman" w:eastAsia="Calibri" w:hAnsi="Times New Roman" w:cs="Times New Roman"/>
                <w:b/>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Mgr. Marcela </w:t>
            </w:r>
            <w:proofErr w:type="spellStart"/>
            <w:r w:rsidRPr="00DD7446">
              <w:rPr>
                <w:rFonts w:ascii="Times New Roman" w:eastAsia="Times New Roman" w:hAnsi="Times New Roman" w:cs="Times New Roman"/>
                <w:sz w:val="20"/>
                <w:szCs w:val="20"/>
                <w:lang w:eastAsia="sk-SK"/>
              </w:rPr>
              <w:t>Graňáková</w:t>
            </w:r>
            <w:proofErr w:type="spellEnd"/>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 xml:space="preserve">sekcia legislatívy </w:t>
            </w:r>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odbor legislatívy občianskeho a obchodného práva</w:t>
            </w:r>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Ministerstvo spravodlivosti Slovenskej republiky</w:t>
            </w:r>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Tel.: 02/ 888 91 447</w:t>
            </w:r>
          </w:p>
          <w:p w:rsidR="0077073C" w:rsidRPr="00DD7446" w:rsidRDefault="0077073C" w:rsidP="0077073C">
            <w:pPr>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Mail:  marcela.granakova@justice.sk</w:t>
            </w:r>
          </w:p>
          <w:p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DD7446" w:rsidRDefault="0077073C" w:rsidP="00524ADF">
            <w:pPr>
              <w:jc w:val="both"/>
              <w:rPr>
                <w:rFonts w:ascii="Times New Roman" w:eastAsia="Times New Roman" w:hAnsi="Times New Roman" w:cs="Times New Roman"/>
                <w:sz w:val="20"/>
                <w:szCs w:val="20"/>
                <w:lang w:eastAsia="sk-SK"/>
              </w:rPr>
            </w:pPr>
            <w:r w:rsidRPr="00DD7446">
              <w:rPr>
                <w:rFonts w:ascii="Times New Roman" w:eastAsia="Times New Roman" w:hAnsi="Times New Roman" w:cs="Times New Roman"/>
                <w:sz w:val="20"/>
                <w:szCs w:val="20"/>
                <w:lang w:eastAsia="sk-SK"/>
              </w:rPr>
              <w:t>Informačné systémy Ministerstva spravodlivosti Slovenskej republiky, odborné konzultácie s Ministerstvom vnútra Slovenskej republiky, ktorý je gestorom zákona č. 455/1991 Zb. o živnostenskom podnikaní (živnostenský zákon), odborné konzultácie s Ministerstvom financií Slovenskej republiky, ktorý je gestorom zákona č. 431/2002 Z.</w:t>
            </w:r>
            <w:r w:rsidR="00251CD1">
              <w:rPr>
                <w:rFonts w:ascii="Times New Roman" w:eastAsia="Times New Roman" w:hAnsi="Times New Roman" w:cs="Times New Roman"/>
                <w:sz w:val="20"/>
                <w:szCs w:val="20"/>
                <w:lang w:eastAsia="sk-SK"/>
              </w:rPr>
              <w:t xml:space="preserve"> </w:t>
            </w:r>
            <w:r w:rsidRPr="00DD7446">
              <w:rPr>
                <w:rFonts w:ascii="Times New Roman" w:eastAsia="Times New Roman" w:hAnsi="Times New Roman" w:cs="Times New Roman"/>
                <w:sz w:val="20"/>
                <w:szCs w:val="20"/>
                <w:lang w:eastAsia="sk-SK"/>
              </w:rPr>
              <w:t>z.</w:t>
            </w:r>
            <w:r w:rsidR="00F47267">
              <w:rPr>
                <w:rFonts w:ascii="Times New Roman" w:eastAsia="Times New Roman" w:hAnsi="Times New Roman" w:cs="Times New Roman"/>
                <w:sz w:val="20"/>
                <w:szCs w:val="20"/>
                <w:lang w:eastAsia="sk-SK"/>
              </w:rPr>
              <w:t xml:space="preserve"> o účtovníctve</w:t>
            </w:r>
            <w:r w:rsidRPr="00DD7446">
              <w:rPr>
                <w:rFonts w:ascii="Times New Roman" w:eastAsia="Times New Roman" w:hAnsi="Times New Roman" w:cs="Times New Roman"/>
                <w:sz w:val="20"/>
                <w:szCs w:val="20"/>
                <w:lang w:eastAsia="sk-SK"/>
              </w:rPr>
              <w:t xml:space="preserve">, odborné konzultácie so Slovenskou advokátskou komorou </w:t>
            </w:r>
            <w:r w:rsidR="00A35AAC">
              <w:rPr>
                <w:rFonts w:ascii="Times New Roman" w:eastAsia="Times New Roman" w:hAnsi="Times New Roman" w:cs="Times New Roman"/>
                <w:sz w:val="20"/>
                <w:szCs w:val="20"/>
                <w:lang w:eastAsia="sk-SK"/>
              </w:rPr>
              <w:t xml:space="preserve">a so </w:t>
            </w:r>
            <w:r w:rsidRPr="00DD7446">
              <w:rPr>
                <w:rFonts w:ascii="Times New Roman" w:eastAsia="Times New Roman" w:hAnsi="Times New Roman" w:cs="Times New Roman"/>
                <w:sz w:val="20"/>
                <w:szCs w:val="20"/>
                <w:lang w:eastAsia="sk-SK"/>
              </w:rPr>
              <w:t>zástupcami Slovenskej bankovej asociácie</w:t>
            </w:r>
            <w:r w:rsidR="00A35AAC">
              <w:rPr>
                <w:rFonts w:ascii="Times New Roman" w:eastAsia="Times New Roman" w:hAnsi="Times New Roman" w:cs="Times New Roman"/>
                <w:sz w:val="20"/>
                <w:szCs w:val="20"/>
                <w:lang w:eastAsia="sk-SK"/>
              </w:rPr>
              <w:t>.</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A35AAC">
              <w:rPr>
                <w:rFonts w:ascii="Times New Roman" w:eastAsia="Calibri" w:hAnsi="Times New Roman" w:cs="Times New Roman"/>
                <w:b/>
              </w:rPr>
              <w:t>299/2022</w:t>
            </w:r>
            <w:r w:rsidR="00A35AAC"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A35AAC" w:rsidRPr="00B043B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35AAC" w:rsidRPr="00B043B4" w:rsidRDefault="00A35AAC" w:rsidP="00A35AA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35AAC" w:rsidRPr="00B043B4" w:rsidTr="00AF2C6B">
              <w:trPr>
                <w:trHeight w:val="396"/>
              </w:trPr>
              <w:tc>
                <w:tcPr>
                  <w:tcW w:w="2552" w:type="dxa"/>
                </w:tcPr>
                <w:p w:rsidR="00A35AAC" w:rsidRPr="00B043B4" w:rsidRDefault="001A212E" w:rsidP="00A35A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281068259"/>
                      <w14:checkbox>
                        <w14:checked w14:val="0"/>
                        <w14:checkedState w14:val="2612" w14:font="MS Gothic"/>
                        <w14:uncheckedState w14:val="2610" w14:font="MS Gothic"/>
                      </w14:checkbox>
                    </w:sdtPr>
                    <w:sdtEndPr/>
                    <w:sdtContent>
                      <w:r w:rsidR="00A35AAC">
                        <w:rPr>
                          <w:rFonts w:ascii="MS Gothic" w:eastAsia="MS Gothic" w:hAnsi="MS Gothic" w:cs="Times New Roman" w:hint="eastAsia"/>
                          <w:b/>
                          <w:sz w:val="20"/>
                          <w:szCs w:val="20"/>
                          <w:lang w:eastAsia="sk-SK"/>
                        </w:rPr>
                        <w:t>☐</w:t>
                      </w:r>
                    </w:sdtContent>
                  </w:sdt>
                  <w:r w:rsidR="00A35AAC">
                    <w:rPr>
                      <w:rFonts w:ascii="Times New Roman" w:eastAsia="Times New Roman" w:hAnsi="Times New Roman" w:cs="Times New Roman"/>
                      <w:b/>
                      <w:sz w:val="20"/>
                      <w:szCs w:val="20"/>
                      <w:lang w:eastAsia="sk-SK"/>
                    </w:rPr>
                    <w:t xml:space="preserve">   </w:t>
                  </w:r>
                  <w:r w:rsidR="00A35AAC" w:rsidRPr="00B043B4">
                    <w:rPr>
                      <w:rFonts w:ascii="Times New Roman" w:eastAsia="Times New Roman" w:hAnsi="Times New Roman" w:cs="Times New Roman"/>
                      <w:b/>
                      <w:sz w:val="20"/>
                      <w:szCs w:val="20"/>
                      <w:lang w:eastAsia="sk-SK"/>
                    </w:rPr>
                    <w:t xml:space="preserve">Súhlasné </w:t>
                  </w:r>
                </w:p>
              </w:tc>
              <w:tc>
                <w:tcPr>
                  <w:tcW w:w="3827" w:type="dxa"/>
                </w:tcPr>
                <w:p w:rsidR="00A35AAC" w:rsidRPr="00B043B4" w:rsidRDefault="001A212E" w:rsidP="00A35A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295792434"/>
                      <w14:checkbox>
                        <w14:checked w14:val="0"/>
                        <w14:checkedState w14:val="2612" w14:font="MS Gothic"/>
                        <w14:uncheckedState w14:val="2610" w14:font="MS Gothic"/>
                      </w14:checkbox>
                    </w:sdtPr>
                    <w:sdtEndPr/>
                    <w:sdtContent>
                      <w:r w:rsidR="00A35AAC">
                        <w:rPr>
                          <w:rFonts w:ascii="MS Gothic" w:eastAsia="MS Gothic" w:hAnsi="MS Gothic" w:cs="Times New Roman" w:hint="eastAsia"/>
                          <w:b/>
                          <w:sz w:val="20"/>
                          <w:szCs w:val="20"/>
                          <w:lang w:eastAsia="sk-SK"/>
                        </w:rPr>
                        <w:t>☐</w:t>
                      </w:r>
                    </w:sdtContent>
                  </w:sdt>
                  <w:r w:rsidR="00A35AAC">
                    <w:rPr>
                      <w:rFonts w:ascii="Times New Roman" w:eastAsia="Times New Roman" w:hAnsi="Times New Roman" w:cs="Times New Roman"/>
                      <w:b/>
                      <w:sz w:val="20"/>
                      <w:szCs w:val="20"/>
                      <w:lang w:eastAsia="sk-SK"/>
                    </w:rPr>
                    <w:t xml:space="preserve">  </w:t>
                  </w:r>
                  <w:r w:rsidR="00A35AAC" w:rsidRPr="00B043B4">
                    <w:rPr>
                      <w:rFonts w:ascii="Times New Roman" w:eastAsia="Times New Roman" w:hAnsi="Times New Roman" w:cs="Times New Roman"/>
                      <w:b/>
                      <w:sz w:val="20"/>
                      <w:szCs w:val="20"/>
                      <w:lang w:eastAsia="sk-SK"/>
                    </w:rPr>
                    <w:t>Súhlasné s  návrhom na dopracovanie</w:t>
                  </w:r>
                </w:p>
              </w:tc>
              <w:tc>
                <w:tcPr>
                  <w:tcW w:w="2534" w:type="dxa"/>
                </w:tcPr>
                <w:p w:rsidR="00A35AAC" w:rsidRPr="00B043B4" w:rsidRDefault="001A212E" w:rsidP="00A35AA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70278883"/>
                      <w14:checkbox>
                        <w14:checked w14:val="1"/>
                        <w14:checkedState w14:val="2612" w14:font="MS Gothic"/>
                        <w14:uncheckedState w14:val="2610" w14:font="MS Gothic"/>
                      </w14:checkbox>
                    </w:sdtPr>
                    <w:sdtEndPr/>
                    <w:sdtContent>
                      <w:r w:rsidR="00C44DEB">
                        <w:rPr>
                          <w:rFonts w:ascii="MS Gothic" w:eastAsia="MS Gothic" w:hAnsi="MS Gothic" w:cs="Times New Roman" w:hint="eastAsia"/>
                          <w:b/>
                          <w:sz w:val="20"/>
                          <w:szCs w:val="20"/>
                          <w:lang w:eastAsia="sk-SK"/>
                        </w:rPr>
                        <w:t>☒</w:t>
                      </w:r>
                    </w:sdtContent>
                  </w:sdt>
                  <w:r w:rsidR="00A35AAC">
                    <w:rPr>
                      <w:rFonts w:ascii="Times New Roman" w:eastAsia="Times New Roman" w:hAnsi="Times New Roman" w:cs="Times New Roman"/>
                      <w:b/>
                      <w:sz w:val="20"/>
                      <w:szCs w:val="20"/>
                      <w:lang w:eastAsia="sk-SK"/>
                    </w:rPr>
                    <w:t xml:space="preserve">  </w:t>
                  </w:r>
                  <w:r w:rsidR="00A35AAC" w:rsidRPr="00B043B4">
                    <w:rPr>
                      <w:rFonts w:ascii="Times New Roman" w:eastAsia="Times New Roman" w:hAnsi="Times New Roman" w:cs="Times New Roman"/>
                      <w:b/>
                      <w:sz w:val="20"/>
                      <w:szCs w:val="20"/>
                      <w:lang w:eastAsia="sk-SK"/>
                    </w:rPr>
                    <w:t>Nesúhlasné</w:t>
                  </w:r>
                </w:p>
              </w:tc>
            </w:tr>
          </w:tbl>
          <w:p w:rsidR="00ED3F91" w:rsidRPr="00B043B4" w:rsidRDefault="00ED3F91" w:rsidP="00ED3F91">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ED3F91" w:rsidRDefault="00ED3F91"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 xml:space="preserve">K vplyvom na podnikateľské prostredie </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Komisia odporúča predkladateľovi zosúladiť Analýzu vplyvov na podnikateľské prostredie s Kalkulačkou nákladov.</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Odôvodnenie: Pri reguláciách č. 27 a 28  je uvedený rovnaký typ administratívnej povinnosť v Analýze vplyvov na podnikateľské prostredie a Kalkulačke nákladov.</w:t>
            </w:r>
          </w:p>
          <w:p w:rsidR="00A35AAC" w:rsidRPr="0077073C" w:rsidRDefault="00A35AAC" w:rsidP="00A35AAC">
            <w:pPr>
              <w:jc w:val="both"/>
              <w:rPr>
                <w:rFonts w:ascii="Times New Roman" w:eastAsia="Times New Roman" w:hAnsi="Times New Roman" w:cs="Times New Roman"/>
                <w:sz w:val="20"/>
                <w:szCs w:val="20"/>
                <w:lang w:eastAsia="sk-SK"/>
              </w:rPr>
            </w:pPr>
          </w:p>
          <w:p w:rsidR="00A35AAC" w:rsidRDefault="00A35AAC" w:rsidP="00A35AAC">
            <w:pPr>
              <w:jc w:val="both"/>
              <w:rPr>
                <w:rFonts w:ascii="Times New Roman" w:eastAsia="Times New Roman" w:hAnsi="Times New Roman" w:cs="Times New Roman"/>
                <w:b/>
                <w:sz w:val="20"/>
                <w:szCs w:val="20"/>
                <w:u w:val="single"/>
                <w:lang w:eastAsia="sk-SK"/>
              </w:rPr>
            </w:pPr>
            <w:r w:rsidRPr="00FB54CA">
              <w:rPr>
                <w:rFonts w:ascii="Times New Roman" w:eastAsia="Times New Roman" w:hAnsi="Times New Roman" w:cs="Times New Roman"/>
                <w:b/>
                <w:sz w:val="20"/>
                <w:szCs w:val="20"/>
                <w:u w:val="single"/>
                <w:lang w:eastAsia="sk-SK"/>
              </w:rPr>
              <w:t>Vyhodnotenie:</w:t>
            </w:r>
          </w:p>
          <w:p w:rsidR="00A35AAC" w:rsidRPr="00FB54CA"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Nakoľko zmysle Analýzy vplyvov na podnikateľské prostredie aj kalkulačky nákladov sú  regulácia č. 27 a 28 odlišné regulácie, predkladateľ trvá na ich znení tak, ako boli predložené do PPK. Pripomienka nebola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Komisia žiada predkladateľa o úpravu frekvencie plnenia povinnosti v Kalkulačke nákladov a následné premietnutie do Analýzy vplyvov na podnikateľské prostredie.</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Odôvodnenie: Predkladateľ pri určení počtu dotknutých subjektov vychádzal z počtu subjektov za obdobie 09/2021 – 06/2022. Z tohto dôvodu bude objektívnejšie zvoliť frekvenciu 1x ročne pri regulácií č. 35.</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Default="00A35AAC" w:rsidP="00A35AAC">
            <w:pPr>
              <w:jc w:val="both"/>
              <w:rPr>
                <w:rFonts w:ascii="Times New Roman" w:eastAsia="Times New Roman" w:hAnsi="Times New Roman" w:cs="Times New Roman"/>
                <w:b/>
                <w:sz w:val="20"/>
                <w:szCs w:val="20"/>
                <w:u w:val="single"/>
                <w:lang w:eastAsia="sk-SK"/>
              </w:rPr>
            </w:pPr>
            <w:r w:rsidRPr="00FB54CA">
              <w:rPr>
                <w:rFonts w:ascii="Times New Roman" w:eastAsia="Times New Roman" w:hAnsi="Times New Roman" w:cs="Times New Roman"/>
                <w:b/>
                <w:sz w:val="20"/>
                <w:szCs w:val="20"/>
                <w:u w:val="single"/>
                <w:lang w:eastAsia="sk-SK"/>
              </w:rPr>
              <w:t>Vyhodnotenie:</w:t>
            </w:r>
          </w:p>
          <w:p w:rsidR="00A35AAC" w:rsidRPr="00FB54CA"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V zmysle pripomienky bol upravený počet subjektov pri danej regulácii v Analýze vplyvov na podnikateľské prostredie aj v Kalkulačne nákladov. Predkladateľ však nepovažuje za vhodné uvádzať frekvenciu 1x ročne. Ani v súčasnosti pri zmene právnej formy nedochádza z takejto transakcii 1x ročne pri každej spoločnosti, ide o skôr ojedinelú situáciu. Pripomienka nebola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Komisia žiada predkladateľa o dopracovanie bodu 3.4 v Analýze vplyvov na podnikateľské prostredie.</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Odôvodnenie: K  Čl. I. § 44 až 46: Oproti pôvodnej právnej úprave Obchodného zákonníka predkladateľ v § 44 ods. 3 navrhuje umožniť uplatniť právo na primeraný peňažný doplatok aj akcionárovi, ktorý sa nezúčastnil valného zhromaždenia o schvaľovaní návrhu projektu premeny, ktoré sa zo zákonných dôvodov nekonalo. Tento  vplyv je potrebné popísať v časti 3.4 Iné vplyvy na podnikateľské prostredie. </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FB54CA" w:rsidRDefault="00A35AAC" w:rsidP="00A35AAC">
            <w:pPr>
              <w:jc w:val="both"/>
              <w:rPr>
                <w:rFonts w:ascii="Times New Roman" w:eastAsia="Times New Roman" w:hAnsi="Times New Roman" w:cs="Times New Roman"/>
                <w:b/>
                <w:sz w:val="20"/>
                <w:szCs w:val="20"/>
                <w:u w:val="single"/>
                <w:lang w:eastAsia="sk-SK"/>
              </w:rPr>
            </w:pPr>
            <w:r w:rsidRPr="00FB54CA">
              <w:rPr>
                <w:rFonts w:ascii="Times New Roman" w:eastAsia="Times New Roman" w:hAnsi="Times New Roman" w:cs="Times New Roman"/>
                <w:b/>
                <w:sz w:val="20"/>
                <w:szCs w:val="20"/>
                <w:u w:val="single"/>
                <w:lang w:eastAsia="sk-SK"/>
              </w:rPr>
              <w:t>Vyhodnotenie:</w:t>
            </w:r>
          </w:p>
          <w:p w:rsidR="00A35AAC" w:rsidRPr="00FB54CA"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Pripomienka bola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Komisia žiada predkladateľa o dopracovanie Analýzy vplyvov na podnikateľské prostredie a kvantifikovanie všetkých vplyvov z navrhovaného materiálu.</w:t>
            </w:r>
          </w:p>
          <w:p w:rsidR="00A35AA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Odôvodnenie: Z Dôvodovej správy vyplývajú nasledovné vplyvy ktoré neboli zohľadnené a kvantifikované v Analýze vplyvov na podnikateľské prostredie. </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Konkrétne:</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I.  § 85 vyplývajú administratívne vplyvy súvisiace so zverejňovaním návrhu projektu cezhraničnej premeny</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I.  § 88 zverejnenie a sprístupnenie dokumentov k nahliadnutiu pre spoločníkov a zamestnancov</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I.  § 103 administratívne vplyvy - schvaľovanie návrhu projektu cezhraničnej premeny</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I.  § 110 administratívne vplyvy - Schvaľovanie návrhu projektu zmeny právnej formy</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I.  § 122 pozitívny vplyv – preplatenie nákladov len na jedného experta</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I. §27 § 38 §83 administratívny vplyv - vypracovanie správy dozornej rady</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ab/>
              <w:t>Čl. XXIII.  bod 2 vyžadovanie súhlasu sudcu aj pri predaju podniku</w:t>
            </w:r>
          </w:p>
          <w:p w:rsidR="00A35AAC" w:rsidRPr="0077073C" w:rsidRDefault="00A35AAC" w:rsidP="00A35AAC">
            <w:pPr>
              <w:jc w:val="both"/>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sz w:val="20"/>
                <w:szCs w:val="20"/>
                <w:lang w:eastAsia="sk-SK"/>
              </w:rPr>
              <w:t>Zároveň je potrebné doplniť do časti 3.1.2 dôvody zvolenia počtu dotknutých subjektov k reguláciám č. 21, 24, 28, 31, 32, 33, 36,37, 39, 41, 43, 44 a 46</w:t>
            </w:r>
            <w:r w:rsidRPr="0077073C">
              <w:rPr>
                <w:rFonts w:ascii="Times New Roman" w:eastAsia="Times New Roman" w:hAnsi="Times New Roman" w:cs="Times New Roman"/>
                <w:b/>
                <w:sz w:val="20"/>
                <w:szCs w:val="20"/>
                <w:lang w:eastAsia="sk-SK"/>
              </w:rPr>
              <w:t>.</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Default="00A35AAC" w:rsidP="00A35AAC">
            <w:pPr>
              <w:jc w:val="both"/>
              <w:rPr>
                <w:rFonts w:ascii="Times New Roman" w:eastAsia="Times New Roman" w:hAnsi="Times New Roman" w:cs="Times New Roman"/>
                <w:b/>
                <w:sz w:val="20"/>
                <w:szCs w:val="20"/>
                <w:u w:val="single"/>
                <w:lang w:eastAsia="sk-SK"/>
              </w:rPr>
            </w:pPr>
            <w:r w:rsidRPr="00871EF5">
              <w:rPr>
                <w:rFonts w:ascii="Times New Roman" w:eastAsia="Times New Roman" w:hAnsi="Times New Roman" w:cs="Times New Roman"/>
                <w:b/>
                <w:sz w:val="20"/>
                <w:szCs w:val="20"/>
                <w:u w:val="single"/>
                <w:lang w:eastAsia="sk-SK"/>
              </w:rPr>
              <w:t>Vyhodnotenie:</w:t>
            </w:r>
          </w:p>
          <w:p w:rsidR="00C73FAD" w:rsidRDefault="00C73FAD" w:rsidP="00A35AAC">
            <w:pPr>
              <w:jc w:val="both"/>
              <w:rPr>
                <w:rFonts w:ascii="Times New Roman" w:eastAsia="Times New Roman" w:hAnsi="Times New Roman" w:cs="Times New Roman"/>
                <w:sz w:val="20"/>
                <w:szCs w:val="20"/>
                <w:lang w:eastAsia="sk-SK"/>
              </w:rPr>
            </w:pP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85 – predmetný bod bol akceptovaný a regulácia bola zapracovaná.</w:t>
            </w: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88 – predmetný bod bol akceptovaný a regulácia bola zapracovaná.</w:t>
            </w: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103 – neakceptované, nejde o reguláciu, ale úkon rozhodovania spoločnosti do jej vnútra.</w:t>
            </w: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110 – neakceptované, ide o existujúcu reguláciu (§ 69b Obchodného zákonníka).</w:t>
            </w: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122 – predmetný bod bol akceptovaný a regulácia bola zapracovaná.</w:t>
            </w:r>
          </w:p>
          <w:p w:rsidR="00A35AA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77073C">
              <w:rPr>
                <w:rFonts w:ascii="Times New Roman" w:eastAsia="Times New Roman" w:hAnsi="Times New Roman" w:cs="Times New Roman"/>
                <w:sz w:val="20"/>
                <w:szCs w:val="20"/>
                <w:lang w:eastAsia="sk-SK"/>
              </w:rPr>
              <w:t>27</w:t>
            </w:r>
            <w:r>
              <w:rPr>
                <w:rFonts w:ascii="Times New Roman" w:eastAsia="Times New Roman" w:hAnsi="Times New Roman" w:cs="Times New Roman"/>
                <w:sz w:val="20"/>
                <w:szCs w:val="20"/>
                <w:lang w:eastAsia="sk-SK"/>
              </w:rPr>
              <w:t>,</w:t>
            </w:r>
            <w:r w:rsidRPr="0077073C">
              <w:rPr>
                <w:rFonts w:ascii="Times New Roman" w:eastAsia="Times New Roman" w:hAnsi="Times New Roman" w:cs="Times New Roman"/>
                <w:sz w:val="20"/>
                <w:szCs w:val="20"/>
                <w:lang w:eastAsia="sk-SK"/>
              </w:rPr>
              <w:t xml:space="preserve"> § 38</w:t>
            </w:r>
            <w:r>
              <w:rPr>
                <w:rFonts w:ascii="Times New Roman" w:eastAsia="Times New Roman" w:hAnsi="Times New Roman" w:cs="Times New Roman"/>
                <w:sz w:val="20"/>
                <w:szCs w:val="20"/>
                <w:lang w:eastAsia="sk-SK"/>
              </w:rPr>
              <w:t xml:space="preserve"> – neakceptované, </w:t>
            </w:r>
            <w:r w:rsidRPr="00D53B91">
              <w:rPr>
                <w:rFonts w:ascii="Times New Roman" w:eastAsia="Times New Roman" w:hAnsi="Times New Roman" w:cs="Times New Roman"/>
                <w:sz w:val="20"/>
                <w:szCs w:val="20"/>
                <w:lang w:eastAsia="sk-SK"/>
              </w:rPr>
              <w:t>ide už o existujúcu regulácie v zmysle zákona č. 513/1991 Z. z. Obchodný zákonní</w:t>
            </w:r>
            <w:r>
              <w:rPr>
                <w:rFonts w:ascii="Times New Roman" w:eastAsia="Times New Roman" w:hAnsi="Times New Roman" w:cs="Times New Roman"/>
                <w:sz w:val="20"/>
                <w:szCs w:val="20"/>
                <w:lang w:eastAsia="sk-SK"/>
              </w:rPr>
              <w:t>k.</w:t>
            </w:r>
          </w:p>
          <w:p w:rsidR="00A35AA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77073C">
              <w:rPr>
                <w:rFonts w:ascii="Times New Roman" w:eastAsia="Times New Roman" w:hAnsi="Times New Roman" w:cs="Times New Roman"/>
                <w:sz w:val="20"/>
                <w:szCs w:val="20"/>
                <w:lang w:eastAsia="sk-SK"/>
              </w:rPr>
              <w:t>83</w:t>
            </w:r>
            <w:r>
              <w:rPr>
                <w:rFonts w:ascii="Times New Roman" w:eastAsia="Times New Roman" w:hAnsi="Times New Roman" w:cs="Times New Roman"/>
                <w:sz w:val="20"/>
                <w:szCs w:val="20"/>
                <w:lang w:eastAsia="sk-SK"/>
              </w:rPr>
              <w:t xml:space="preserve"> – predmetná regulácia bola zapracovaná do bodu 10 Doložky vybraných vplyvov ako marginálny vplyv.</w:t>
            </w:r>
          </w:p>
          <w:p w:rsidR="00A35AA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XXIII.  bod 2</w:t>
            </w:r>
            <w:r>
              <w:rPr>
                <w:rFonts w:ascii="Times New Roman" w:eastAsia="Times New Roman" w:hAnsi="Times New Roman" w:cs="Times New Roman"/>
                <w:sz w:val="20"/>
                <w:szCs w:val="20"/>
                <w:lang w:eastAsia="sk-SK"/>
              </w:rPr>
              <w:t xml:space="preserve"> – neakceptované.</w:t>
            </w: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Časť 3.1.2 – k požadovaným bodom boli doplnené dôvody zvolenia počtu dotknutých regulácií tak, ako je uvedené v Analýze vplyvov na podnikateľské prostredie.</w:t>
            </w:r>
          </w:p>
          <w:p w:rsidR="00A35AAC" w:rsidRDefault="00A35AAC" w:rsidP="00A35AAC">
            <w:pPr>
              <w:jc w:val="both"/>
              <w:rPr>
                <w:rFonts w:ascii="Times New Roman" w:eastAsia="Times New Roman" w:hAnsi="Times New Roman" w:cs="Times New Roman"/>
                <w:sz w:val="20"/>
                <w:szCs w:val="20"/>
                <w:lang w:eastAsia="sk-SK"/>
              </w:rPr>
            </w:pPr>
            <w:r w:rsidRPr="00871EF5">
              <w:rPr>
                <w:rFonts w:ascii="Times New Roman" w:eastAsia="Times New Roman" w:hAnsi="Times New Roman" w:cs="Times New Roman"/>
                <w:sz w:val="20"/>
                <w:szCs w:val="20"/>
                <w:lang w:eastAsia="sk-SK"/>
              </w:rPr>
              <w:t>Pripomie</w:t>
            </w:r>
            <w:r>
              <w:rPr>
                <w:rFonts w:ascii="Times New Roman" w:eastAsia="Times New Roman" w:hAnsi="Times New Roman" w:cs="Times New Roman"/>
                <w:sz w:val="20"/>
                <w:szCs w:val="20"/>
                <w:lang w:eastAsia="sk-SK"/>
              </w:rPr>
              <w:t>nka bola čiastočne akceptovaná.</w:t>
            </w:r>
          </w:p>
          <w:p w:rsidR="00A35AAC" w:rsidRPr="00871EF5" w:rsidRDefault="00A35AAC" w:rsidP="00A35AAC">
            <w:pPr>
              <w:jc w:val="both"/>
              <w:rPr>
                <w:rFonts w:ascii="Times New Roman" w:eastAsia="Times New Roman" w:hAnsi="Times New Roman" w:cs="Times New Roman"/>
                <w:sz w:val="20"/>
                <w:szCs w:val="20"/>
                <w:lang w:eastAsia="sk-SK"/>
              </w:rPr>
            </w:pPr>
          </w:p>
          <w:p w:rsidR="00A35AAC" w:rsidRPr="0077073C" w:rsidRDefault="00A35AAC" w:rsidP="00A35AAC">
            <w:pPr>
              <w:tabs>
                <w:tab w:val="left" w:pos="1320"/>
              </w:tabs>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ab/>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Komisia žiada predkladateľa o kvantifikáciu nákladov súvisiacich s vypracovaním správy audítora.</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Odôvodnenie: Náklady na vypracovanie správ audítorov uvedených v reguláciách č. 9, 10, 13, 16, 25, 26 budú znášať relevantné spoločnosti – tie ktoré budú v budú žiadať o vypracovanie tejto správy. Preto je potrebné kvantifikovať tieto vplyvy na dotknuté spoločnosti. Predkladateľovi Komisia odporúča osloviť pár audítorských spoločností za účelom stanovenia objektívnej výšky nepriamych finančných nákladov, ktoré budú hradiť dotknuté spoločnosti.</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Default="00A35AAC" w:rsidP="00A35AAC">
            <w:pPr>
              <w:jc w:val="both"/>
              <w:rPr>
                <w:rFonts w:ascii="Times New Roman" w:eastAsia="Times New Roman" w:hAnsi="Times New Roman" w:cs="Times New Roman"/>
                <w:b/>
                <w:sz w:val="20"/>
                <w:szCs w:val="20"/>
                <w:u w:val="single"/>
                <w:lang w:eastAsia="sk-SK"/>
              </w:rPr>
            </w:pPr>
            <w:r w:rsidRPr="00871EF5">
              <w:rPr>
                <w:rFonts w:ascii="Times New Roman" w:eastAsia="Times New Roman" w:hAnsi="Times New Roman" w:cs="Times New Roman"/>
                <w:b/>
                <w:sz w:val="20"/>
                <w:szCs w:val="20"/>
                <w:u w:val="single"/>
                <w:lang w:eastAsia="sk-SK"/>
              </w:rPr>
              <w:t>Vyhodnotenie:</w:t>
            </w:r>
          </w:p>
          <w:p w:rsidR="00A35AAC" w:rsidRPr="00871EF5"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Znenie analýzy vplyvov na podnikateľské prostredie a Kalkulačky nákladov bolo upravené v súlade s pripomienkou. Pripomienka bola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Komisia žiada predkladateľa o prepracovanie resp. vypustenie regulácie č. 8 (Povinnosť informovať záložných veriteľov) z Analýzy vplyvov na podnikateľské prostredie.</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Odôvodnenie: Táto povinnosť bola v novej úprave presunutá zo spoločnosti na spoločníka. Spoločníkom však môže byť aj právnická osoba. Preto sa táto povinnosť v nezanedbateľných prípadoch prakticky presunie len z </w:t>
            </w:r>
            <w:r w:rsidRPr="0077073C">
              <w:rPr>
                <w:rFonts w:ascii="Times New Roman" w:eastAsia="Times New Roman" w:hAnsi="Times New Roman" w:cs="Times New Roman"/>
                <w:sz w:val="20"/>
                <w:szCs w:val="20"/>
                <w:lang w:eastAsia="sk-SK"/>
              </w:rPr>
              <w:lastRenderedPageBreak/>
              <w:t>jednej spoločnosti na inú. Zároveň o tejto povinnosti (doručenie oznámenia o tom, že bol vypracovaný návrh projektu premeny) musí byť spoločník v zmysle novej právnej úpravy informovaný spoločnosťou v pozvánke na valné zhromaždenie (§ 12, ods. 2), čo je nová regulácia, ktorá by mala byť popísaná a kvantifikovaná v Analýze vplyvov na podnikateľské prostredie.</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Default="00A35AAC" w:rsidP="00A35AAC">
            <w:pPr>
              <w:jc w:val="both"/>
              <w:rPr>
                <w:rFonts w:ascii="Times New Roman" w:eastAsia="Times New Roman" w:hAnsi="Times New Roman" w:cs="Times New Roman"/>
                <w:b/>
                <w:sz w:val="20"/>
                <w:szCs w:val="20"/>
                <w:u w:val="single"/>
                <w:lang w:eastAsia="sk-SK"/>
              </w:rPr>
            </w:pPr>
            <w:r w:rsidRPr="00871EF5">
              <w:rPr>
                <w:rFonts w:ascii="Times New Roman" w:eastAsia="Times New Roman" w:hAnsi="Times New Roman" w:cs="Times New Roman"/>
                <w:b/>
                <w:sz w:val="20"/>
                <w:szCs w:val="20"/>
                <w:u w:val="single"/>
                <w:lang w:eastAsia="sk-SK"/>
              </w:rPr>
              <w:t>Vyhodnotenie:</w:t>
            </w:r>
          </w:p>
          <w:p w:rsidR="00A35AA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Regulácia č. 8 bola prepracovaná - zahrnutá do bodu 10 Doložky vybraných vplyvov ako marginálny vplyv.</w:t>
            </w:r>
          </w:p>
          <w:p w:rsidR="00A35AAC" w:rsidRPr="00871EF5"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Navrhovaná úprava k §12 ods. 2 nebola do Analýzy zapracovaná, nakoľko podľa názoru predkladateľa nejde o administratívnu záťaž (pozvánku na </w:t>
            </w:r>
            <w:r w:rsidR="00ED3F91">
              <w:rPr>
                <w:rFonts w:ascii="Times New Roman" w:eastAsia="Times New Roman" w:hAnsi="Times New Roman" w:cs="Times New Roman"/>
                <w:sz w:val="20"/>
                <w:szCs w:val="20"/>
                <w:lang w:eastAsia="sk-SK"/>
              </w:rPr>
              <w:t>valné zhromaždenie</w:t>
            </w:r>
            <w:r>
              <w:rPr>
                <w:rFonts w:ascii="Times New Roman" w:eastAsia="Times New Roman" w:hAnsi="Times New Roman" w:cs="Times New Roman"/>
                <w:sz w:val="20"/>
                <w:szCs w:val="20"/>
                <w:lang w:eastAsia="sk-SK"/>
              </w:rPr>
              <w:t xml:space="preserve"> musí zasielať bez ohľadu na to, či by túto informáciu v nej uviesť musel alebo nie). Pripomienka bola čiastočne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Komisia odporúča predkladateľovi doplniť do Analýzy vplyvov na podnikateľské prostredie v časti 3.2 „Vyhodnotenie konzultácií s podnikateľskými subjektmi pred predbežným pripomienkovým konaním“ hlavné body konzultácií a ich závery a tiež predložené alternatívne riešenia problematiky od konzultujúcich subjektov, ako aj návrhy od konzultujúcich subjektov na zníženie nákladov regulácií na podnikateľské prostredie, ktoré neboli akceptované a dôvod ich neakceptovania.</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Odôvodnenie: Ide o povinnú súčasť Analýzy vplyvov na podnikateľské prostredie.</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871EF5" w:rsidRDefault="00A35AAC" w:rsidP="00A35AAC">
            <w:pPr>
              <w:jc w:val="both"/>
              <w:rPr>
                <w:rFonts w:ascii="Times New Roman" w:eastAsia="Times New Roman" w:hAnsi="Times New Roman" w:cs="Times New Roman"/>
                <w:b/>
                <w:sz w:val="20"/>
                <w:szCs w:val="20"/>
                <w:u w:val="single"/>
                <w:lang w:eastAsia="sk-SK"/>
              </w:rPr>
            </w:pPr>
            <w:r w:rsidRPr="00871EF5">
              <w:rPr>
                <w:rFonts w:ascii="Times New Roman" w:eastAsia="Times New Roman" w:hAnsi="Times New Roman" w:cs="Times New Roman"/>
                <w:b/>
                <w:sz w:val="20"/>
                <w:szCs w:val="20"/>
                <w:u w:val="single"/>
                <w:lang w:eastAsia="sk-SK"/>
              </w:rPr>
              <w:t xml:space="preserve">Vyhodnotenie: </w:t>
            </w:r>
          </w:p>
          <w:p w:rsidR="00A35AAC" w:rsidRPr="00FB54CA" w:rsidRDefault="00A35AAC" w:rsidP="00A35AAC">
            <w:pPr>
              <w:jc w:val="both"/>
              <w:rPr>
                <w:rFonts w:ascii="Times New Roman" w:eastAsia="Times New Roman" w:hAnsi="Times New Roman" w:cs="Times New Roman"/>
                <w:sz w:val="20"/>
                <w:szCs w:val="20"/>
                <w:lang w:eastAsia="sk-SK"/>
              </w:rPr>
            </w:pPr>
            <w:r w:rsidRPr="00FB54CA">
              <w:rPr>
                <w:rFonts w:ascii="Times New Roman" w:eastAsia="Times New Roman" w:hAnsi="Times New Roman" w:cs="Times New Roman"/>
                <w:sz w:val="20"/>
                <w:szCs w:val="20"/>
                <w:lang w:eastAsia="sk-SK"/>
              </w:rPr>
              <w:t>Text Analýzy vplyvov na podnikateľské prostredie bol upravený v súlade s pripomienkou. Pripomienka bola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Vzhľadom na to, že na predložený materiál sa uplatňuje Mechanizmus znižovania byrokracie a nákladov, predkladateľovi  vyplýva povinnosť v zmysle bodu 6.7. Jednotnej metodiky na posudzovanie vybraných vplyvov, zaslať aktuálnu verziu časti 3.1 Náklady regulácie analýzy vplyvov na podnikateľské prostredie Ministerstvu hospodárstva na adresu 1in2out@mhsr.sk najneskôr do 45 kalendárnych dní od vyhlásenia právneho predpisu v Zbierke zákonov SR.</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b/>
                <w:sz w:val="20"/>
                <w:szCs w:val="20"/>
                <w:u w:val="single"/>
                <w:lang w:eastAsia="sk-SK"/>
              </w:rPr>
            </w:pPr>
            <w:r w:rsidRPr="0077073C">
              <w:rPr>
                <w:rFonts w:ascii="Times New Roman" w:eastAsia="Times New Roman" w:hAnsi="Times New Roman" w:cs="Times New Roman"/>
                <w:b/>
                <w:sz w:val="20"/>
                <w:szCs w:val="20"/>
                <w:u w:val="single"/>
                <w:lang w:eastAsia="sk-SK"/>
              </w:rPr>
              <w:t xml:space="preserve">Vyhodnotenie: </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Predkladateľ doplnil uvedenú povinnosť do Analýzy vplyvov na podnikateľské prostredie. Pripomienka bola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DD7446" w:rsidRDefault="00A35AAC" w:rsidP="00A35AAC">
            <w:pPr>
              <w:jc w:val="both"/>
              <w:rPr>
                <w:rFonts w:ascii="Times New Roman" w:eastAsia="Times New Roman" w:hAnsi="Times New Roman" w:cs="Times New Roman"/>
                <w:b/>
                <w:sz w:val="20"/>
                <w:szCs w:val="20"/>
                <w:lang w:eastAsia="sk-SK"/>
              </w:rPr>
            </w:pPr>
            <w:r w:rsidRPr="00DD7446">
              <w:rPr>
                <w:rFonts w:ascii="Times New Roman" w:eastAsia="Times New Roman" w:hAnsi="Times New Roman" w:cs="Times New Roman"/>
                <w:b/>
                <w:sz w:val="20"/>
                <w:szCs w:val="20"/>
                <w:lang w:eastAsia="sk-SK"/>
              </w:rPr>
              <w:t xml:space="preserve">K vplyvom na rozpočet verejnej správy </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 xml:space="preserve">V doložke vybraných vplyvov je označený negatívny vplyv na rozpočet verejnej správy, ktorý nie je rozpočtovo zabezpečený. V bode 10. Poznámky sa uvádza, že nekrytý vplyv sa navrhuje riešiť navýšením limitu záväzných ukazovateľov štátneho rozpočtu pre kapitolu MS SR a MV SR v roku 2023. V analýze vplyvov v tabuľke č.1 je však kvantifikovaný nárast výdavkov v roku 2023 v sume 124 032 eur len pre kapitolu MS SR. Uvedené Komisia žiada zosúladiť a všetky vplyvy vyplývajúce z návrhu zákona Komisia žiada zabezpečiť v rámci schválených limitov dotknutých subjektov verejnej správy na príslušný rozpočtový rok, bez dodatočných požiadaviek na štátny rozpočet. V nadväznosti na uvedené je potrebné upraviť doložku vybraných vplyvov a analýzu vplyvov tak, aby z nich nevyplýval rozpočtovo nekrytý vplyv. </w:t>
            </w:r>
          </w:p>
          <w:p w:rsidR="00A35AAC" w:rsidRPr="0077073C" w:rsidRDefault="00A35AAC" w:rsidP="00A35AAC">
            <w:pPr>
              <w:jc w:val="both"/>
              <w:rPr>
                <w:rFonts w:ascii="Times New Roman" w:eastAsia="Times New Roman" w:hAnsi="Times New Roman" w:cs="Times New Roman"/>
                <w:sz w:val="20"/>
                <w:szCs w:val="20"/>
                <w:lang w:eastAsia="sk-SK"/>
              </w:rPr>
            </w:pPr>
          </w:p>
          <w:p w:rsidR="00A35AAC" w:rsidRPr="0077073C" w:rsidRDefault="00A35AAC" w:rsidP="00A35AAC">
            <w:pPr>
              <w:jc w:val="both"/>
              <w:rPr>
                <w:rFonts w:ascii="Times New Roman" w:eastAsia="Times New Roman" w:hAnsi="Times New Roman" w:cs="Times New Roman"/>
                <w:b/>
                <w:sz w:val="20"/>
                <w:szCs w:val="20"/>
                <w:u w:val="single"/>
                <w:lang w:eastAsia="sk-SK"/>
              </w:rPr>
            </w:pPr>
            <w:r w:rsidRPr="0077073C">
              <w:rPr>
                <w:rFonts w:ascii="Times New Roman" w:eastAsia="Times New Roman" w:hAnsi="Times New Roman" w:cs="Times New Roman"/>
                <w:b/>
                <w:sz w:val="20"/>
                <w:szCs w:val="20"/>
                <w:u w:val="single"/>
                <w:lang w:eastAsia="sk-SK"/>
              </w:rPr>
              <w:t>Vyhodnotenie:</w:t>
            </w:r>
          </w:p>
          <w:p w:rsidR="00A35AAC" w:rsidRPr="0077073C" w:rsidRDefault="00A35AAC" w:rsidP="00A35AA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Znenie Doložky vybraných vplyvov bolo zosúladené so znením Analýzy vplyvov na rozpočet verejnej správy. V ostatnej časti p</w:t>
            </w:r>
            <w:r w:rsidRPr="0077073C">
              <w:rPr>
                <w:rFonts w:ascii="Times New Roman" w:eastAsia="Times New Roman" w:hAnsi="Times New Roman" w:cs="Times New Roman"/>
                <w:sz w:val="20"/>
                <w:szCs w:val="20"/>
                <w:lang w:eastAsia="sk-SK"/>
              </w:rPr>
              <w:t xml:space="preserve">redkladateľ zotrváva na znení </w:t>
            </w:r>
            <w:r>
              <w:rPr>
                <w:rFonts w:ascii="Times New Roman" w:eastAsia="Times New Roman" w:hAnsi="Times New Roman" w:cs="Times New Roman"/>
                <w:sz w:val="20"/>
                <w:szCs w:val="20"/>
                <w:lang w:eastAsia="sk-SK"/>
              </w:rPr>
              <w:t>Doložky aj Analýzy</w:t>
            </w:r>
            <w:r w:rsidRPr="0077073C">
              <w:rPr>
                <w:rFonts w:ascii="Times New Roman" w:eastAsia="Times New Roman" w:hAnsi="Times New Roman" w:cs="Times New Roman"/>
                <w:sz w:val="20"/>
                <w:szCs w:val="20"/>
                <w:lang w:eastAsia="sk-SK"/>
              </w:rPr>
              <w:t xml:space="preserve"> tak</w:t>
            </w:r>
            <w:r>
              <w:rPr>
                <w:rFonts w:ascii="Times New Roman" w:eastAsia="Times New Roman" w:hAnsi="Times New Roman" w:cs="Times New Roman"/>
                <w:sz w:val="20"/>
                <w:szCs w:val="20"/>
                <w:lang w:eastAsia="sk-SK"/>
              </w:rPr>
              <w:t>, ako boli</w:t>
            </w:r>
            <w:r w:rsidRPr="0077073C">
              <w:rPr>
                <w:rFonts w:ascii="Times New Roman" w:eastAsia="Times New Roman" w:hAnsi="Times New Roman" w:cs="Times New Roman"/>
                <w:sz w:val="20"/>
                <w:szCs w:val="20"/>
                <w:lang w:eastAsia="sk-SK"/>
              </w:rPr>
              <w:t xml:space="preserve"> predložen</w:t>
            </w:r>
            <w:r>
              <w:rPr>
                <w:rFonts w:ascii="Times New Roman" w:eastAsia="Times New Roman" w:hAnsi="Times New Roman" w:cs="Times New Roman"/>
                <w:sz w:val="20"/>
                <w:szCs w:val="20"/>
                <w:lang w:eastAsia="sk-SK"/>
              </w:rPr>
              <w:t>é</w:t>
            </w:r>
            <w:r w:rsidRPr="0077073C">
              <w:rPr>
                <w:rFonts w:ascii="Times New Roman" w:eastAsia="Times New Roman" w:hAnsi="Times New Roman" w:cs="Times New Roman"/>
                <w:sz w:val="20"/>
                <w:szCs w:val="20"/>
                <w:lang w:eastAsia="sk-SK"/>
              </w:rPr>
              <w:t xml:space="preserve"> do predbežného pripomienkového konania.</w:t>
            </w:r>
            <w:r>
              <w:rPr>
                <w:rFonts w:ascii="Times New Roman" w:eastAsia="Times New Roman" w:hAnsi="Times New Roman" w:cs="Times New Roman"/>
                <w:sz w:val="20"/>
                <w:szCs w:val="20"/>
                <w:lang w:eastAsia="sk-SK"/>
              </w:rPr>
              <w:t xml:space="preserve"> Pripomienka bola čiastočne akceptovaná.</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b/>
                <w:sz w:val="20"/>
                <w:szCs w:val="20"/>
                <w:lang w:eastAsia="sk-SK"/>
              </w:rPr>
            </w:pPr>
            <w:r w:rsidRPr="0077073C">
              <w:rPr>
                <w:rFonts w:ascii="Times New Roman" w:eastAsia="Times New Roman" w:hAnsi="Times New Roman" w:cs="Times New Roman"/>
                <w:b/>
                <w:sz w:val="20"/>
                <w:szCs w:val="20"/>
                <w:lang w:eastAsia="sk-SK"/>
              </w:rPr>
              <w:t>K vplyvom na služby verejnej správy pre občana</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Predkladateľovi Komisia navrhuje v doložke vybraných vplyvov vyznačiť žiadny vplyv aj na procesy služieb vo verejnej správe</w:t>
            </w:r>
            <w:r w:rsidRPr="0077073C">
              <w:rPr>
                <w:rFonts w:ascii="Times New Roman" w:eastAsia="Times New Roman" w:hAnsi="Times New Roman" w:cs="Times New Roman"/>
                <w:b/>
                <w:sz w:val="20"/>
                <w:szCs w:val="20"/>
                <w:lang w:eastAsia="sk-SK"/>
              </w:rPr>
              <w:t>.</w:t>
            </w:r>
          </w:p>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77073C" w:rsidRDefault="00A35AAC" w:rsidP="00A35AAC">
            <w:pPr>
              <w:jc w:val="both"/>
              <w:rPr>
                <w:rFonts w:ascii="Times New Roman" w:eastAsia="Times New Roman" w:hAnsi="Times New Roman" w:cs="Times New Roman"/>
                <w:b/>
                <w:sz w:val="20"/>
                <w:szCs w:val="20"/>
                <w:u w:val="single"/>
                <w:lang w:eastAsia="sk-SK"/>
              </w:rPr>
            </w:pPr>
            <w:r w:rsidRPr="0077073C">
              <w:rPr>
                <w:rFonts w:ascii="Times New Roman" w:eastAsia="Times New Roman" w:hAnsi="Times New Roman" w:cs="Times New Roman"/>
                <w:b/>
                <w:sz w:val="20"/>
                <w:szCs w:val="20"/>
                <w:u w:val="single"/>
                <w:lang w:eastAsia="sk-SK"/>
              </w:rPr>
              <w:t xml:space="preserve">Vyhodnotenie: </w:t>
            </w:r>
          </w:p>
          <w:p w:rsidR="00A35AAC" w:rsidRPr="0077073C" w:rsidRDefault="00A35AAC" w:rsidP="00A35AAC">
            <w:pPr>
              <w:jc w:val="both"/>
              <w:rPr>
                <w:rFonts w:ascii="Times New Roman" w:eastAsia="Times New Roman" w:hAnsi="Times New Roman" w:cs="Times New Roman"/>
                <w:sz w:val="20"/>
                <w:szCs w:val="20"/>
                <w:lang w:eastAsia="sk-SK"/>
              </w:rPr>
            </w:pPr>
            <w:r w:rsidRPr="0077073C">
              <w:rPr>
                <w:rFonts w:ascii="Times New Roman" w:eastAsia="Times New Roman" w:hAnsi="Times New Roman" w:cs="Times New Roman"/>
                <w:sz w:val="20"/>
                <w:szCs w:val="20"/>
                <w:lang w:eastAsia="sk-SK"/>
              </w:rPr>
              <w:t>Znenie Doložky</w:t>
            </w:r>
            <w:r>
              <w:rPr>
                <w:rFonts w:ascii="Times New Roman" w:eastAsia="Times New Roman" w:hAnsi="Times New Roman" w:cs="Times New Roman"/>
                <w:sz w:val="20"/>
                <w:szCs w:val="20"/>
                <w:lang w:eastAsia="sk-SK"/>
              </w:rPr>
              <w:t xml:space="preserve"> vybraných vplyvov</w:t>
            </w:r>
            <w:r w:rsidRPr="0077073C">
              <w:rPr>
                <w:rFonts w:ascii="Times New Roman" w:eastAsia="Times New Roman" w:hAnsi="Times New Roman" w:cs="Times New Roman"/>
                <w:sz w:val="20"/>
                <w:szCs w:val="20"/>
                <w:lang w:eastAsia="sk-SK"/>
              </w:rPr>
              <w:t xml:space="preserve"> bolo doplnené v súlade s pripomienkou. Pripomienka boli predkladateľom akceptovaná.</w:t>
            </w:r>
          </w:p>
          <w:p w:rsidR="00A35AAC" w:rsidRPr="00B043B4" w:rsidRDefault="00A35AAC" w:rsidP="00A35AAC">
            <w:pPr>
              <w:rPr>
                <w:rFonts w:ascii="Times New Roman" w:eastAsia="Times New Roman" w:hAnsi="Times New Roman" w:cs="Times New Roman"/>
                <w:b/>
                <w:sz w:val="20"/>
                <w:szCs w:val="20"/>
                <w:lang w:eastAsia="sk-SK"/>
              </w:rPr>
            </w:pPr>
          </w:p>
          <w:p w:rsidR="00A35AAC" w:rsidRPr="00B043B4" w:rsidRDefault="00A35AAC" w:rsidP="00A35AAC">
            <w:pPr>
              <w:rPr>
                <w:rFonts w:ascii="Times New Roman" w:eastAsia="Times New Roman" w:hAnsi="Times New Roman" w:cs="Times New Roman"/>
                <w:b/>
                <w:sz w:val="20"/>
                <w:szCs w:val="20"/>
                <w:lang w:eastAsia="sk-SK"/>
              </w:rPr>
            </w:pPr>
          </w:p>
          <w:p w:rsidR="00A35AAC" w:rsidRDefault="00A35AAC" w:rsidP="00A35AAC">
            <w:pPr>
              <w:rPr>
                <w:rFonts w:ascii="Times New Roman" w:eastAsia="Times New Roman" w:hAnsi="Times New Roman" w:cs="Times New Roman"/>
                <w:b/>
                <w:sz w:val="20"/>
                <w:szCs w:val="20"/>
                <w:lang w:eastAsia="sk-SK"/>
              </w:rPr>
            </w:pPr>
          </w:p>
          <w:p w:rsidR="00A35AAC" w:rsidRPr="00B043B4" w:rsidRDefault="00A35AAC" w:rsidP="00A35AAC">
            <w:pPr>
              <w:rPr>
                <w:rFonts w:ascii="Times New Roman" w:eastAsia="Times New Roman" w:hAnsi="Times New Roman" w:cs="Times New Roman"/>
                <w:b/>
                <w:sz w:val="20"/>
                <w:szCs w:val="20"/>
                <w:lang w:eastAsia="sk-SK"/>
              </w:rPr>
            </w:pPr>
          </w:p>
        </w:tc>
      </w:tr>
      <w:tr w:rsidR="00A35AAC"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A35AAC" w:rsidRPr="00B043B4" w:rsidRDefault="00A35AAC" w:rsidP="00A35AA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A35AAC" w:rsidRPr="00B043B4" w:rsidTr="000800FC">
        <w:tblPrEx>
          <w:tblBorders>
            <w:insideH w:val="single" w:sz="4" w:space="0" w:color="FFFFFF"/>
            <w:insideV w:val="single" w:sz="4" w:space="0" w:color="FFFFFF"/>
          </w:tblBorders>
        </w:tblPrEx>
        <w:tc>
          <w:tcPr>
            <w:tcW w:w="9176" w:type="dxa"/>
            <w:shd w:val="clear" w:color="auto" w:fill="FFFFFF"/>
          </w:tcPr>
          <w:p w:rsidR="00A35AAC" w:rsidRPr="00B043B4" w:rsidRDefault="00A35AAC" w:rsidP="00A35AA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35AAC" w:rsidRPr="00B043B4" w:rsidTr="000800FC">
              <w:trPr>
                <w:trHeight w:val="396"/>
              </w:trPr>
              <w:tc>
                <w:tcPr>
                  <w:tcW w:w="2552" w:type="dxa"/>
                </w:tcPr>
                <w:p w:rsidR="00A35AAC" w:rsidRPr="00B043B4" w:rsidRDefault="001A212E" w:rsidP="00A35A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A35AAC">
                        <w:rPr>
                          <w:rFonts w:ascii="MS Gothic" w:eastAsia="MS Gothic" w:hAnsi="MS Gothic" w:cs="Times New Roman" w:hint="eastAsia"/>
                          <w:b/>
                          <w:sz w:val="20"/>
                          <w:szCs w:val="20"/>
                          <w:lang w:eastAsia="sk-SK"/>
                        </w:rPr>
                        <w:t>☐</w:t>
                      </w:r>
                    </w:sdtContent>
                  </w:sdt>
                  <w:r w:rsidR="00A35AAC">
                    <w:rPr>
                      <w:rFonts w:ascii="Times New Roman" w:eastAsia="Times New Roman" w:hAnsi="Times New Roman" w:cs="Times New Roman"/>
                      <w:b/>
                      <w:sz w:val="20"/>
                      <w:szCs w:val="20"/>
                      <w:lang w:eastAsia="sk-SK"/>
                    </w:rPr>
                    <w:t xml:space="preserve">   </w:t>
                  </w:r>
                  <w:r w:rsidR="00A35AAC" w:rsidRPr="00B043B4">
                    <w:rPr>
                      <w:rFonts w:ascii="Times New Roman" w:eastAsia="Times New Roman" w:hAnsi="Times New Roman" w:cs="Times New Roman"/>
                      <w:b/>
                      <w:sz w:val="20"/>
                      <w:szCs w:val="20"/>
                      <w:lang w:eastAsia="sk-SK"/>
                    </w:rPr>
                    <w:t xml:space="preserve">Súhlasné </w:t>
                  </w:r>
                </w:p>
              </w:tc>
              <w:tc>
                <w:tcPr>
                  <w:tcW w:w="3827" w:type="dxa"/>
                </w:tcPr>
                <w:p w:rsidR="00A35AAC" w:rsidRPr="00B043B4" w:rsidRDefault="001A212E" w:rsidP="00A35AA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A35AAC">
                        <w:rPr>
                          <w:rFonts w:ascii="MS Gothic" w:eastAsia="MS Gothic" w:hAnsi="MS Gothic" w:cs="Times New Roman" w:hint="eastAsia"/>
                          <w:b/>
                          <w:sz w:val="20"/>
                          <w:szCs w:val="20"/>
                          <w:lang w:eastAsia="sk-SK"/>
                        </w:rPr>
                        <w:t>☐</w:t>
                      </w:r>
                    </w:sdtContent>
                  </w:sdt>
                  <w:r w:rsidR="00A35AAC">
                    <w:rPr>
                      <w:rFonts w:ascii="Times New Roman" w:eastAsia="Times New Roman" w:hAnsi="Times New Roman" w:cs="Times New Roman"/>
                      <w:b/>
                      <w:sz w:val="20"/>
                      <w:szCs w:val="20"/>
                      <w:lang w:eastAsia="sk-SK"/>
                    </w:rPr>
                    <w:t xml:space="preserve">  </w:t>
                  </w:r>
                  <w:r w:rsidR="00A35AAC" w:rsidRPr="00B043B4">
                    <w:rPr>
                      <w:rFonts w:ascii="Times New Roman" w:eastAsia="Times New Roman" w:hAnsi="Times New Roman" w:cs="Times New Roman"/>
                      <w:b/>
                      <w:sz w:val="20"/>
                      <w:szCs w:val="20"/>
                      <w:lang w:eastAsia="sk-SK"/>
                    </w:rPr>
                    <w:t>Súhlasné s  návrhom na dopracovanie</w:t>
                  </w:r>
                </w:p>
              </w:tc>
              <w:tc>
                <w:tcPr>
                  <w:tcW w:w="2534" w:type="dxa"/>
                </w:tcPr>
                <w:p w:rsidR="00A35AAC" w:rsidRPr="00B043B4" w:rsidRDefault="001A212E" w:rsidP="00A35AA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A35AAC">
                        <w:rPr>
                          <w:rFonts w:ascii="MS Gothic" w:eastAsia="MS Gothic" w:hAnsi="MS Gothic" w:cs="Times New Roman" w:hint="eastAsia"/>
                          <w:b/>
                          <w:sz w:val="20"/>
                          <w:szCs w:val="20"/>
                          <w:lang w:eastAsia="sk-SK"/>
                        </w:rPr>
                        <w:t>☐</w:t>
                      </w:r>
                    </w:sdtContent>
                  </w:sdt>
                  <w:r w:rsidR="00A35AAC">
                    <w:rPr>
                      <w:rFonts w:ascii="Times New Roman" w:eastAsia="Times New Roman" w:hAnsi="Times New Roman" w:cs="Times New Roman"/>
                      <w:b/>
                      <w:sz w:val="20"/>
                      <w:szCs w:val="20"/>
                      <w:lang w:eastAsia="sk-SK"/>
                    </w:rPr>
                    <w:t xml:space="preserve">  </w:t>
                  </w:r>
                  <w:r w:rsidR="00A35AAC" w:rsidRPr="00B043B4">
                    <w:rPr>
                      <w:rFonts w:ascii="Times New Roman" w:eastAsia="Times New Roman" w:hAnsi="Times New Roman" w:cs="Times New Roman"/>
                      <w:b/>
                      <w:sz w:val="20"/>
                      <w:szCs w:val="20"/>
                      <w:lang w:eastAsia="sk-SK"/>
                    </w:rPr>
                    <w:t>Nesúhlasné</w:t>
                  </w:r>
                </w:p>
              </w:tc>
            </w:tr>
          </w:tbl>
          <w:p w:rsidR="00A35AAC" w:rsidRPr="0077073C" w:rsidRDefault="00A35AAC" w:rsidP="00A35AAC">
            <w:pPr>
              <w:jc w:val="both"/>
              <w:rPr>
                <w:rFonts w:ascii="Times New Roman" w:eastAsia="Times New Roman" w:hAnsi="Times New Roman" w:cs="Times New Roman"/>
                <w:b/>
                <w:sz w:val="20"/>
                <w:szCs w:val="20"/>
                <w:lang w:eastAsia="sk-SK"/>
              </w:rPr>
            </w:pPr>
          </w:p>
          <w:p w:rsidR="00A35AAC" w:rsidRPr="00B043B4" w:rsidRDefault="00A35AAC" w:rsidP="00A35AAC">
            <w:pPr>
              <w:rPr>
                <w:rFonts w:ascii="Times New Roman" w:eastAsia="Times New Roman" w:hAnsi="Times New Roman" w:cs="Times New Roman"/>
                <w:b/>
                <w:sz w:val="20"/>
                <w:szCs w:val="20"/>
                <w:lang w:eastAsia="sk-SK"/>
              </w:rPr>
            </w:pPr>
          </w:p>
          <w:p w:rsidR="00A35AAC" w:rsidRPr="00B043B4" w:rsidRDefault="00A35AAC" w:rsidP="00A35AAC">
            <w:pPr>
              <w:rPr>
                <w:rFonts w:ascii="Times New Roman" w:eastAsia="Times New Roman" w:hAnsi="Times New Roman" w:cs="Times New Roman"/>
                <w:b/>
                <w:sz w:val="20"/>
                <w:szCs w:val="20"/>
                <w:lang w:eastAsia="sk-SK"/>
              </w:rPr>
            </w:pPr>
          </w:p>
        </w:tc>
      </w:tr>
      <w:tr w:rsidR="00A35AAC" w:rsidRPr="00B043B4" w:rsidTr="000800FC">
        <w:tblPrEx>
          <w:tblBorders>
            <w:insideH w:val="single" w:sz="4" w:space="0" w:color="FFFFFF"/>
            <w:insideV w:val="single" w:sz="4" w:space="0" w:color="FFFFFF"/>
          </w:tblBorders>
        </w:tblPrEx>
        <w:tc>
          <w:tcPr>
            <w:tcW w:w="9176" w:type="dxa"/>
            <w:shd w:val="clear" w:color="auto" w:fill="FFFFFF"/>
          </w:tcPr>
          <w:p w:rsidR="00A35AAC" w:rsidRPr="00B043B4" w:rsidRDefault="00A35AAC" w:rsidP="00A35AAC">
            <w:pPr>
              <w:rPr>
                <w:rFonts w:ascii="Times New Roman" w:eastAsia="Times New Roman" w:hAnsi="Times New Roman" w:cs="Times New Roman"/>
                <w:b/>
                <w:sz w:val="20"/>
                <w:szCs w:val="20"/>
                <w:lang w:eastAsia="sk-SK"/>
              </w:rPr>
            </w:pPr>
          </w:p>
        </w:tc>
      </w:tr>
    </w:tbl>
    <w:p w:rsidR="00274130" w:rsidRDefault="001A212E"/>
    <w:sectPr w:rsidR="00274130" w:rsidSect="001E35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2E" w:rsidRDefault="001A212E" w:rsidP="001B23B7">
      <w:pPr>
        <w:spacing w:after="0" w:line="240" w:lineRule="auto"/>
      </w:pPr>
      <w:r>
        <w:separator/>
      </w:r>
    </w:p>
  </w:endnote>
  <w:endnote w:type="continuationSeparator" w:id="0">
    <w:p w:rsidR="001A212E" w:rsidRDefault="001A212E"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8926BB">
          <w:rPr>
            <w:rFonts w:ascii="Times New Roman" w:hAnsi="Times New Roman" w:cs="Times New Roman"/>
            <w:noProof/>
            <w:sz w:val="24"/>
            <w:szCs w:val="24"/>
          </w:rPr>
          <w:t>7</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2E" w:rsidRDefault="001A212E" w:rsidP="001B23B7">
      <w:pPr>
        <w:spacing w:after="0" w:line="240" w:lineRule="auto"/>
      </w:pPr>
      <w:r>
        <w:separator/>
      </w:r>
    </w:p>
  </w:footnote>
  <w:footnote w:type="continuationSeparator" w:id="0">
    <w:p w:rsidR="001A212E" w:rsidRDefault="001A212E"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908B3"/>
    <w:multiLevelType w:val="hybridMultilevel"/>
    <w:tmpl w:val="901605D0"/>
    <w:lvl w:ilvl="0" w:tplc="438E061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4874"/>
    <w:rsid w:val="00043706"/>
    <w:rsid w:val="0005074B"/>
    <w:rsid w:val="00097069"/>
    <w:rsid w:val="000D348F"/>
    <w:rsid w:val="000F2BE9"/>
    <w:rsid w:val="0010451E"/>
    <w:rsid w:val="00113AE4"/>
    <w:rsid w:val="00187182"/>
    <w:rsid w:val="001A212E"/>
    <w:rsid w:val="001B23B7"/>
    <w:rsid w:val="001E3562"/>
    <w:rsid w:val="00203EE3"/>
    <w:rsid w:val="002243BB"/>
    <w:rsid w:val="0023360B"/>
    <w:rsid w:val="00243652"/>
    <w:rsid w:val="00251CD1"/>
    <w:rsid w:val="0025253B"/>
    <w:rsid w:val="003030F6"/>
    <w:rsid w:val="003145AE"/>
    <w:rsid w:val="003A057B"/>
    <w:rsid w:val="003C2A1F"/>
    <w:rsid w:val="003E62B2"/>
    <w:rsid w:val="00403954"/>
    <w:rsid w:val="00411898"/>
    <w:rsid w:val="004437EE"/>
    <w:rsid w:val="0049476D"/>
    <w:rsid w:val="004A4383"/>
    <w:rsid w:val="004C6831"/>
    <w:rsid w:val="00524ADF"/>
    <w:rsid w:val="00591EC6"/>
    <w:rsid w:val="00591ED3"/>
    <w:rsid w:val="00624BBC"/>
    <w:rsid w:val="00687438"/>
    <w:rsid w:val="006A2BD2"/>
    <w:rsid w:val="006E35B3"/>
    <w:rsid w:val="006F678E"/>
    <w:rsid w:val="006F6B62"/>
    <w:rsid w:val="00720322"/>
    <w:rsid w:val="007332F5"/>
    <w:rsid w:val="00746BC0"/>
    <w:rsid w:val="0075197E"/>
    <w:rsid w:val="00761208"/>
    <w:rsid w:val="0077073C"/>
    <w:rsid w:val="007756BE"/>
    <w:rsid w:val="007B40C1"/>
    <w:rsid w:val="007D0EE1"/>
    <w:rsid w:val="007D77C0"/>
    <w:rsid w:val="007E4136"/>
    <w:rsid w:val="007E6014"/>
    <w:rsid w:val="00844649"/>
    <w:rsid w:val="00865E81"/>
    <w:rsid w:val="00871EF5"/>
    <w:rsid w:val="00875F6D"/>
    <w:rsid w:val="008801B5"/>
    <w:rsid w:val="00881E07"/>
    <w:rsid w:val="008926BB"/>
    <w:rsid w:val="008940F9"/>
    <w:rsid w:val="00894512"/>
    <w:rsid w:val="008A791E"/>
    <w:rsid w:val="008B222D"/>
    <w:rsid w:val="008C79B7"/>
    <w:rsid w:val="00923E5E"/>
    <w:rsid w:val="009431E3"/>
    <w:rsid w:val="009475F5"/>
    <w:rsid w:val="009717F5"/>
    <w:rsid w:val="009C424C"/>
    <w:rsid w:val="009E09F7"/>
    <w:rsid w:val="009F4832"/>
    <w:rsid w:val="00A113C5"/>
    <w:rsid w:val="00A117B8"/>
    <w:rsid w:val="00A340BB"/>
    <w:rsid w:val="00A35AAC"/>
    <w:rsid w:val="00A65014"/>
    <w:rsid w:val="00A7788F"/>
    <w:rsid w:val="00AC30D6"/>
    <w:rsid w:val="00AD7DCE"/>
    <w:rsid w:val="00B17BE4"/>
    <w:rsid w:val="00B547F5"/>
    <w:rsid w:val="00B81403"/>
    <w:rsid w:val="00B84F87"/>
    <w:rsid w:val="00BA2BF4"/>
    <w:rsid w:val="00BB4980"/>
    <w:rsid w:val="00C44DEB"/>
    <w:rsid w:val="00C73FAD"/>
    <w:rsid w:val="00CE6AAE"/>
    <w:rsid w:val="00CF1A25"/>
    <w:rsid w:val="00D2313B"/>
    <w:rsid w:val="00D47DB2"/>
    <w:rsid w:val="00D50F1E"/>
    <w:rsid w:val="00D53B91"/>
    <w:rsid w:val="00D634A3"/>
    <w:rsid w:val="00D76E73"/>
    <w:rsid w:val="00DC36B2"/>
    <w:rsid w:val="00DD7446"/>
    <w:rsid w:val="00DF357C"/>
    <w:rsid w:val="00EC4F83"/>
    <w:rsid w:val="00ED1AC0"/>
    <w:rsid w:val="00ED3F91"/>
    <w:rsid w:val="00F37094"/>
    <w:rsid w:val="00F47267"/>
    <w:rsid w:val="00F81E45"/>
    <w:rsid w:val="00F87681"/>
    <w:rsid w:val="00FA02DB"/>
    <w:rsid w:val="00FB54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5071"/>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7E6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8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3DE074C-AF84-4AA3-B1C1-E6D79981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4485</Words>
  <Characters>25568</Characters>
  <Application>Microsoft Office Word</Application>
  <DocSecurity>0</DocSecurity>
  <Lines>213</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ANDREJŠINOVÁ Anna</dc:creator>
  <cp:keywords/>
  <dc:description/>
  <cp:lastModifiedBy>LAPŠANSKÁ Regína</cp:lastModifiedBy>
  <cp:revision>3</cp:revision>
  <cp:lastPrinted>2023-01-13T06:03:00Z</cp:lastPrinted>
  <dcterms:created xsi:type="dcterms:W3CDTF">2023-03-22T16:14:00Z</dcterms:created>
  <dcterms:modified xsi:type="dcterms:W3CDTF">2023-03-23T08:37:00Z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