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6426C" w14:textId="1E56DCC8" w:rsidR="002B71FC" w:rsidRPr="00451A1C" w:rsidRDefault="002B71FC" w:rsidP="003609B7">
      <w:pPr>
        <w:spacing w:after="240" w:line="276" w:lineRule="auto"/>
        <w:jc w:val="center"/>
        <w:rPr>
          <w:b/>
          <w:sz w:val="28"/>
        </w:rPr>
      </w:pPr>
      <w:bookmarkStart w:id="0" w:name="_GoBack"/>
      <w:bookmarkEnd w:id="0"/>
      <w:r w:rsidRPr="00451A1C">
        <w:rPr>
          <w:b/>
          <w:sz w:val="28"/>
        </w:rPr>
        <w:t>PREDKLADACIA SPRÁVA</w:t>
      </w:r>
    </w:p>
    <w:p w14:paraId="122F6AA6" w14:textId="71E9A3B8" w:rsidR="00276181" w:rsidRPr="009D6150" w:rsidRDefault="003609B7" w:rsidP="00862877">
      <w:pPr>
        <w:spacing w:after="120" w:line="276" w:lineRule="auto"/>
        <w:ind w:firstLine="708"/>
        <w:jc w:val="both"/>
      </w:pPr>
      <w:r w:rsidRPr="003609B7">
        <w:t>Štatistický úrad Slovenskej republiky (ďalej len „štatistický úrad“) predkladá návrh zákona, ktorým sa mení a d</w:t>
      </w:r>
      <w:r w:rsidR="00E41F18">
        <w:t>opĺňa zákon č. 272/2015 Z. z. o </w:t>
      </w:r>
      <w:r w:rsidRPr="003609B7">
        <w:t>registri právnických osôb, podnikateľov a orgánov verejnej moci a o zmene a doplnení niektorých zákonov v znení neskorších predpisov</w:t>
      </w:r>
      <w:r w:rsidR="00FD7B74">
        <w:t xml:space="preserve"> </w:t>
      </w:r>
      <w:r w:rsidR="00FD7B74" w:rsidRPr="00D12108">
        <w:rPr>
          <w:color w:val="000000" w:themeColor="text1"/>
        </w:rPr>
        <w:t>a ktorým sa dopĺňa zákon č. 483/2001 Z. z. o bankách a o zmene a doplnení niektorých zákonov v znení neskorších predpisov</w:t>
      </w:r>
      <w:r w:rsidRPr="003609B7">
        <w:t xml:space="preserve"> (ďalej len „návrh zákona“) </w:t>
      </w:r>
      <w:r>
        <w:t>na základe úlohy č. 24 v mesiaci september 2021 z </w:t>
      </w:r>
      <w:r w:rsidRPr="009D6150">
        <w:t xml:space="preserve">Plánu legislatívnych úloh vlády </w:t>
      </w:r>
      <w:r w:rsidR="00925304" w:rsidRPr="009D6150">
        <w:t xml:space="preserve">Slovenskej republiky </w:t>
      </w:r>
      <w:r w:rsidRPr="009D6150">
        <w:t>na mesiace jún až december 2021.</w:t>
      </w:r>
    </w:p>
    <w:p w14:paraId="555263CE" w14:textId="23EBF729" w:rsidR="003F6EFF" w:rsidRPr="009D6150" w:rsidRDefault="003F6EFF" w:rsidP="003F6EFF">
      <w:pPr>
        <w:spacing w:after="120" w:line="276" w:lineRule="auto"/>
        <w:jc w:val="both"/>
      </w:pPr>
      <w:r w:rsidRPr="00316A24">
        <w:t xml:space="preserve">Ciele návrhu zákona </w:t>
      </w:r>
      <w:r w:rsidRPr="009D6150">
        <w:t xml:space="preserve">vyplývajú </w:t>
      </w:r>
      <w:r w:rsidRPr="00316A24">
        <w:t>z poznatkov praxe</w:t>
      </w:r>
      <w:r w:rsidRPr="009D6150">
        <w:t xml:space="preserve"> pri aplikácii zákona č. 272/2015 Z. z. o registri právnických osôb, podnikateľov a orgánov verejnej moci a o zmene a doplnení niektorých zákonov v znení neskorších predpisov (ďalej len </w:t>
      </w:r>
      <w:r w:rsidR="00674B0C" w:rsidRPr="009D6150">
        <w:t>„</w:t>
      </w:r>
      <w:r w:rsidRPr="009D6150">
        <w:t xml:space="preserve">zákon o RPO“) </w:t>
      </w:r>
      <w:r w:rsidRPr="00316A24">
        <w:t>a zo záväzku zabezpečiť správnu transpozíciu smernice</w:t>
      </w:r>
      <w:r w:rsidRPr="009D6150">
        <w:t xml:space="preserve"> Európskeho parlamentu a Rady (EÚ) 2015/849 z 20. mája 2015 o predchádzaní využívaniu finančného systému na účely prania špinavých peňazí alebo financovania terorizmu, ktorou sa mení nariadenie Európskeho parlamentu a Rady (EÚ) č. 648/2012 a zrušuje smernica Európskeho parlamentu a Rady 2005/60/ES a smernica Komisie 2006/70/ES (Ú. v. EÚ L 141, 5.6.2015) v platnom znení v rozsahu ustanovení, ktoré sa majú prebrať prostredníctvom zákona o RPO.</w:t>
      </w:r>
    </w:p>
    <w:p w14:paraId="54CBC7F3" w14:textId="77777777" w:rsidR="003F6EFF" w:rsidRPr="009D6150" w:rsidRDefault="003F6EFF" w:rsidP="003F6EFF">
      <w:pPr>
        <w:spacing w:after="120" w:line="276" w:lineRule="auto"/>
        <w:jc w:val="both"/>
      </w:pPr>
      <w:r w:rsidRPr="009D6150">
        <w:t>Ciele návrhu zákona sú preto najmä:</w:t>
      </w:r>
    </w:p>
    <w:p w14:paraId="28C2A79F" w14:textId="071AA438" w:rsidR="003F6EFF" w:rsidRPr="009D6150" w:rsidRDefault="003F6EFF" w:rsidP="003F6EFF">
      <w:pPr>
        <w:pStyle w:val="Zkladntext"/>
        <w:numPr>
          <w:ilvl w:val="0"/>
          <w:numId w:val="15"/>
        </w:numPr>
        <w:spacing w:line="276" w:lineRule="auto"/>
        <w:jc w:val="both"/>
      </w:pPr>
      <w:r w:rsidRPr="00316A24">
        <w:t>evidencia a poskytovanie pravdivých a úplných údajov z registra právnických osôb</w:t>
      </w:r>
      <w:r w:rsidR="006F763F" w:rsidRPr="00316A24">
        <w:t>, podnikateľov a orgánov verejnej moci (ďalej len „register právnických osôb“)</w:t>
      </w:r>
      <w:r w:rsidRPr="00316A24">
        <w:t>,</w:t>
      </w:r>
      <w:r w:rsidRPr="009D6150">
        <w:t xml:space="preserve"> čo má byť výsledkom odstránenia výkladových problémov pri aplikácii zákona o RPO, zavedenia sankčného mechanizmu, nápravných opatrení</w:t>
      </w:r>
      <w:r w:rsidR="00C31952" w:rsidRPr="009D6150">
        <w:t xml:space="preserve"> a úpravy povinností povinných osôb a v osobitných prípadoch aj zapisovaných subjektov pri poskytovaní údajov</w:t>
      </w:r>
      <w:r w:rsidRPr="009D6150">
        <w:t xml:space="preserve"> do registra právnických osôb, úprav</w:t>
      </w:r>
      <w:r w:rsidR="00093BE1" w:rsidRPr="009D6150">
        <w:t>y</w:t>
      </w:r>
      <w:r w:rsidRPr="009D6150">
        <w:t xml:space="preserve"> lehôt, doplnen</w:t>
      </w:r>
      <w:r w:rsidR="00093BE1" w:rsidRPr="009D6150">
        <w:t>ia nových</w:t>
      </w:r>
      <w:r w:rsidRPr="009D6150">
        <w:t xml:space="preserve"> definíci</w:t>
      </w:r>
      <w:r w:rsidR="0043598B" w:rsidRPr="009D6150">
        <w:t>í</w:t>
      </w:r>
      <w:r w:rsidRPr="009D6150">
        <w:t xml:space="preserve"> </w:t>
      </w:r>
      <w:r w:rsidR="00093BE1" w:rsidRPr="009D6150">
        <w:t>a</w:t>
      </w:r>
      <w:r w:rsidRPr="009D6150">
        <w:t xml:space="preserve"> prispôsobeni</w:t>
      </w:r>
      <w:r w:rsidR="00093BE1" w:rsidRPr="009D6150">
        <w:t>a</w:t>
      </w:r>
      <w:r w:rsidRPr="009D6150">
        <w:t xml:space="preserve"> údajov poskytovaných z obchodného registra </w:t>
      </w:r>
      <w:r w:rsidR="00093BE1" w:rsidRPr="009D6150">
        <w:t>z dôvodu zrušenia</w:t>
      </w:r>
      <w:r w:rsidRPr="009D6150">
        <w:t xml:space="preserve"> kategórie odštepných závodov</w:t>
      </w:r>
      <w:r w:rsidR="00CC4ED0">
        <w:t>,</w:t>
      </w:r>
    </w:p>
    <w:p w14:paraId="1EE05D72" w14:textId="1ADFD2BB" w:rsidR="006A349B" w:rsidRPr="009D6150" w:rsidRDefault="0088236B" w:rsidP="006A349B">
      <w:pPr>
        <w:pStyle w:val="Zkladntext"/>
        <w:numPr>
          <w:ilvl w:val="0"/>
          <w:numId w:val="15"/>
        </w:numPr>
        <w:spacing w:line="276" w:lineRule="auto"/>
        <w:jc w:val="both"/>
      </w:pPr>
      <w:r w:rsidRPr="00316A24">
        <w:t xml:space="preserve">definovanie </w:t>
      </w:r>
      <w:r w:rsidR="006A349B" w:rsidRPr="00316A24">
        <w:t>orgán</w:t>
      </w:r>
      <w:r w:rsidRPr="00316A24">
        <w:t>u</w:t>
      </w:r>
      <w:r w:rsidR="006A349B" w:rsidRPr="00316A24">
        <w:t xml:space="preserve"> verejnej moci a </w:t>
      </w:r>
      <w:r w:rsidRPr="00316A24">
        <w:t xml:space="preserve">rozšírenie </w:t>
      </w:r>
      <w:r w:rsidR="006A349B" w:rsidRPr="00316A24">
        <w:t>údaj</w:t>
      </w:r>
      <w:r w:rsidRPr="00316A24">
        <w:t>ov</w:t>
      </w:r>
      <w:r w:rsidR="006A349B" w:rsidRPr="00316A24">
        <w:t xml:space="preserve"> poskytovan</w:t>
      </w:r>
      <w:r w:rsidRPr="00316A24">
        <w:t>ých</w:t>
      </w:r>
      <w:r w:rsidR="006A349B" w:rsidRPr="00316A24">
        <w:t xml:space="preserve"> o orgánoch verejnej moci </w:t>
      </w:r>
      <w:r w:rsidR="006A349B" w:rsidRPr="009D6150">
        <w:t xml:space="preserve">nielen na </w:t>
      </w:r>
      <w:r w:rsidR="00C31952" w:rsidRPr="009D6150">
        <w:t>účely</w:t>
      </w:r>
      <w:r w:rsidR="006A349B" w:rsidRPr="009D6150">
        <w:t xml:space="preserve"> zabezpečovania úradnej činnosti </w:t>
      </w:r>
      <w:r w:rsidR="00C31952" w:rsidRPr="009D6150">
        <w:t>vrátane technického zabezpečenia</w:t>
      </w:r>
      <w:r w:rsidR="006A349B" w:rsidRPr="009D6150">
        <w:t xml:space="preserve"> elektronickej úradnej komunikácie,</w:t>
      </w:r>
    </w:p>
    <w:p w14:paraId="339353AD" w14:textId="241A9FFC" w:rsidR="003F6EFF" w:rsidRPr="009D6150" w:rsidRDefault="003F6EFF" w:rsidP="0088236B">
      <w:pPr>
        <w:pStyle w:val="Zkladntext"/>
        <w:numPr>
          <w:ilvl w:val="0"/>
          <w:numId w:val="15"/>
        </w:numPr>
        <w:spacing w:line="276" w:lineRule="auto"/>
        <w:jc w:val="both"/>
      </w:pPr>
      <w:r w:rsidRPr="00316A24">
        <w:t>doplnenie komplexu povinností štatistického úradu poskytovať údaje o konečných užívateľoch výhod vymedzeným orgánom iných členských štátov Európskej únie</w:t>
      </w:r>
      <w:r w:rsidRPr="009D6150">
        <w:t xml:space="preserve">, ustanovenie webové sídla štatistického úradu ako primárneho prístupového miesta pri prístupe týchto orgánov k záznamu o konečnom užívateľovi výhod prostredníctvom centrálnej platformy zriadenej Európskou komisiou v rámci systému prepojenia centrálnych registrov konečných užívateľov výhod </w:t>
      </w:r>
      <w:r w:rsidR="00E75161" w:rsidRPr="009D6150">
        <w:t>(ďalej len „systém BORIS“) podľa bodu 1</w:t>
      </w:r>
      <w:r w:rsidR="0088236B" w:rsidRPr="009D6150">
        <w:t xml:space="preserve"> </w:t>
      </w:r>
      <w:r w:rsidRPr="009D6150">
        <w:t>prílohy vykonávacieho nariadenia Komisie (EÚ) 2021/369</w:t>
      </w:r>
      <w:r w:rsidR="0088236B" w:rsidRPr="009D6150">
        <w:t xml:space="preserve"> z 1. marca 2021, ktorým sa stanovujú technické špecifikácie a postupy potrebné pre systém prepojenia centrálnych registrov uvedený v</w:t>
      </w:r>
      <w:r w:rsidR="00EE5350" w:rsidRPr="009D6150">
        <w:t> </w:t>
      </w:r>
      <w:r w:rsidR="0088236B" w:rsidRPr="009D6150">
        <w:t>smernici Európskeho parlamentu a Rady (EÚ) 2015/849 (Ú. v. EÚ L 71, 2.3.2021)]</w:t>
      </w:r>
      <w:r w:rsidR="00CC4ED0">
        <w:t>,</w:t>
      </w:r>
    </w:p>
    <w:p w14:paraId="63A4AEC4" w14:textId="3C3BD56A" w:rsidR="00F63C50" w:rsidRDefault="00C31952" w:rsidP="00B66DDB">
      <w:pPr>
        <w:pStyle w:val="Zkladntext"/>
        <w:numPr>
          <w:ilvl w:val="0"/>
          <w:numId w:val="15"/>
        </w:numPr>
        <w:spacing w:line="276" w:lineRule="auto"/>
        <w:jc w:val="both"/>
      </w:pPr>
      <w:r w:rsidRPr="00316A24">
        <w:t xml:space="preserve">rozšírenie </w:t>
      </w:r>
      <w:r w:rsidR="00925304" w:rsidRPr="00316A24">
        <w:t>skupiny orgánov verejnej moci</w:t>
      </w:r>
      <w:r w:rsidR="00EE5350" w:rsidRPr="00316A24">
        <w:t xml:space="preserve"> oprávnených získavať z registra právnických osôb údaje o konečných užívateľoch výhod</w:t>
      </w:r>
      <w:r w:rsidR="00CE194A">
        <w:t xml:space="preserve"> na základe požiadaviek Ú</w:t>
      </w:r>
      <w:r w:rsidR="00C154A6">
        <w:t>radu vlády Slovenskej republiky a Ministerstva vnútra Slovenskej republiky</w:t>
      </w:r>
      <w:r w:rsidR="00CE194A">
        <w:t xml:space="preserve"> a v jednom prípade obmedzenie prístupu z dôvodu aplikácie zásady nevyhnu</w:t>
      </w:r>
      <w:r w:rsidR="00C154A6">
        <w:t>tnosti spracúvania</w:t>
      </w:r>
      <w:r w:rsidR="00CE194A">
        <w:t xml:space="preserve"> osobných </w:t>
      </w:r>
      <w:r w:rsidR="00CE194A">
        <w:lastRenderedPageBreak/>
        <w:t>údajov</w:t>
      </w:r>
      <w:r w:rsidR="00E80FCB">
        <w:t>,</w:t>
      </w:r>
    </w:p>
    <w:p w14:paraId="199604A6" w14:textId="323B7C79" w:rsidR="00CE194A" w:rsidRPr="009D6150" w:rsidRDefault="00CE194A" w:rsidP="00925304">
      <w:pPr>
        <w:pStyle w:val="Zkladntext"/>
        <w:numPr>
          <w:ilvl w:val="0"/>
          <w:numId w:val="15"/>
        </w:numPr>
        <w:spacing w:after="120" w:line="276" w:lineRule="auto"/>
        <w:jc w:val="both"/>
      </w:pPr>
      <w:r>
        <w:t>doplnenie možnosti elektronického, automatizovaného a nepretržitého poskytovania údajov z RPO bankám a notárom na účel starostlivosti povinnej osoby o klienta, pričom v prípade poskytovania notárom sa využije platforma centrálneho informačného systému Notárskej komory Slovenskej republiky</w:t>
      </w:r>
      <w:r w:rsidR="00FD7B74">
        <w:t xml:space="preserve"> a v prípade bánk a pobočiek zahraničných bánk sa umožní ich prístup prostredníctvom spoločného registra bankových informácií</w:t>
      </w:r>
      <w:r w:rsidR="001F6B65">
        <w:t>. Toto riešenie vyplývajúce z pripomienkového konania a</w:t>
      </w:r>
      <w:r w:rsidR="00FD7B74">
        <w:t xml:space="preserve"> z </w:t>
      </w:r>
      <w:r w:rsidR="001F6B65">
        <w:t>rokovania s Notárskou komorou Slovenskej republiky</w:t>
      </w:r>
      <w:r w:rsidR="00FD7B74">
        <w:t>, Minist</w:t>
      </w:r>
      <w:r w:rsidR="00C154A6">
        <w:t>e</w:t>
      </w:r>
      <w:r w:rsidR="00FD7B74">
        <w:t>rstvom financií Slovenskej r</w:t>
      </w:r>
      <w:r w:rsidR="00C154A6">
        <w:t>ep</w:t>
      </w:r>
      <w:r w:rsidR="00FD7B74">
        <w:t xml:space="preserve">ubliky a Národnou bankou Slovenska </w:t>
      </w:r>
      <w:r w:rsidR="001F6B65">
        <w:t>napomôže realizácii požiadavky smernice AML/CFT na rýchly prístup povinných osôb k údajom o konečných užívateľoch výhod</w:t>
      </w:r>
      <w:r>
        <w:t>. Notárom</w:t>
      </w:r>
      <w:r w:rsidR="00FD7B74">
        <w:t xml:space="preserve"> v rozsahu výkonu úradnej činnosti a bankám a pobočkám zahraničných bánk v rozsahu a na účely vykonávania úloh spojených s prípravou, uzatváraním a vykonávaním obchodov s klientmi sa</w:t>
      </w:r>
      <w:r>
        <w:t xml:space="preserve"> prostredníctvom </w:t>
      </w:r>
      <w:r w:rsidR="00FD7B74">
        <w:t xml:space="preserve">uvedených IKT nástrojov budú poskytovať aj ostatné </w:t>
      </w:r>
      <w:r w:rsidR="001F6B65">
        <w:t>údaje vedené v RPO.</w:t>
      </w:r>
      <w:r>
        <w:t xml:space="preserve"> </w:t>
      </w:r>
    </w:p>
    <w:p w14:paraId="3E913696" w14:textId="7F1F2B80" w:rsidR="004911EE" w:rsidRDefault="004911EE" w:rsidP="005C0433">
      <w:pPr>
        <w:spacing w:after="120" w:line="276" w:lineRule="auto"/>
        <w:ind w:firstLine="708"/>
        <w:jc w:val="both"/>
        <w:rPr>
          <w:rStyle w:val="Zstupntext"/>
          <w:color w:val="000000"/>
        </w:rPr>
      </w:pPr>
      <w:r w:rsidRPr="004911EE">
        <w:rPr>
          <w:rStyle w:val="Zstupntext"/>
          <w:color w:val="000000"/>
        </w:rPr>
        <w:t xml:space="preserve">Návrh zákona nemá byť predmetom vnútrokomunitárneho pripomienkového konania. </w:t>
      </w:r>
    </w:p>
    <w:p w14:paraId="2BE554B9" w14:textId="1AAB31F6" w:rsidR="006F763F" w:rsidRDefault="004F0396" w:rsidP="005C0433">
      <w:pPr>
        <w:spacing w:after="120" w:line="276" w:lineRule="auto"/>
        <w:ind w:firstLine="708"/>
        <w:jc w:val="both"/>
      </w:pPr>
      <w:r>
        <w:rPr>
          <w:rStyle w:val="Zstupntext"/>
          <w:color w:val="000000"/>
        </w:rPr>
        <w:t xml:space="preserve">Súčasne s predložením návrhu zákona sa vláde </w:t>
      </w:r>
      <w:r w:rsidR="00CC4ED0">
        <w:rPr>
          <w:rStyle w:val="Zstupntext"/>
          <w:color w:val="000000"/>
        </w:rPr>
        <w:t xml:space="preserve">Slovenskej republiky </w:t>
      </w:r>
      <w:r>
        <w:rPr>
          <w:rStyle w:val="Zstupntext"/>
          <w:color w:val="000000"/>
        </w:rPr>
        <w:t xml:space="preserve">predkladá návrh na uloženie úloh vedúcim ústredných orgánov štátnej správy, ktoré majú bez ohľadu na prijatie návrhu novely zákona </w:t>
      </w:r>
      <w:r w:rsidR="00E80FCB">
        <w:rPr>
          <w:rStyle w:val="Zstupntext"/>
          <w:color w:val="000000"/>
        </w:rPr>
        <w:t xml:space="preserve">o RPO </w:t>
      </w:r>
      <w:r>
        <w:rPr>
          <w:rStyle w:val="Zstupntext"/>
          <w:color w:val="000000"/>
        </w:rPr>
        <w:t xml:space="preserve">v budúcnosti </w:t>
      </w:r>
      <w:r w:rsidR="006F763F">
        <w:rPr>
          <w:rStyle w:val="Zstupntext"/>
          <w:color w:val="000000"/>
        </w:rPr>
        <w:t xml:space="preserve">dosiahnuť cieľ </w:t>
      </w:r>
      <w:r w:rsidR="00CC4ED0">
        <w:rPr>
          <w:rStyle w:val="Zstupntext"/>
          <w:color w:val="000000"/>
        </w:rPr>
        <w:t>zvýšenia kvality</w:t>
      </w:r>
      <w:r>
        <w:rPr>
          <w:rStyle w:val="Zstupntext"/>
          <w:color w:val="000000"/>
        </w:rPr>
        <w:t xml:space="preserve"> údajov poskytovaných zo zdrojových registrov do registra právnických osôb. </w:t>
      </w:r>
      <w:r w:rsidR="006F763F">
        <w:rPr>
          <w:rStyle w:val="Zstupntext"/>
          <w:color w:val="000000"/>
        </w:rPr>
        <w:t>T</w:t>
      </w:r>
      <w:r>
        <w:rPr>
          <w:rStyle w:val="Zstupntext"/>
          <w:color w:val="000000"/>
        </w:rPr>
        <w:t>ri navrhnuté úlohy konkretizujú už všeobecnú úlohu C.3. z uznesenia vlády Slovenskej republiky č. 278 z 26. mája 2021</w:t>
      </w:r>
      <w:r w:rsidR="006F763F">
        <w:rPr>
          <w:rStyle w:val="Zstupntext"/>
          <w:color w:val="000000"/>
        </w:rPr>
        <w:t xml:space="preserve">, ktorou sa </w:t>
      </w:r>
      <w:r>
        <w:rPr>
          <w:rStyle w:val="Zstupntext"/>
          <w:color w:val="000000"/>
        </w:rPr>
        <w:t xml:space="preserve">členom vlády </w:t>
      </w:r>
      <w:r w:rsidR="004A04FE">
        <w:rPr>
          <w:rStyle w:val="Zstupntext"/>
          <w:color w:val="000000"/>
        </w:rPr>
        <w:t xml:space="preserve">Slovenskej republiky </w:t>
      </w:r>
      <w:r>
        <w:rPr>
          <w:rStyle w:val="Zstupntext"/>
          <w:color w:val="000000"/>
        </w:rPr>
        <w:t xml:space="preserve">a predsedom ostatných ústredných orgánov štátnej správy </w:t>
      </w:r>
      <w:r w:rsidR="006F763F">
        <w:rPr>
          <w:rStyle w:val="Zstupntext"/>
          <w:color w:val="000000"/>
        </w:rPr>
        <w:t xml:space="preserve">ukladá </w:t>
      </w:r>
      <w:r>
        <w:t xml:space="preserve">ako povinným osobám podľa § 5 ods. 1 zákona </w:t>
      </w:r>
      <w:r w:rsidR="00674B0C">
        <w:t>o RPO</w:t>
      </w:r>
      <w:r>
        <w:t xml:space="preserve"> v spolupráci so </w:t>
      </w:r>
      <w:r w:rsidR="004A04FE">
        <w:t>š</w:t>
      </w:r>
      <w:r>
        <w:t>tatistickým úradom odstrániť nezrovnalosti medzi údajmi vedenými v zdrojových registroch a údajmi vedený</w:t>
      </w:r>
      <w:r w:rsidR="00674B0C">
        <w:t>mi v</w:t>
      </w:r>
      <w:r w:rsidR="00EE5350">
        <w:t> </w:t>
      </w:r>
      <w:r w:rsidR="00674B0C">
        <w:t xml:space="preserve">registri právnických osôb </w:t>
      </w:r>
      <w:r>
        <w:t>do 1. januára 2022 a</w:t>
      </w:r>
      <w:r w:rsidR="006F763F">
        <w:t> </w:t>
      </w:r>
      <w:r>
        <w:t>každoročne</w:t>
      </w:r>
      <w:r w:rsidR="006F763F">
        <w:t>.</w:t>
      </w:r>
    </w:p>
    <w:p w14:paraId="69D4CC34" w14:textId="18F4C386" w:rsidR="004F0396" w:rsidRDefault="004F0396" w:rsidP="005C0433">
      <w:pPr>
        <w:spacing w:after="120" w:line="276" w:lineRule="auto"/>
        <w:ind w:firstLine="708"/>
        <w:jc w:val="both"/>
        <w:rPr>
          <w:rStyle w:val="Zstupntext"/>
          <w:color w:val="000000"/>
        </w:rPr>
      </w:pPr>
      <w:r>
        <w:t xml:space="preserve">Navrhnuté úlohy sa týkajú </w:t>
      </w:r>
      <w:r w:rsidR="006F763F">
        <w:t xml:space="preserve">prijatia a presadzovania </w:t>
      </w:r>
      <w:r>
        <w:t>konkrétnych opatrení na dosiahnutie predmetného cieľa</w:t>
      </w:r>
      <w:r w:rsidR="006F763F">
        <w:t xml:space="preserve"> a vyplývajú z právnej úpravy zdrojových registrov, referenčných registrov a referenčných údajov podľa zákona </w:t>
      </w:r>
      <w:r w:rsidR="004A04FE">
        <w:t xml:space="preserve">č. 305/2013 Z. z. </w:t>
      </w:r>
      <w:r w:rsidR="004A04FE" w:rsidRPr="004A04FE">
        <w:t>o elektronickej podobe výkonu pôsobnosti orgánov verejnej moci a o zmene a doplnení niektorých zákonov</w:t>
      </w:r>
      <w:r w:rsidR="004A04FE">
        <w:t xml:space="preserve"> (zákon</w:t>
      </w:r>
      <w:r>
        <w:t xml:space="preserve"> </w:t>
      </w:r>
      <w:r w:rsidR="006F763F">
        <w:t>o e-Governmente</w:t>
      </w:r>
      <w:r w:rsidR="004A04FE">
        <w:t>) v znení neskorších predpisov</w:t>
      </w:r>
      <w:r w:rsidR="006F763F">
        <w:t xml:space="preserve">, z požiadaviek na rozsah a kvalitu údajov o konečných užívateľoch výhod podľa zákona </w:t>
      </w:r>
      <w:r w:rsidR="006F763F" w:rsidRPr="006F763F">
        <w:t>č. 297/2008 Z. z. o ochrane pred legalizáciou príjmov z trestnej činnosti a o ochrane pred financovaním terorizmu a o zmene a doplnení niektorých zákonov v znení neskorších predpisov</w:t>
      </w:r>
      <w:r w:rsidR="006F763F">
        <w:t>, ktorým sa transponuje</w:t>
      </w:r>
      <w:r w:rsidR="006F763F" w:rsidRPr="006F763F">
        <w:t xml:space="preserve"> </w:t>
      </w:r>
      <w:r w:rsidR="006F763F">
        <w:t xml:space="preserve">smernica </w:t>
      </w:r>
      <w:r w:rsidR="001D3CA0">
        <w:t>E</w:t>
      </w:r>
      <w:r w:rsidR="001D3CA0" w:rsidRPr="001D3CA0">
        <w:t xml:space="preserve">urópskeho parlamentu a Rady </w:t>
      </w:r>
      <w:r w:rsidR="006F763F" w:rsidRPr="001554A8">
        <w:t xml:space="preserve">(EÚ) 2018/843 </w:t>
      </w:r>
      <w:r w:rsidR="001D3CA0" w:rsidRPr="001D3CA0">
        <w:t>z 30. mája 2018, ktorou sa mení smernica (EÚ) 2015/849 o</w:t>
      </w:r>
      <w:r w:rsidR="00EE5350">
        <w:t> </w:t>
      </w:r>
      <w:r w:rsidR="001D3CA0" w:rsidRPr="001D3CA0">
        <w:t>predchádzaní využívaniu finančného systému na účely prania špinavých peňazí alebo financovania terorizmu a smernice 2009/138/ES a 2013/36/EÚ</w:t>
      </w:r>
      <w:r w:rsidR="001D3CA0">
        <w:t xml:space="preserve"> (</w:t>
      </w:r>
      <w:r w:rsidR="001D3CA0" w:rsidRPr="001D3CA0">
        <w:t>Ú. v. EÚ L 156, 19.6.2018</w:t>
      </w:r>
      <w:r w:rsidR="001D3CA0">
        <w:t>)</w:t>
      </w:r>
      <w:r w:rsidR="006F763F">
        <w:t xml:space="preserve"> </w:t>
      </w:r>
      <w:r>
        <w:t>a</w:t>
      </w:r>
      <w:r w:rsidR="006F763F">
        <w:t xml:space="preserve"> tiež z účelu zriadenia registra právnických osôb. Navrhnuté úlohy </w:t>
      </w:r>
      <w:r>
        <w:t xml:space="preserve">sú </w:t>
      </w:r>
      <w:r w:rsidR="006F763F">
        <w:t xml:space="preserve">výsledkom požiadaviek </w:t>
      </w:r>
      <w:r>
        <w:t xml:space="preserve">pravidelne </w:t>
      </w:r>
      <w:r w:rsidR="006F763F">
        <w:t>komunikovaných</w:t>
      </w:r>
      <w:r>
        <w:t xml:space="preserve"> medzi štatistickým úradom a ústrednými orgánmi </w:t>
      </w:r>
      <w:r w:rsidR="009D07C0">
        <w:t xml:space="preserve">štátnej </w:t>
      </w:r>
      <w:r>
        <w:t xml:space="preserve">správy, ktoré vystupujú </w:t>
      </w:r>
      <w:r w:rsidR="006F763F">
        <w:t xml:space="preserve">na jednej strane </w:t>
      </w:r>
      <w:r>
        <w:t xml:space="preserve">v pozícii povinných osôb a správcov </w:t>
      </w:r>
      <w:r w:rsidR="006F763F">
        <w:t>zdrojovýc</w:t>
      </w:r>
      <w:r>
        <w:t>h registrov</w:t>
      </w:r>
      <w:r w:rsidR="006F763F">
        <w:t>,</w:t>
      </w:r>
      <w:r>
        <w:t xml:space="preserve"> ale aj v postavení konzumentov údajov z registra </w:t>
      </w:r>
      <w:r w:rsidR="006F763F">
        <w:t>právnických osôb pri zabezpeč</w:t>
      </w:r>
      <w:r>
        <w:t xml:space="preserve">ovaní ich </w:t>
      </w:r>
      <w:r w:rsidR="00674B0C">
        <w:t>úradnej činnosti.</w:t>
      </w:r>
    </w:p>
    <w:p w14:paraId="64D3A95E" w14:textId="67A66026" w:rsidR="00870341" w:rsidRPr="0000288C" w:rsidRDefault="00870341" w:rsidP="00870341">
      <w:pPr>
        <w:spacing w:after="120" w:line="276" w:lineRule="auto"/>
        <w:ind w:firstLine="709"/>
        <w:jc w:val="both"/>
        <w:rPr>
          <w:i/>
        </w:rPr>
      </w:pPr>
      <w:r w:rsidRPr="005A3F9F">
        <w:lastRenderedPageBreak/>
        <w:t xml:space="preserve">Návrh zákona sa na rokovanie </w:t>
      </w:r>
      <w:r>
        <w:t xml:space="preserve">predkladá </w:t>
      </w:r>
      <w:r w:rsidRPr="005A3F9F">
        <w:t>s rozporom s</w:t>
      </w:r>
      <w:r>
        <w:t xml:space="preserve"> Ministerstvom </w:t>
      </w:r>
      <w:r w:rsidR="00694F14">
        <w:t>financií</w:t>
      </w:r>
      <w:r>
        <w:t xml:space="preserve"> Slovenskej republiky</w:t>
      </w:r>
      <w:r w:rsidRPr="005A3F9F">
        <w:t>. Návrh zákona sa na rokovanie predkladá bez rozporov so zástupcami verejnosti.</w:t>
      </w:r>
    </w:p>
    <w:p w14:paraId="51D27920" w14:textId="0B1015E1" w:rsidR="000B6B8B" w:rsidRDefault="00B5475E" w:rsidP="00B5475E">
      <w:pPr>
        <w:spacing w:after="120" w:line="276" w:lineRule="auto"/>
        <w:ind w:firstLine="709"/>
        <w:jc w:val="both"/>
      </w:pPr>
      <w:r w:rsidRPr="00B5475E">
        <w:t>Ustanovuje sa delená účinnosť novely zákona o</w:t>
      </w:r>
      <w:r w:rsidR="00286EBC">
        <w:t> </w:t>
      </w:r>
      <w:r w:rsidRPr="00B5475E">
        <w:t>RPO</w:t>
      </w:r>
      <w:r w:rsidR="00286EBC">
        <w:t xml:space="preserve">. Pre niektoré ustanovenia sa navrhuje </w:t>
      </w:r>
      <w:r w:rsidRPr="00B5475E">
        <w:t xml:space="preserve">z dôvodu </w:t>
      </w:r>
      <w:r w:rsidR="00D41560">
        <w:t> technického zabezpečenia vedenia vybraných nových údajov v registri právnických osôb</w:t>
      </w:r>
      <w:r w:rsidR="00286EBC">
        <w:t xml:space="preserve"> neskoršie nadobudnutie účinnosti</w:t>
      </w:r>
      <w:r w:rsidR="00D41560">
        <w:t>.</w:t>
      </w:r>
      <w:r w:rsidR="00286EBC">
        <w:t xml:space="preserve"> </w:t>
      </w:r>
    </w:p>
    <w:p w14:paraId="6422D264" w14:textId="13A45CA1" w:rsidR="00286EBC" w:rsidRDefault="005F7C04" w:rsidP="00002912">
      <w:pPr>
        <w:spacing w:after="120" w:line="276" w:lineRule="auto"/>
        <w:ind w:firstLine="709"/>
        <w:jc w:val="both"/>
      </w:pPr>
      <w:r>
        <w:t>N</w:t>
      </w:r>
      <w:r w:rsidR="002966C9">
        <w:t xml:space="preserve">ávrh zákona </w:t>
      </w:r>
      <w:r w:rsidR="00CE194A">
        <w:t>bol predložený</w:t>
      </w:r>
      <w:r w:rsidR="002966C9">
        <w:t xml:space="preserve"> na medzirezortné pripomienkové konanie </w:t>
      </w:r>
      <w:r w:rsidR="00F24ECE">
        <w:t xml:space="preserve">po uplynutí lehoty určenej na prebratie smernice </w:t>
      </w:r>
      <w:r w:rsidR="00F24ECE" w:rsidRPr="002966C9">
        <w:t>(EÚ) 2018/843</w:t>
      </w:r>
      <w:r w:rsidR="00F24ECE">
        <w:t>, ktorá uplynula  10. januára 2020.</w:t>
      </w:r>
      <w:r w:rsidR="00286EBC">
        <w:t xml:space="preserve"> </w:t>
      </w:r>
      <w:r w:rsidR="002966C9">
        <w:t xml:space="preserve">Hoci nesplnenie záväzkov </w:t>
      </w:r>
      <w:r w:rsidR="00F24ECE">
        <w:t xml:space="preserve">vyplývajúcich zo Zmluvy o pristúpení Slovenskej republiky k Európskej únii </w:t>
      </w:r>
      <w:r w:rsidR="002966C9">
        <w:t xml:space="preserve">je </w:t>
      </w:r>
      <w:r w:rsidR="00E75161">
        <w:t xml:space="preserve">čiastočne </w:t>
      </w:r>
      <w:r w:rsidR="002966C9">
        <w:t xml:space="preserve">zapríčinené aj </w:t>
      </w:r>
      <w:r w:rsidR="00A948B0">
        <w:t xml:space="preserve">zo strany Európskej komisie </w:t>
      </w:r>
      <w:r w:rsidR="002966C9">
        <w:t>oneskoreným vydaním vykonávac</w:t>
      </w:r>
      <w:r w:rsidR="00A948B0">
        <w:t xml:space="preserve">ieho nariadenia (EÚ) 2021/369 (1. marec 2021) a rozhodnutím </w:t>
      </w:r>
      <w:r w:rsidR="00E75161" w:rsidRPr="00E75161">
        <w:t xml:space="preserve">DG Justice v rámci </w:t>
      </w:r>
      <w:r w:rsidR="00E75161">
        <w:t xml:space="preserve">II. fázy </w:t>
      </w:r>
      <w:r w:rsidR="00E75161" w:rsidRPr="00E75161">
        <w:t xml:space="preserve">prípravy </w:t>
      </w:r>
      <w:r w:rsidR="00E75161">
        <w:t xml:space="preserve">systému </w:t>
      </w:r>
      <w:r w:rsidR="00E75161" w:rsidRPr="00E75161">
        <w:t xml:space="preserve">BORIS </w:t>
      </w:r>
      <w:r w:rsidR="00A948B0">
        <w:t xml:space="preserve">o vybranom spôsobe autentifikácie osôb oprávnených žiadať informácie o konečných užívateľov výhod prostredníctvom systému </w:t>
      </w:r>
      <w:r w:rsidR="00E75161">
        <w:t>BORIS (apríl 2022),</w:t>
      </w:r>
      <w:r>
        <w:t xml:space="preserve"> v súčasnosti neexistuje žiadna </w:t>
      </w:r>
      <w:r w:rsidR="00E75161">
        <w:t xml:space="preserve"> </w:t>
      </w:r>
      <w:r>
        <w:t xml:space="preserve">dodatočne poskytnutá lehota na transpozíciu a </w:t>
      </w:r>
      <w:r w:rsidR="00E75161">
        <w:t xml:space="preserve">je potrebné pripraviť národné prepojenie </w:t>
      </w:r>
      <w:r>
        <w:t>čo najskôr,</w:t>
      </w:r>
      <w:r w:rsidR="00E75161">
        <w:t xml:space="preserve"> aby mohlo byť technicky riadne otestované pred nadobudnutím účinnosti príslušných ustanovení novelizovaného zákona o RPO. </w:t>
      </w:r>
    </w:p>
    <w:p w14:paraId="21000A53" w14:textId="477EA8DF" w:rsidR="00341E99" w:rsidRDefault="00065ED5">
      <w:pPr>
        <w:spacing w:after="120" w:line="276" w:lineRule="auto"/>
        <w:ind w:firstLine="709"/>
        <w:jc w:val="both"/>
      </w:pPr>
      <w:r>
        <w:t xml:space="preserve">Navrhovaný dátum účinnosti </w:t>
      </w:r>
      <w:r w:rsidR="00316A24">
        <w:t xml:space="preserve">teda </w:t>
      </w:r>
      <w:r>
        <w:t xml:space="preserve">reflektuje pri rešpektovaní dĺžky legislatívneho procesu potrebu </w:t>
      </w:r>
      <w:r w:rsidR="00002912">
        <w:t xml:space="preserve">čo najrýchlejšej </w:t>
      </w:r>
      <w:r w:rsidR="00D41560">
        <w:t xml:space="preserve">prípravy, </w:t>
      </w:r>
      <w:r w:rsidR="00002912">
        <w:t xml:space="preserve">implementácie </w:t>
      </w:r>
      <w:r w:rsidR="00D41560">
        <w:t xml:space="preserve">a testovania </w:t>
      </w:r>
      <w:r w:rsidR="00002912">
        <w:t xml:space="preserve">navrhovaných technických, organizačných a sankčných opatrení </w:t>
      </w:r>
      <w:r w:rsidR="00E75161">
        <w:t xml:space="preserve">na </w:t>
      </w:r>
      <w:r w:rsidR="00341E99">
        <w:t xml:space="preserve">všeobecné </w:t>
      </w:r>
      <w:r w:rsidR="00E75161">
        <w:t>zvýšenie kvality údajov vedených v regi</w:t>
      </w:r>
      <w:r w:rsidR="00341E99">
        <w:t>s</w:t>
      </w:r>
      <w:r w:rsidR="00E75161">
        <w:t>tri právnických osôb</w:t>
      </w:r>
      <w:r>
        <w:t xml:space="preserve"> vrátane </w:t>
      </w:r>
      <w:r w:rsidR="00341E99">
        <w:t>zabezpečeni</w:t>
      </w:r>
      <w:r>
        <w:t>a</w:t>
      </w:r>
      <w:r w:rsidR="00341E99">
        <w:t xml:space="preserve"> </w:t>
      </w:r>
      <w:r w:rsidR="00002912" w:rsidRPr="00002912">
        <w:t>primeran</w:t>
      </w:r>
      <w:r w:rsidR="00002912">
        <w:t>ých, presných a</w:t>
      </w:r>
      <w:r w:rsidR="00286EBC">
        <w:t> </w:t>
      </w:r>
      <w:r w:rsidR="00002912">
        <w:t xml:space="preserve">aktuálnych </w:t>
      </w:r>
      <w:r w:rsidR="00341E99">
        <w:t xml:space="preserve">údajov o konečných užívateľoch výhod </w:t>
      </w:r>
      <w:r w:rsidR="00002912">
        <w:t>v centrálnom registri konečných užívateľov výhod a zavedeni</w:t>
      </w:r>
      <w:r>
        <w:t>a</w:t>
      </w:r>
      <w:r w:rsidR="00002912">
        <w:t xml:space="preserve"> príslušných mechanizmov podľa </w:t>
      </w:r>
      <w:r w:rsidR="005F7C04">
        <w:t xml:space="preserve">ustanovenia </w:t>
      </w:r>
      <w:r w:rsidR="00341E99">
        <w:t xml:space="preserve">čl. 30 </w:t>
      </w:r>
      <w:r w:rsidR="00002912">
        <w:t xml:space="preserve">ods. 4 </w:t>
      </w:r>
      <w:r w:rsidR="00341E99">
        <w:t xml:space="preserve">smernice </w:t>
      </w:r>
      <w:r w:rsidR="00D41560" w:rsidRPr="006E00AB">
        <w:t xml:space="preserve">Európskeho parlamentu a Rady </w:t>
      </w:r>
      <w:r w:rsidR="00341E99">
        <w:t xml:space="preserve">(EÚ) 2015/849 </w:t>
      </w:r>
      <w:r w:rsidR="00D41560" w:rsidRPr="006E00AB">
        <w:t>o predchádzaní využívaniu finančného systému na účely prania špinavých peňazí alebo financovania terorizmu, ktorou sa mení nariadenie Európskeho parlamentu a Rady (EÚ) č. 648/2012 a</w:t>
      </w:r>
      <w:r w:rsidR="00D41560">
        <w:t> </w:t>
      </w:r>
      <w:r w:rsidR="00D41560" w:rsidRPr="006E00AB">
        <w:t>zrušuje smernica Európskeho parlamentu a Rady 2005/60/ES a smernica Komisie 2006/70/ES (Ú. v. EÚ L 141, 5. 6. 2015) v platnom znení</w:t>
      </w:r>
      <w:r w:rsidR="005F7C04">
        <w:t xml:space="preserve">. </w:t>
      </w:r>
      <w:r w:rsidRPr="00B5475E">
        <w:t>Legisvaka</w:t>
      </w:r>
      <w:r>
        <w:t>n</w:t>
      </w:r>
      <w:r w:rsidRPr="00B5475E">
        <w:t xml:space="preserve">čná lehota je postačujúca na zabezpečenie cieľov návrhu </w:t>
      </w:r>
      <w:r>
        <w:t>zákona</w:t>
      </w:r>
      <w:r w:rsidRPr="00B5475E">
        <w:t xml:space="preserve"> vrátane informovania povinných osôb a</w:t>
      </w:r>
      <w:r>
        <w:t> </w:t>
      </w:r>
      <w:r w:rsidRPr="00B5475E">
        <w:t xml:space="preserve">ďalších subjektov, ktorým </w:t>
      </w:r>
      <w:r>
        <w:t>zákon o</w:t>
      </w:r>
      <w:r w:rsidR="00286EBC">
        <w:t> </w:t>
      </w:r>
      <w:r>
        <w:t>RPO ukladá povinnosti.</w:t>
      </w:r>
    </w:p>
    <w:sectPr w:rsidR="00341E99" w:rsidSect="00AC1260"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8AB5C" w14:textId="77777777" w:rsidR="000A73B2" w:rsidRDefault="000A73B2">
      <w:r>
        <w:separator/>
      </w:r>
    </w:p>
  </w:endnote>
  <w:endnote w:type="continuationSeparator" w:id="0">
    <w:p w14:paraId="5D960A5F" w14:textId="77777777" w:rsidR="000A73B2" w:rsidRDefault="000A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8128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978B118" w14:textId="3FC32803" w:rsidR="008F581A" w:rsidRPr="006F6091" w:rsidRDefault="008F581A" w:rsidP="008F581A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6F6091">
          <w:rPr>
            <w:rFonts w:ascii="Times New Roman" w:hAnsi="Times New Roman" w:cs="Times New Roman"/>
            <w:sz w:val="24"/>
          </w:rPr>
          <w:fldChar w:fldCharType="begin"/>
        </w:r>
        <w:r w:rsidRPr="006F6091">
          <w:rPr>
            <w:rFonts w:ascii="Times New Roman" w:hAnsi="Times New Roman" w:cs="Times New Roman"/>
            <w:sz w:val="24"/>
          </w:rPr>
          <w:instrText>PAGE   \* MERGEFORMAT</w:instrText>
        </w:r>
        <w:r w:rsidRPr="006F6091">
          <w:rPr>
            <w:rFonts w:ascii="Times New Roman" w:hAnsi="Times New Roman" w:cs="Times New Roman"/>
            <w:sz w:val="24"/>
          </w:rPr>
          <w:fldChar w:fldCharType="separate"/>
        </w:r>
        <w:r w:rsidR="001710EB">
          <w:rPr>
            <w:rFonts w:ascii="Times New Roman" w:hAnsi="Times New Roman" w:cs="Times New Roman"/>
            <w:noProof/>
            <w:sz w:val="24"/>
          </w:rPr>
          <w:t>1</w:t>
        </w:r>
        <w:r w:rsidRPr="006F6091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D7D75" w14:textId="77777777" w:rsidR="000A73B2" w:rsidRDefault="000A73B2">
      <w:r>
        <w:separator/>
      </w:r>
    </w:p>
  </w:footnote>
  <w:footnote w:type="continuationSeparator" w:id="0">
    <w:p w14:paraId="502B1AC4" w14:textId="77777777" w:rsidR="000A73B2" w:rsidRDefault="000A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E24"/>
    <w:multiLevelType w:val="hybridMultilevel"/>
    <w:tmpl w:val="71EAA534"/>
    <w:lvl w:ilvl="0" w:tplc="7FE29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DE40A2A">
      <w:start w:val="67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9C6A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61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40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8F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44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C7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6C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B02038"/>
    <w:multiLevelType w:val="hybridMultilevel"/>
    <w:tmpl w:val="80CA58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383C03"/>
    <w:multiLevelType w:val="hybridMultilevel"/>
    <w:tmpl w:val="1B26D6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B76E5B"/>
    <w:multiLevelType w:val="hybridMultilevel"/>
    <w:tmpl w:val="CA0CD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3604ED"/>
    <w:multiLevelType w:val="hybridMultilevel"/>
    <w:tmpl w:val="520879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0F1354"/>
    <w:multiLevelType w:val="hybridMultilevel"/>
    <w:tmpl w:val="C8085E22"/>
    <w:lvl w:ilvl="0" w:tplc="C3C040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C44F4C"/>
    <w:multiLevelType w:val="multilevel"/>
    <w:tmpl w:val="99D03438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3EA73D4"/>
    <w:multiLevelType w:val="hybridMultilevel"/>
    <w:tmpl w:val="CF2088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3232E7"/>
    <w:multiLevelType w:val="hybridMultilevel"/>
    <w:tmpl w:val="68D2DE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7924CB"/>
    <w:multiLevelType w:val="hybridMultilevel"/>
    <w:tmpl w:val="78F600A4"/>
    <w:lvl w:ilvl="0" w:tplc="B8EAA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A4393"/>
    <w:multiLevelType w:val="hybridMultilevel"/>
    <w:tmpl w:val="26388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247F3"/>
    <w:multiLevelType w:val="hybridMultilevel"/>
    <w:tmpl w:val="058E8D84"/>
    <w:lvl w:ilvl="0" w:tplc="ABD21ED6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3D34CC"/>
    <w:multiLevelType w:val="hybridMultilevel"/>
    <w:tmpl w:val="898071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04222"/>
    <w:multiLevelType w:val="hybridMultilevel"/>
    <w:tmpl w:val="68D2DE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925E7B"/>
    <w:multiLevelType w:val="hybridMultilevel"/>
    <w:tmpl w:val="DE8EAB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4473D"/>
    <w:multiLevelType w:val="hybridMultilevel"/>
    <w:tmpl w:val="56A0D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6"/>
  </w:num>
  <w:num w:numId="13">
    <w:abstractNumId w:val="0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FA"/>
    <w:rsid w:val="00002912"/>
    <w:rsid w:val="0002380A"/>
    <w:rsid w:val="00065ED5"/>
    <w:rsid w:val="00093BE1"/>
    <w:rsid w:val="000A73B2"/>
    <w:rsid w:val="000B0FCF"/>
    <w:rsid w:val="000B6B8B"/>
    <w:rsid w:val="000E0ED3"/>
    <w:rsid w:val="001202A8"/>
    <w:rsid w:val="001543BD"/>
    <w:rsid w:val="00160FAD"/>
    <w:rsid w:val="00163F88"/>
    <w:rsid w:val="001710EB"/>
    <w:rsid w:val="001B1BA9"/>
    <w:rsid w:val="001D3CA0"/>
    <w:rsid w:val="001E4119"/>
    <w:rsid w:val="001F3D81"/>
    <w:rsid w:val="001F6B65"/>
    <w:rsid w:val="00220C4B"/>
    <w:rsid w:val="0023164D"/>
    <w:rsid w:val="00240C54"/>
    <w:rsid w:val="002473F8"/>
    <w:rsid w:val="00254F7A"/>
    <w:rsid w:val="00276181"/>
    <w:rsid w:val="00276B89"/>
    <w:rsid w:val="00286EBC"/>
    <w:rsid w:val="002966C9"/>
    <w:rsid w:val="002B71FC"/>
    <w:rsid w:val="002F7784"/>
    <w:rsid w:val="003005A1"/>
    <w:rsid w:val="00310359"/>
    <w:rsid w:val="00316A24"/>
    <w:rsid w:val="00341E99"/>
    <w:rsid w:val="003609B7"/>
    <w:rsid w:val="003659C1"/>
    <w:rsid w:val="00394411"/>
    <w:rsid w:val="003D429C"/>
    <w:rsid w:val="003F6EFF"/>
    <w:rsid w:val="003F7349"/>
    <w:rsid w:val="0043467E"/>
    <w:rsid w:val="0043598B"/>
    <w:rsid w:val="00451A1C"/>
    <w:rsid w:val="004911EE"/>
    <w:rsid w:val="004A04FE"/>
    <w:rsid w:val="004B1028"/>
    <w:rsid w:val="004B7886"/>
    <w:rsid w:val="004F0396"/>
    <w:rsid w:val="0052000F"/>
    <w:rsid w:val="00520F4A"/>
    <w:rsid w:val="0055047D"/>
    <w:rsid w:val="0055399E"/>
    <w:rsid w:val="00590FA3"/>
    <w:rsid w:val="0059598F"/>
    <w:rsid w:val="005B7D74"/>
    <w:rsid w:val="005C01EA"/>
    <w:rsid w:val="005C0433"/>
    <w:rsid w:val="005E4A8E"/>
    <w:rsid w:val="005F7C04"/>
    <w:rsid w:val="00612228"/>
    <w:rsid w:val="00627519"/>
    <w:rsid w:val="00644444"/>
    <w:rsid w:val="00656ECC"/>
    <w:rsid w:val="00674B0C"/>
    <w:rsid w:val="00694F14"/>
    <w:rsid w:val="006A349B"/>
    <w:rsid w:val="006E00AB"/>
    <w:rsid w:val="006F6091"/>
    <w:rsid w:val="006F763F"/>
    <w:rsid w:val="00714AA8"/>
    <w:rsid w:val="00742561"/>
    <w:rsid w:val="0074653A"/>
    <w:rsid w:val="00794B50"/>
    <w:rsid w:val="007B7664"/>
    <w:rsid w:val="00825FC2"/>
    <w:rsid w:val="00862877"/>
    <w:rsid w:val="00870341"/>
    <w:rsid w:val="0088236B"/>
    <w:rsid w:val="00896EE9"/>
    <w:rsid w:val="008A0DDC"/>
    <w:rsid w:val="008C72B9"/>
    <w:rsid w:val="008F581A"/>
    <w:rsid w:val="00917A8B"/>
    <w:rsid w:val="00925304"/>
    <w:rsid w:val="00962AE1"/>
    <w:rsid w:val="009A0E44"/>
    <w:rsid w:val="009D07C0"/>
    <w:rsid w:val="009D42CD"/>
    <w:rsid w:val="009D6150"/>
    <w:rsid w:val="00A03F67"/>
    <w:rsid w:val="00A366FA"/>
    <w:rsid w:val="00A72ED2"/>
    <w:rsid w:val="00A948B0"/>
    <w:rsid w:val="00A97FCD"/>
    <w:rsid w:val="00AC093A"/>
    <w:rsid w:val="00B46601"/>
    <w:rsid w:val="00B52428"/>
    <w:rsid w:val="00B5331D"/>
    <w:rsid w:val="00B53AA4"/>
    <w:rsid w:val="00B5475E"/>
    <w:rsid w:val="00B66DDB"/>
    <w:rsid w:val="00B746BE"/>
    <w:rsid w:val="00B8783A"/>
    <w:rsid w:val="00B903DE"/>
    <w:rsid w:val="00B94E4F"/>
    <w:rsid w:val="00B973B8"/>
    <w:rsid w:val="00C0330C"/>
    <w:rsid w:val="00C03492"/>
    <w:rsid w:val="00C154A6"/>
    <w:rsid w:val="00C31667"/>
    <w:rsid w:val="00C31952"/>
    <w:rsid w:val="00C927B1"/>
    <w:rsid w:val="00CC15DC"/>
    <w:rsid w:val="00CC4ED0"/>
    <w:rsid w:val="00CE194A"/>
    <w:rsid w:val="00D22A11"/>
    <w:rsid w:val="00D31D9A"/>
    <w:rsid w:val="00D41560"/>
    <w:rsid w:val="00D53334"/>
    <w:rsid w:val="00E02266"/>
    <w:rsid w:val="00E21E60"/>
    <w:rsid w:val="00E41F18"/>
    <w:rsid w:val="00E563A2"/>
    <w:rsid w:val="00E60344"/>
    <w:rsid w:val="00E64533"/>
    <w:rsid w:val="00E74092"/>
    <w:rsid w:val="00E75161"/>
    <w:rsid w:val="00E80FCB"/>
    <w:rsid w:val="00E84515"/>
    <w:rsid w:val="00E86445"/>
    <w:rsid w:val="00E90558"/>
    <w:rsid w:val="00EE5058"/>
    <w:rsid w:val="00EE5350"/>
    <w:rsid w:val="00EE75AE"/>
    <w:rsid w:val="00F24ECE"/>
    <w:rsid w:val="00F63C50"/>
    <w:rsid w:val="00F86493"/>
    <w:rsid w:val="00F93C68"/>
    <w:rsid w:val="00F96F7E"/>
    <w:rsid w:val="00F97A69"/>
    <w:rsid w:val="00FB38D8"/>
    <w:rsid w:val="00FD0E25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2728"/>
  <w15:chartTrackingRefBased/>
  <w15:docId w15:val="{E806132F-A3CC-A44A-A889-23A99A67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66FA"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66FA"/>
    <w:pPr>
      <w:keepNext/>
      <w:keepLines/>
      <w:spacing w:before="240" w:after="120"/>
      <w:jc w:val="center"/>
      <w:outlineLvl w:val="0"/>
    </w:pPr>
    <w:rPr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A366FA"/>
    <w:pPr>
      <w:keepNext/>
      <w:keepLines/>
      <w:spacing w:before="120" w:after="120"/>
      <w:jc w:val="center"/>
      <w:outlineLvl w:val="1"/>
    </w:pPr>
    <w:rPr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366FA"/>
    <w:rPr>
      <w:rFonts w:ascii="Times New Roman" w:eastAsia="Times New Roman" w:hAnsi="Times New Roman" w:cs="Times New Roman"/>
      <w:b/>
      <w:szCs w:val="3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A366FA"/>
    <w:rPr>
      <w:rFonts w:ascii="Times New Roman" w:eastAsia="Times New Roman" w:hAnsi="Times New Roman" w:cs="Times New Roman"/>
      <w:b/>
      <w:szCs w:val="26"/>
      <w:lang w:val="sk-SK"/>
    </w:rPr>
  </w:style>
  <w:style w:type="paragraph" w:styleId="Odsekzoznamu">
    <w:name w:val="List Paragraph"/>
    <w:basedOn w:val="Normlny"/>
    <w:uiPriority w:val="34"/>
    <w:qFormat/>
    <w:rsid w:val="00A366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66FA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66FA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apple-converted-space">
    <w:name w:val="apple-converted-space"/>
    <w:basedOn w:val="Predvolenpsmoodseku"/>
    <w:rsid w:val="00A366FA"/>
  </w:style>
  <w:style w:type="character" w:styleId="Hypertextovprepojenie">
    <w:name w:val="Hyperlink"/>
    <w:basedOn w:val="Predvolenpsmoodseku"/>
    <w:uiPriority w:val="99"/>
    <w:semiHidden/>
    <w:unhideWhenUsed/>
    <w:rsid w:val="00A366F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qFormat/>
    <w:rsid w:val="00A366FA"/>
    <w:pPr>
      <w:spacing w:before="100" w:beforeAutospacing="1" w:after="100" w:afterAutospacing="1"/>
    </w:pPr>
  </w:style>
  <w:style w:type="paragraph" w:customStyle="1" w:styleId="TableParagraph">
    <w:name w:val="Table Paragraph"/>
    <w:basedOn w:val="Normlny"/>
    <w:uiPriority w:val="1"/>
    <w:qFormat/>
    <w:rsid w:val="00A366FA"/>
    <w:pPr>
      <w:widowControl w:val="0"/>
      <w:autoSpaceDE w:val="0"/>
      <w:autoSpaceDN w:val="0"/>
    </w:pPr>
    <w:rPr>
      <w:sz w:val="22"/>
      <w:szCs w:val="22"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A366FA"/>
    <w:pPr>
      <w:widowControl w:val="0"/>
      <w:autoSpaceDE w:val="0"/>
      <w:autoSpaceDN w:val="0"/>
    </w:pPr>
    <w:rPr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366FA"/>
    <w:rPr>
      <w:rFonts w:ascii="Times New Roman" w:eastAsia="Times New Roman" w:hAnsi="Times New Roman" w:cs="Times New Roman"/>
      <w:lang w:val="sk-SK" w:eastAsia="sk-SK" w:bidi="sk-SK"/>
    </w:rPr>
  </w:style>
  <w:style w:type="table" w:styleId="Mriekatabuky">
    <w:name w:val="Table Grid"/>
    <w:basedOn w:val="Normlnatabuka"/>
    <w:uiPriority w:val="39"/>
    <w:rsid w:val="00A366F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366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66F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66FA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66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66FA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927B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927B1"/>
    <w:rPr>
      <w:rFonts w:ascii="Times New Roman" w:eastAsia="Times New Roman" w:hAnsi="Times New Roman" w:cs="Times New Roman"/>
      <w:lang w:val="en-US"/>
    </w:rPr>
  </w:style>
  <w:style w:type="paragraph" w:customStyle="1" w:styleId="odsek">
    <w:name w:val="odsek"/>
    <w:basedOn w:val="Normlny"/>
    <w:uiPriority w:val="99"/>
    <w:qFormat/>
    <w:rsid w:val="00C927B1"/>
    <w:pPr>
      <w:keepNext/>
      <w:spacing w:before="60" w:after="60"/>
      <w:ind w:firstLine="709"/>
      <w:jc w:val="both"/>
    </w:pPr>
    <w:rPr>
      <w:lang w:eastAsia="sk-SK"/>
    </w:rPr>
  </w:style>
  <w:style w:type="character" w:customStyle="1" w:styleId="PtaChar">
    <w:name w:val="Päta Char"/>
    <w:link w:val="Pta"/>
    <w:uiPriority w:val="99"/>
    <w:qFormat/>
    <w:locked/>
    <w:rsid w:val="001543BD"/>
    <w:rPr>
      <w:rFonts w:ascii="Arial" w:hAnsi="Arial" w:cs="Arial"/>
      <w:sz w:val="22"/>
      <w:szCs w:val="22"/>
      <w:lang w:val="sk-SK" w:eastAsia="sk-SK"/>
    </w:rPr>
  </w:style>
  <w:style w:type="paragraph" w:styleId="Pta">
    <w:name w:val="footer"/>
    <w:basedOn w:val="Normlny"/>
    <w:link w:val="PtaChar"/>
    <w:uiPriority w:val="99"/>
    <w:rsid w:val="001543BD"/>
    <w:pPr>
      <w:keepLines/>
      <w:tabs>
        <w:tab w:val="left" w:pos="567"/>
        <w:tab w:val="center" w:pos="4536"/>
        <w:tab w:val="right" w:pos="9072"/>
      </w:tabs>
      <w:suppressAutoHyphens/>
      <w:spacing w:before="120"/>
      <w:ind w:left="113" w:firstLine="318"/>
      <w:jc w:val="both"/>
    </w:pPr>
    <w:rPr>
      <w:rFonts w:ascii="Arial" w:eastAsiaTheme="minorHAnsi" w:hAnsi="Arial" w:cs="Arial"/>
      <w:sz w:val="22"/>
      <w:szCs w:val="22"/>
      <w:lang w:eastAsia="sk-SK"/>
    </w:rPr>
  </w:style>
  <w:style w:type="character" w:customStyle="1" w:styleId="FooterChar1">
    <w:name w:val="Footer Char1"/>
    <w:basedOn w:val="Predvolenpsmoodseku"/>
    <w:uiPriority w:val="99"/>
    <w:semiHidden/>
    <w:rsid w:val="001543BD"/>
    <w:rPr>
      <w:rFonts w:ascii="Times New Roman" w:eastAsia="Times New Roman" w:hAnsi="Times New Roman" w:cs="Times New Roman"/>
      <w:lang w:val="en-US"/>
    </w:rPr>
  </w:style>
  <w:style w:type="paragraph" w:customStyle="1" w:styleId="Odsekzoznamu1">
    <w:name w:val="Odsek zoznamu1"/>
    <w:basedOn w:val="Normlny"/>
    <w:qFormat/>
    <w:rsid w:val="001543BD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styleId="slostrany">
    <w:name w:val="page number"/>
    <w:basedOn w:val="Predvolenpsmoodseku"/>
    <w:uiPriority w:val="99"/>
    <w:semiHidden/>
    <w:unhideWhenUsed/>
    <w:rsid w:val="002B71FC"/>
  </w:style>
  <w:style w:type="character" w:styleId="Zstupntext">
    <w:name w:val="Placeholder Text"/>
    <w:basedOn w:val="Predvolenpsmoodseku"/>
    <w:uiPriority w:val="99"/>
    <w:semiHidden/>
    <w:rsid w:val="002B71FC"/>
    <w:rPr>
      <w:rFonts w:ascii="Times New Roman" w:hAnsi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8F58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581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1_predkladacia-sprava_novela-zákona-272_2015_MPK"/>
    <f:field ref="objsubject" par="" edit="true" text=""/>
    <f:field ref="objcreatedby" par="" text="Blaho, Peter, JUDr."/>
    <f:field ref="objcreatedat" par="" text="8.9.2022 13:18:47"/>
    <f:field ref="objchangedby" par="" text="Administrator, System"/>
    <f:field ref="objmodifiedat" par="" text="8.9.2022 13:18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6044B4E-E1A5-4579-89B1-04BCB42D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Bokol Viliam</cp:lastModifiedBy>
  <cp:revision>2</cp:revision>
  <cp:lastPrinted>2022-09-07T15:58:00Z</cp:lastPrinted>
  <dcterms:created xsi:type="dcterms:W3CDTF">2023-03-24T02:24:00Z</dcterms:created>
  <dcterms:modified xsi:type="dcterms:W3CDTF">2023-03-24T02:24:00Z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Štatistiky_x000d_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Peter Blaho</vt:lpwstr>
  </property>
  <property fmtid="{D5CDD505-2E9C-101B-9397-08002B2CF9AE}" pid="12" name="FSC#SKEDITIONSLOVLEX@103.510:zodppredkladatel">
    <vt:lpwstr>Ing. Alexander Ballek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272/2015 Z. z. o registri právnických osôb, podnikateľov a orgánov verejnej moci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Štatistický úrad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január až jún 2021</vt:lpwstr>
  </property>
  <property fmtid="{D5CDD505-2E9C-101B-9397-08002B2CF9AE}" pid="23" name="FSC#SKEDITIONSLOVLEX@103.510:plnynazovpredpis">
    <vt:lpwstr> Zákon, ktorým sa mení a dopĺňa zákon č. 272/2015 Z. z. o registri právnických osôb, podnikateľov a orgánov verejnej moci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10430-745/2022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LP/2022/520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</vt:lpwstr>
  </property>
  <property fmtid="{D5CDD505-2E9C-101B-9397-08002B2CF9AE}" pid="142" name="FSC#SKEDITIONSLOVLEX@103.510:funkciaZodpPredAkuzativ">
    <vt:lpwstr>Predsedu</vt:lpwstr>
  </property>
  <property fmtid="{D5CDD505-2E9C-101B-9397-08002B2CF9AE}" pid="143" name="FSC#SKEDITIONSLOVLEX@103.510:funkciaZodpPredDativ">
    <vt:lpwstr>Predsedovi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Alexander Ballek_x000d_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8. 9. 2022</vt:lpwstr>
  </property>
  <property fmtid="{D5CDD505-2E9C-101B-9397-08002B2CF9AE}" pid="151" name="FSC#COOSYSTEM@1.1:Container">
    <vt:lpwstr>COO.2145.1000.3.5174883</vt:lpwstr>
  </property>
  <property fmtid="{D5CDD505-2E9C-101B-9397-08002B2CF9AE}" pid="152" name="FSC#FSCFOLIO@1.1001:docpropproject">
    <vt:lpwstr/>
  </property>
</Properties>
</file>