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2A85B467" w:rsidR="00054C41" w:rsidRPr="00845AEE" w:rsidRDefault="00054C41" w:rsidP="00845AEE">
      <w:pPr>
        <w:ind w:left="2124" w:hanging="2124"/>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845AEE">
        <w:rPr>
          <w:rFonts w:ascii="Times New Roman" w:eastAsia="Calibri" w:hAnsi="Times New Roman" w:cs="Times New Roman"/>
          <w:b/>
          <w:sz w:val="24"/>
          <w:szCs w:val="24"/>
        </w:rPr>
        <w:t xml:space="preserve"> </w:t>
      </w:r>
      <w:r w:rsidR="00845AEE">
        <w:rPr>
          <w:rFonts w:ascii="Times New Roman" w:eastAsia="Calibri" w:hAnsi="Times New Roman" w:cs="Times New Roman"/>
          <w:b/>
          <w:sz w:val="24"/>
          <w:szCs w:val="24"/>
        </w:rPr>
        <w:tab/>
      </w:r>
      <w:r w:rsidR="00845AEE" w:rsidRPr="00845AEE">
        <w:rPr>
          <w:rFonts w:ascii="Times New Roman" w:eastAsia="Calibri" w:hAnsi="Times New Roman" w:cs="Times New Roman"/>
          <w:sz w:val="24"/>
          <w:szCs w:val="24"/>
        </w:rPr>
        <w:t>Návrh zákona, ktorým sa mení a dopĺňa zákon č. 34/2002 Z. z. o nadáciách a o zmene Občianskeho zákonníka v znení neskorších predpisov a ktorým sa menia a dopĺňajú niektoré zákony</w:t>
      </w:r>
    </w:p>
    <w:p w14:paraId="77F96BF6" w14:textId="5E1A0E56"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845AEE">
        <w:rPr>
          <w:rFonts w:ascii="Times New Roman" w:eastAsia="Calibri" w:hAnsi="Times New Roman" w:cs="Times New Roman"/>
          <w:b/>
          <w:sz w:val="24"/>
          <w:szCs w:val="24"/>
        </w:rPr>
        <w:tab/>
      </w:r>
      <w:r w:rsidR="00845AEE" w:rsidRPr="00845AEE">
        <w:rPr>
          <w:rFonts w:ascii="Times New Roman" w:eastAsia="Calibri" w:hAnsi="Times New Roman" w:cs="Times New Roman"/>
          <w:sz w:val="24"/>
          <w:szCs w:val="24"/>
        </w:rPr>
        <w:t>Ministerstvo spravodlivosti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7777777" w:rsidR="00054C41" w:rsidRPr="00D8247C" w:rsidRDefault="00B40C4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7777777" w:rsidR="00054C41" w:rsidRPr="00D8247C" w:rsidRDefault="00B40C4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112F1AE2" w14:textId="77777777" w:rsidR="00845AEE" w:rsidRPr="007061F9" w:rsidRDefault="00845AEE" w:rsidP="00845AEE">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Okrem prínosu z hľadiska súkromnoprávneho bude mať zavedenie navrhovaného inštitútu pozitívny vplyv aj pre štát a jeho ekonomiku, nakoľko majetok ostane vo vlastníctve našich občanov, nebude rozdrobený medzi veľa vlastníkov a tým nebude strácať na hodnote a navyše sa podporí lokálny trh nie len poradenských služieb. </w:t>
      </w:r>
    </w:p>
    <w:p w14:paraId="572718DB" w14:textId="77777777" w:rsidR="00845AEE" w:rsidRPr="007061F9" w:rsidRDefault="00845AEE" w:rsidP="00845AEE">
      <w:pPr>
        <w:jc w:val="both"/>
        <w:rPr>
          <w:rFonts w:ascii="Times New Roman" w:eastAsia="Times New Roman" w:hAnsi="Times New Roman" w:cs="Times New Roman"/>
          <w:sz w:val="20"/>
          <w:szCs w:val="20"/>
          <w:lang w:eastAsia="sk-SK"/>
        </w:rPr>
      </w:pPr>
    </w:p>
    <w:p w14:paraId="11F171B6" w14:textId="77777777" w:rsidR="00845AEE" w:rsidRPr="007061F9" w:rsidRDefault="00845AEE" w:rsidP="00845AEE">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V prípadoch, kedy občania využívajú zahraničné inštitúty na zabezpečenie správy ich majetku, sa vlastníctvo majetku prevedie zo slovenskej rodiny na zahraničný inštitút. Tým sa majetok získaný napr. rodinami zo Slovenska stane majetkom zahraničných inštitútov, napr. českého súkromného nadačného fondu. Uvedené má dopad na výber daní, ktoré sa už platia vo väčšine prípadov v zahraničí i iné oblasti ekonomiky Slovenskej republiky. </w:t>
      </w:r>
    </w:p>
    <w:p w14:paraId="76A41906" w14:textId="77777777" w:rsidR="00845AEE" w:rsidRPr="007061F9" w:rsidRDefault="00845AEE" w:rsidP="00845AEE">
      <w:pPr>
        <w:jc w:val="both"/>
        <w:rPr>
          <w:rFonts w:ascii="Times New Roman" w:eastAsia="Times New Roman" w:hAnsi="Times New Roman" w:cs="Times New Roman"/>
          <w:sz w:val="20"/>
          <w:szCs w:val="20"/>
          <w:lang w:eastAsia="sk-SK"/>
        </w:rPr>
      </w:pPr>
    </w:p>
    <w:p w14:paraId="1060E714" w14:textId="77777777" w:rsidR="00845AEE" w:rsidRPr="007061F9" w:rsidRDefault="00845AEE" w:rsidP="00845AEE">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Ďalším problémom využívania zahraničných inštitútov je, že tieto k ich ďalšej činnosti využívajú primárne poradcov z ich krajiny, typicky advokátov, daňových poradcov, účtovníkov, ale aj bankový sektor či orgány verejnej moci, ako sú notári a iné, čím podporujú a rozvíjajú zahraničný podnikateľský a pracovný trh. Zavedenie právneho nástroja správy majetku na súkromný účel by teda výrazne podporilo a rozvilo aj lokálne podnikateľské prostredie, a to nie len poradenskej sféry. </w:t>
      </w:r>
    </w:p>
    <w:p w14:paraId="708DB351" w14:textId="77777777" w:rsidR="00845AEE" w:rsidRPr="007061F9" w:rsidRDefault="00845AEE" w:rsidP="00845AEE">
      <w:pPr>
        <w:jc w:val="both"/>
        <w:rPr>
          <w:rFonts w:ascii="Times New Roman" w:eastAsia="Times New Roman" w:hAnsi="Times New Roman" w:cs="Times New Roman"/>
          <w:sz w:val="20"/>
          <w:szCs w:val="20"/>
          <w:lang w:eastAsia="sk-SK"/>
        </w:rPr>
      </w:pPr>
    </w:p>
    <w:p w14:paraId="07252E74" w14:textId="77777777" w:rsidR="00845AEE" w:rsidRPr="007061F9" w:rsidRDefault="00845AEE" w:rsidP="00845AEE">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Problém s dopadom na ekonomiku štátu má aj rozdrobenie majetku medzi veľa vlastníkov a jeho následné znehodnotenie. Typicky je to zatiaľ pozorovať pri zdedených pozemkoch (primárne poľnohospodárska pôda), kedy má jeden pozemok vďaka typickým dedičským inštitútom desiatky vlastníkov. Títo sú síce veľmi vzdialenou rodinou, ale už sa niekedy ani nepoznajú, o pozemok sa nestarajú a ani sa nevedenia dohodnúť ani na jeho predaji. Tým pádom sa znehodnocuje majetok, blokuje sa trh a celé to negatívne vplýva na ekonomiku. </w:t>
      </w:r>
    </w:p>
    <w:p w14:paraId="3873CDB7" w14:textId="77777777" w:rsidR="00845AEE" w:rsidRPr="007061F9" w:rsidRDefault="00845AEE" w:rsidP="00845AEE">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Treba si uvedomiť, že historický problém s rozdrobením vlastníctva pri pozemkoch bude ešte väčší v súčasnosti, kedy sa dotkne oveľa širšieho spektra majetku. Historicky sa totiž po poručiteľoch primárne dedili pozemky, kde už teraz pozorovať problémy s rozdrobením majetku. V dnešnej dobe sa dedí okrem nehnuteľností i veľmi diverzifikovaný majetok, a to investície, rôzne zbierky, dokonca kryptomeny. Navrhovaný nový právny inštitút správy majetku na súkromný účel zabezpečí, aby sa takýto majetok nerozdrobil, ostal iba jednej entite, čím sa zabezpečí jeho kontinuálna správa, teda nebude chátrať a bude sa vedieť v prípade potreby bez problémov predať.</w:t>
      </w:r>
    </w:p>
    <w:p w14:paraId="4DA7BA73" w14:textId="77777777" w:rsidR="00845AEE" w:rsidRPr="007061F9" w:rsidRDefault="00845AEE" w:rsidP="00845AEE">
      <w:pPr>
        <w:jc w:val="both"/>
        <w:rPr>
          <w:rFonts w:ascii="Times New Roman" w:eastAsia="Times New Roman" w:hAnsi="Times New Roman" w:cs="Times New Roman"/>
          <w:sz w:val="20"/>
          <w:szCs w:val="20"/>
          <w:lang w:eastAsia="sk-SK"/>
        </w:rPr>
      </w:pPr>
    </w:p>
    <w:p w14:paraId="36A8A6DE" w14:textId="77777777" w:rsidR="00845AEE" w:rsidRPr="00F307C5" w:rsidRDefault="00845AEE" w:rsidP="00845AEE">
      <w:pPr>
        <w:jc w:val="both"/>
        <w:rPr>
          <w:rFonts w:ascii="Times New Roman" w:eastAsia="Times New Roman" w:hAnsi="Times New Roman" w:cs="Times New Roman"/>
          <w:sz w:val="20"/>
          <w:szCs w:val="20"/>
          <w:lang w:eastAsia="sk-SK"/>
        </w:rPr>
      </w:pPr>
      <w:r w:rsidRPr="007061F9">
        <w:rPr>
          <w:rFonts w:ascii="Times New Roman" w:eastAsia="Times New Roman" w:hAnsi="Times New Roman" w:cs="Times New Roman"/>
          <w:sz w:val="20"/>
          <w:szCs w:val="20"/>
          <w:lang w:eastAsia="sk-SK"/>
        </w:rPr>
        <w:t xml:space="preserve">Ďalším problémom je rozdrobenie podnikateľského majetku, primárne obchodných podielov a akcií ako aj dlhotrvajúce dedičské konania. Práve rozdrobenie podielov v obchodnej spoločnosti ako aj dlhotrvajúce dedičské konanie môže spôsobiť ukončenie podnikania celej firmy. V podmienkach Slovenska, konkrétne rodinných firiem, je vlastník podielu v obchodnej spoločnosti typicky vymenovaný ako jej štatutárny orgán. Môže sa teda stať, že z dôvodu veľkého rozriedenia podielov, nezhôd nových vlastníkov podielov ale aj niekoľko mesiacov či rokov </w:t>
      </w:r>
      <w:r w:rsidRPr="007061F9">
        <w:rPr>
          <w:rFonts w:ascii="Times New Roman" w:eastAsia="Times New Roman" w:hAnsi="Times New Roman" w:cs="Times New Roman"/>
          <w:sz w:val="20"/>
          <w:szCs w:val="20"/>
          <w:lang w:eastAsia="sk-SK"/>
        </w:rPr>
        <w:lastRenderedPageBreak/>
        <w:t>trvajúceho dedičského konania môže byť ochromené fungovanie a rozhodovanie základných orgánov firiem (typicky valného zhromaždenia). Nastane teda situácia, kedy nebude vymenovaný nový štatutárny orgán. Bez štatutárneho orgánu zas nebude prebiehať denno-denné podnikanie firmy, plnenie dodávateľsko-odberateľských vzťahov, nebudú vyplácané mzdy, platené odvody a dane a iné. Teda podnikanie celej firmy skončí len z dôvodu rozdrobenia podielov v rámci rodiny alebo iných zákonných dedičov alebo naťahujúceho sa dedičského konania. Ukončenie podnikania predtým prosperujúcich subjektov má výrazne negatívne dopady na trh práce, výber daní a celkovú ekonomiku Slovenska. Navrhovaný nástroj správy majetku na súkromný účel dokáže problém vyriešiť, zabráni zablokovaniu fungovania firmy, umožní jej ďalej fungovať, a teda dáva možnosť zvýšiť podiel firiem, ktoré prežijú ďalšie generácie.</w:t>
      </w:r>
    </w:p>
    <w:p w14:paraId="567581BF" w14:textId="77777777" w:rsidR="00054C41" w:rsidRPr="00895898" w:rsidRDefault="00054C41" w:rsidP="00054C41">
      <w:pPr>
        <w:spacing w:after="0"/>
        <w:jc w:val="both"/>
        <w:rPr>
          <w:rFonts w:ascii="Times New Roman" w:eastAsia="Calibri" w:hAnsi="Times New Roman" w:cs="Times New Roman"/>
          <w:i/>
          <w:color w:val="0070C0"/>
        </w:rPr>
      </w:pPr>
      <w:bookmarkStart w:id="1" w:name="_GoBack"/>
      <w:bookmarkEnd w:id="1"/>
    </w:p>
    <w:sectPr w:rsidR="00054C41" w:rsidRPr="00895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7B2BE" w14:textId="77777777" w:rsidR="00B40C49" w:rsidRDefault="00B40C49" w:rsidP="00054C41">
      <w:pPr>
        <w:spacing w:after="0" w:line="240" w:lineRule="auto"/>
      </w:pPr>
      <w:r>
        <w:separator/>
      </w:r>
    </w:p>
  </w:endnote>
  <w:endnote w:type="continuationSeparator" w:id="0">
    <w:p w14:paraId="09B8C164" w14:textId="77777777" w:rsidR="00B40C49" w:rsidRDefault="00B40C49"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2639301E"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5D5E8D">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14:paraId="7D48B09B" w14:textId="77777777" w:rsidR="00142154" w:rsidRPr="00FF7125" w:rsidRDefault="00142154" w:rsidP="00054C41">
    <w:pPr>
      <w:pStyle w:val="Pta"/>
      <w:rPr>
        <w:sz w:val="24"/>
        <w:szCs w:val="24"/>
      </w:rPr>
    </w:pPr>
  </w:p>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4697E" w14:textId="77777777" w:rsidR="00B40C49" w:rsidRDefault="00B40C49" w:rsidP="00054C41">
      <w:pPr>
        <w:spacing w:after="0" w:line="240" w:lineRule="auto"/>
      </w:pPr>
      <w:r>
        <w:separator/>
      </w:r>
    </w:p>
  </w:footnote>
  <w:footnote w:type="continuationSeparator" w:id="0">
    <w:p w14:paraId="65F2FF1E" w14:textId="77777777" w:rsidR="00B40C49" w:rsidRDefault="00B40C49"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142154" w:rsidRPr="006045CB" w:rsidRDefault="0014215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142154"/>
    <w:rsid w:val="001B4C03"/>
    <w:rsid w:val="001D1083"/>
    <w:rsid w:val="001D3FA0"/>
    <w:rsid w:val="001E53CB"/>
    <w:rsid w:val="00225A83"/>
    <w:rsid w:val="00270EA5"/>
    <w:rsid w:val="00340CFD"/>
    <w:rsid w:val="0038255E"/>
    <w:rsid w:val="00391648"/>
    <w:rsid w:val="0039304E"/>
    <w:rsid w:val="003E58B8"/>
    <w:rsid w:val="003F06D7"/>
    <w:rsid w:val="00445638"/>
    <w:rsid w:val="00446432"/>
    <w:rsid w:val="004D20CB"/>
    <w:rsid w:val="005D5E8D"/>
    <w:rsid w:val="007259CB"/>
    <w:rsid w:val="0077106D"/>
    <w:rsid w:val="007B40FB"/>
    <w:rsid w:val="007E24B2"/>
    <w:rsid w:val="00845AEE"/>
    <w:rsid w:val="008634E9"/>
    <w:rsid w:val="008801B5"/>
    <w:rsid w:val="008B4AA1"/>
    <w:rsid w:val="008C1C71"/>
    <w:rsid w:val="00923C0C"/>
    <w:rsid w:val="009A4D56"/>
    <w:rsid w:val="009E09F7"/>
    <w:rsid w:val="00A000DA"/>
    <w:rsid w:val="00A1736E"/>
    <w:rsid w:val="00B40C49"/>
    <w:rsid w:val="00B66E33"/>
    <w:rsid w:val="00BA1591"/>
    <w:rsid w:val="00BD0EF7"/>
    <w:rsid w:val="00C21399"/>
    <w:rsid w:val="00C560C4"/>
    <w:rsid w:val="00C6748F"/>
    <w:rsid w:val="00D005F2"/>
    <w:rsid w:val="00D631FA"/>
    <w:rsid w:val="00D82356"/>
    <w:rsid w:val="00D84EEE"/>
    <w:rsid w:val="00D90A61"/>
    <w:rsid w:val="00DF02CE"/>
    <w:rsid w:val="00E030DA"/>
    <w:rsid w:val="00EB2BEC"/>
    <w:rsid w:val="00EC0704"/>
    <w:rsid w:val="00ED6B5D"/>
    <w:rsid w:val="00EE4C99"/>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031D17A-39DD-48D5-807C-2D54B171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7779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PALÚŠ Juraj</cp:lastModifiedBy>
  <cp:revision>2</cp:revision>
  <dcterms:created xsi:type="dcterms:W3CDTF">2023-03-29T08:26:00Z</dcterms:created>
  <dcterms:modified xsi:type="dcterms:W3CDTF">2023-03-29T08:26:00Z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