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8C4D1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37B35A25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61D92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</w:p>
    <w:p w14:paraId="77F96BF6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</w:p>
    <w:p w14:paraId="36AFBB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00D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77777777" w:rsidR="00054C41" w:rsidRPr="001F1B43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2ADA32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4A016909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10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p w14:paraId="332752F1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tbl>
      <w:tblPr>
        <w:tblW w:w="100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876"/>
        <w:gridCol w:w="101"/>
        <w:gridCol w:w="59"/>
        <w:gridCol w:w="2918"/>
        <w:gridCol w:w="342"/>
        <w:gridCol w:w="160"/>
      </w:tblGrid>
      <w:tr w:rsidR="00BD2C26" w:rsidRPr="00BD2C26" w14:paraId="4711CB59" w14:textId="77777777" w:rsidTr="00BD2C26">
        <w:trPr>
          <w:gridAfter w:val="2"/>
          <w:wAfter w:w="502" w:type="dxa"/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A84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388129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EC001CD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BD2C26" w:rsidRPr="00BD2C26" w14:paraId="01AE0DE6" w14:textId="77777777" w:rsidTr="00BD2C26">
        <w:trPr>
          <w:gridAfter w:val="2"/>
          <w:wAfter w:w="502" w:type="dxa"/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FD0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A.Dane</w:t>
            </w:r>
            <w:proofErr w:type="spellEnd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, odvody, clá a poplatky, ktorých cieľom je znižovať negatívne </w:t>
            </w:r>
            <w:proofErr w:type="spellStart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40F72B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5706D7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7A510323" w14:textId="77777777" w:rsidTr="00BD2C26">
        <w:trPr>
          <w:gridAfter w:val="2"/>
          <w:wAfter w:w="502" w:type="dxa"/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EFB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B. Iné poplatky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AC1CEB" w14:textId="2ADF92B9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1DE5ADF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789C3F48" w14:textId="77777777" w:rsidTr="00BD2C26">
        <w:trPr>
          <w:gridAfter w:val="2"/>
          <w:wAfter w:w="502" w:type="dxa"/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5BC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 Nepriame finančné náklady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6A060E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37708E0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44AF9773" w14:textId="77777777" w:rsidTr="00BD2C26">
        <w:trPr>
          <w:gridAfter w:val="2"/>
          <w:wAfter w:w="502" w:type="dxa"/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90E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D. Administratívne náklady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E07725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F477DBE" w14:textId="6C24EDAA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7529BBCA" w14:textId="77777777" w:rsidTr="00BD2C26">
        <w:trPr>
          <w:gridAfter w:val="2"/>
          <w:wAfter w:w="502" w:type="dxa"/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DD0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B72F88" w14:textId="21B8AC26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8A74C5F" w14:textId="2E1E2117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398B20AB" w14:textId="77777777" w:rsidTr="00BD2C26">
        <w:trPr>
          <w:gridAfter w:val="2"/>
          <w:wAfter w:w="502" w:type="dxa"/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812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Z toho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0C25C3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B1180E9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D2C26" w:rsidRPr="00BD2C26" w14:paraId="30C2F9B4" w14:textId="77777777" w:rsidTr="00BD2C26">
        <w:trPr>
          <w:gridAfter w:val="2"/>
          <w:wAfter w:w="502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88A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E. Vplyv na </w:t>
            </w:r>
            <w:proofErr w:type="spellStart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mikro</w:t>
            </w:r>
            <w:proofErr w:type="spellEnd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, malé a stredné </w:t>
            </w:r>
            <w:proofErr w:type="spellStart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podn</w:t>
            </w:r>
            <w:proofErr w:type="spellEnd"/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C7267E" w14:textId="5573C2A4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D1CB119" w14:textId="579C4FE8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035211CA" w14:textId="77777777" w:rsidTr="00BD2C26">
        <w:trPr>
          <w:gridAfter w:val="2"/>
          <w:wAfter w:w="502" w:type="dxa"/>
          <w:trHeight w:val="9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E44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F. Úplná harmonizácia práva EÚ</w:t>
            </w:r>
            <w:r w:rsidRPr="00BD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BD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Pr="00BD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Pr="00BD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4B824E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D2CEBE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D2C26" w:rsidRPr="00BD2C26" w14:paraId="766A9480" w14:textId="77777777" w:rsidTr="00BD2C26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FC9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6512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4878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F0C5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92DA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2C26" w:rsidRPr="00BD2C26" w14:paraId="3CA667BE" w14:textId="77777777" w:rsidTr="00BD2C26">
        <w:trPr>
          <w:gridAfter w:val="2"/>
          <w:wAfter w:w="502" w:type="dxa"/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47F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1in2out: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E3B208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731CD86" w14:textId="77777777" w:rsidR="00BD2C26" w:rsidRPr="00BD2C26" w:rsidRDefault="00BD2C26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BD2C26" w:rsidRPr="00BD2C26" w14:paraId="56D7DB76" w14:textId="77777777" w:rsidTr="00BD2C26">
        <w:trPr>
          <w:gridAfter w:val="2"/>
          <w:wAfter w:w="502" w:type="dxa"/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A99" w14:textId="77777777" w:rsidR="00BD2C26" w:rsidRPr="00BD2C26" w:rsidRDefault="00BD2C26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D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G. Náklady okrem výnimiek = B+C+D-F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F742F8" w14:textId="4A77D011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ED119CF" w14:textId="653155CF" w:rsidR="00BD2C26" w:rsidRPr="00BD2C26" w:rsidRDefault="006F6593" w:rsidP="00B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533B49DD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p w14:paraId="248D945B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11E3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default" r:id="rId11"/>
          <w:footerReference w:type="default" r:id="rId12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0270A51C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850"/>
        <w:gridCol w:w="709"/>
        <w:gridCol w:w="992"/>
        <w:gridCol w:w="851"/>
        <w:gridCol w:w="992"/>
        <w:gridCol w:w="992"/>
        <w:gridCol w:w="992"/>
        <w:gridCol w:w="851"/>
        <w:gridCol w:w="1134"/>
        <w:gridCol w:w="850"/>
        <w:gridCol w:w="709"/>
        <w:gridCol w:w="851"/>
        <w:gridCol w:w="850"/>
        <w:gridCol w:w="851"/>
        <w:gridCol w:w="567"/>
        <w:gridCol w:w="567"/>
      </w:tblGrid>
      <w:tr w:rsidR="00A947AA" w:rsidRPr="00A947AA" w14:paraId="6CE4B59C" w14:textId="77777777" w:rsidTr="00A947AA">
        <w:trPr>
          <w:trHeight w:val="14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278F8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P.č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F7792A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Zrozumiteľný a stručný opis regulácie 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  <w:t>(dôvod zvýšenia/zníženia nákladov na PP)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F02D80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Číslo normy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(zákona, vyhlášky a pod.)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0E814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Lokalizácia  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(§, ods.)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81A14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Pôvod regulácie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: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  <w:t xml:space="preserve">(SK/EÚ úplná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harm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./EÚ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harm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. s možnosťou voľby)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144A79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Účinnosť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  <w:t>regulácie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79FA9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Kategória </w:t>
            </w:r>
            <w:proofErr w:type="spellStart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dotk</w:t>
            </w:r>
            <w:proofErr w:type="spellEnd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. subjektov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8E7B1F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Počet </w:t>
            </w:r>
            <w:proofErr w:type="spellStart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dotkn</w:t>
            </w:r>
            <w:proofErr w:type="spellEnd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. subjektov spolu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(v prípade objektívnej nedostupnosti údaja použite expertný odhad, alebo uveďte "N")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16240F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Počet </w:t>
            </w:r>
            <w:proofErr w:type="spellStart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dotkn</w:t>
            </w:r>
            <w:proofErr w:type="spellEnd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. subjektov MSP 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(v prípade objektívnej nedostupnosti údaja použite expertný odhad, alebo uveďte "N")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723E7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Druh vplyvu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In (zvyšuje náklady) / 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Out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 (znižuje náklady)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D283F1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Priame finančné náklady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1C76F1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C. Nepriame finančné náklady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0BAC7B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D. Administratívne náklady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  <w:t>(časová náročnosť povinnosti)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sk-SK"/>
              </w:rPr>
              <w:t xml:space="preserve">Vyplňte </w:t>
            </w:r>
            <w:r w:rsidRPr="00A947A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sk-SK"/>
              </w:rPr>
              <w:t>len jednu</w:t>
            </w:r>
            <w:r w:rsidRPr="00A947AA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sk-SK"/>
              </w:rPr>
              <w:t xml:space="preserve"> z alternatív 1 alebo 2</w:t>
            </w:r>
          </w:p>
        </w:tc>
      </w:tr>
      <w:tr w:rsidR="00A947AA" w:rsidRPr="00A947AA" w14:paraId="595B1973" w14:textId="77777777" w:rsidTr="00A947AA">
        <w:trPr>
          <w:trHeight w:val="16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417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77EB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9B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A98F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9AE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1F6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D9D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A217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0CB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C9D0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28D14E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A.Dane</w:t>
            </w:r>
            <w:proofErr w:type="spellEnd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, odvody, clá a poplatky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, ktorých cieľom je znižovať negatívne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externality</w:t>
            </w:r>
            <w:proofErr w:type="spellEnd"/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(ročný vplyv na kategóriu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dotkn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sub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. v EUR)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F285A3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B. Iné poplatky</w:t>
            </w: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br/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(ročný vplyv na kategóriu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dotkn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sub</w:t>
            </w:r>
            <w:proofErr w:type="spellEnd"/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. v EUR)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FD9210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Na 1 podnikateľa (EUR)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D92D1B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Frekvencia plnenia povinnosti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A42E9D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 xml:space="preserve">Alternatíva 1: 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  <w:t>Expertný odhad trvania povinností (min.)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9D13A8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Alternatíva 2: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br/>
              <w:t>Štandardná časová náročnosť  (min.)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07C69C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>Frekvencia plnenia povinnosti</w:t>
            </w:r>
          </w:p>
        </w:tc>
      </w:tr>
      <w:tr w:rsidR="00A947AA" w:rsidRPr="00A947AA" w14:paraId="6B09CB0F" w14:textId="77777777" w:rsidTr="00A947AA">
        <w:trPr>
          <w:trHeight w:val="252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C354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3EEB4" w14:textId="54FEE698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6567" w14:textId="40DCE676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3FD8E" w14:textId="758208FE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4301F4" w14:textId="49715012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EF7E2" w14:textId="411820D5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877E3" w14:textId="6ACECB06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C10AF" w14:textId="439C24B8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905E1" w14:textId="583983AE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36FB0" w14:textId="43FEFF21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0A2CE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29A05" w14:textId="288E6D55" w:rsidR="00A947AA" w:rsidRPr="00A947AA" w:rsidRDefault="00A947AA" w:rsidP="006F6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7BD9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AF8FE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frekvenciu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EF4D9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41B1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067FF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27A47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frekvenciu</w:t>
            </w:r>
          </w:p>
        </w:tc>
      </w:tr>
      <w:tr w:rsidR="00A947AA" w:rsidRPr="00A947AA" w14:paraId="00D99980" w14:textId="77777777" w:rsidTr="00A947AA">
        <w:trPr>
          <w:trHeight w:val="252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F36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1D0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D5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84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CEA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B71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69DD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221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DC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57C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AAE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5C0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55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BAC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D53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B971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104FB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C0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</w:tr>
      <w:tr w:rsidR="00A947AA" w:rsidRPr="00A947AA" w14:paraId="39BDFFFB" w14:textId="77777777" w:rsidTr="00E71CAF">
        <w:trPr>
          <w:trHeight w:val="58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7C4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A0C0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9CD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18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882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377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5D6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4B61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8CCD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4FA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9A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0C67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C03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838F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C8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B182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A937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38E1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</w:tr>
      <w:tr w:rsidR="00A947AA" w:rsidRPr="00A947AA" w14:paraId="4B3EBDD4" w14:textId="77777777" w:rsidTr="00A947AA">
        <w:trPr>
          <w:trHeight w:val="252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21DC5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CE362" w14:textId="51E126F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C181F" w14:textId="45A0B21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617DB" w14:textId="189FE718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E080C" w14:textId="1B199FE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785E2" w14:textId="55B062E5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7FA8E" w14:textId="1A4F8B3C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3F00E" w14:textId="789D3F8E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D1417" w14:textId="317D8613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188961" w14:textId="378D54E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B0B9A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90A14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49A1F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996F1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frekvenciu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062CE" w14:textId="7B050F45" w:rsidR="00A947AA" w:rsidRPr="00A947AA" w:rsidRDefault="00A947AA" w:rsidP="006F6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6F13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0F78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3F444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2-krát ročne (polročne)</w:t>
            </w:r>
          </w:p>
        </w:tc>
      </w:tr>
      <w:tr w:rsidR="00A947AA" w:rsidRPr="00A947AA" w14:paraId="55330DCE" w14:textId="77777777" w:rsidTr="00A947AA">
        <w:trPr>
          <w:trHeight w:val="252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41D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89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F9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AA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DEF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E8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ECB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CBC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3B0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A8B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AD7B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0D4B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644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1E9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C8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35169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1F14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3EB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A947AA" w:rsidRPr="00A947AA" w14:paraId="4543DB5A" w14:textId="77777777" w:rsidTr="00E71CAF">
        <w:trPr>
          <w:trHeight w:val="58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866F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7B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1A6C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6426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12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33F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CEE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F73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9FF8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19F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7E7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AC4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DBA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1963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A302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B7ED5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sk-SK"/>
              </w:rPr>
              <w:t>Vyberte typickú povinnosť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D9C01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</w:pPr>
            <w:r w:rsidRPr="00A947A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980D" w14:textId="77777777" w:rsidR="00A947AA" w:rsidRPr="00A947AA" w:rsidRDefault="00A947AA" w:rsidP="00A947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6E2FC1D4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392BDE53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E71CAF"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62FCD6D0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18C9E067" w14:textId="4B7EFCBA" w:rsidR="00054C41" w:rsidRPr="00D8247C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</w:t>
      </w:r>
      <w:proofErr w:type="spellStart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 poplatky, ktorých cieľom je znižovať negatívne </w:t>
      </w:r>
      <w:proofErr w:type="spellStart"/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externality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oplatky, C. Nepriame finančné náklady, D. Administratívne náklady). Rozčleňte ich a vypočítajte v súlade s metodickým postupom. </w:t>
      </w:r>
    </w:p>
    <w:p w14:paraId="4057E260" w14:textId="77777777" w:rsidR="0081755B" w:rsidRDefault="0081755B" w:rsidP="00054C4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CD176F" w14:textId="10EC0E63" w:rsidR="00054C41" w:rsidRPr="001F1B43" w:rsidRDefault="00B35E13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sk-SK"/>
          </w:rPr>
          <w:id w:val="-103596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3C59">
            <w:rPr>
              <w:rFonts w:ascii="MS Gothic" w:eastAsia="MS Gothic" w:hAnsi="MS Gothic" w:cs="Times New Roman" w:hint="eastAsia"/>
              <w:b/>
              <w:sz w:val="20"/>
              <w:szCs w:val="20"/>
              <w:lang w:eastAsia="sk-SK"/>
            </w:rPr>
            <w:t>☒</w:t>
          </w:r>
        </w:sdtContent>
      </w:sdt>
      <w:r w:rsidR="00293C59" w:rsidRPr="00293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4C41" w:rsidRPr="00293C59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5108C31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formu konzultácií vrátane zdôvodnenia jej výberu a trvanie konzultácií, termíny stretnutí. Uveďte spôsob oslovenia dotknutých subjektov, zoznam konzultujúcich subjektov, tiež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na webovú stránku, na ktorej boli konzultácie zverejnené. </w:t>
      </w:r>
    </w:p>
    <w:p w14:paraId="5830DA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hlavné body konzultácií a ich závery. </w:t>
      </w:r>
    </w:p>
    <w:p w14:paraId="653EA42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Uveďte zoznam predložených alternatívnych riešení problematiky od konzultujúcich subjektov, ako aj návrhy od konzultujúcich subjektov na zníženie nákladov regulácií na PP, ktoré neboli akceptované a dôvod neakceptovania. </w:t>
      </w:r>
    </w:p>
    <w:p w14:paraId="2F2C491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Alternatívne namiesto vypĺňania bodu 3.2 môžete uviesť ako samostatnú prílohu tejto analýzy Záznam z konzultácií obsahujúci požadované informácie. </w:t>
      </w:r>
    </w:p>
    <w:p w14:paraId="50FC671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2C005FD" w14:textId="23B60D1C" w:rsidR="00367C01" w:rsidRPr="00A0315E" w:rsidRDefault="00367C01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15E">
        <w:rPr>
          <w:rFonts w:ascii="Times New Roman" w:eastAsia="Calibri" w:hAnsi="Times New Roman" w:cs="Times New Roman"/>
          <w:sz w:val="24"/>
          <w:szCs w:val="24"/>
        </w:rPr>
        <w:t>Predkladateľ oslovil dotknuté subjekty s možnosťou zapojenia sa do konzultácií prostredníctvom zverejnenia predbežnej informácie o príprave návrhu zákona na</w:t>
      </w:r>
      <w:r w:rsidR="00E71CAF" w:rsidRPr="00A0315E">
        <w:rPr>
          <w:rFonts w:ascii="Times New Roman" w:eastAsia="Calibri" w:hAnsi="Times New Roman" w:cs="Times New Roman"/>
          <w:sz w:val="24"/>
          <w:szCs w:val="24"/>
        </w:rPr>
        <w:t xml:space="preserve"> portáli </w:t>
      </w:r>
      <w:proofErr w:type="spellStart"/>
      <w:r w:rsidR="00E71CAF" w:rsidRPr="00A0315E">
        <w:rPr>
          <w:rFonts w:ascii="Times New Roman" w:eastAsia="Calibri" w:hAnsi="Times New Roman" w:cs="Times New Roman"/>
          <w:sz w:val="24"/>
          <w:szCs w:val="24"/>
        </w:rPr>
        <w:t>Slov-Lex</w:t>
      </w:r>
      <w:proofErr w:type="spellEnd"/>
      <w:r w:rsidR="00E71CAF" w:rsidRPr="00A0315E">
        <w:rPr>
          <w:rFonts w:ascii="Times New Roman" w:eastAsia="Calibri" w:hAnsi="Times New Roman" w:cs="Times New Roman"/>
          <w:sz w:val="24"/>
          <w:szCs w:val="24"/>
        </w:rPr>
        <w:t xml:space="preserve"> v období od 24. februára 2023</w:t>
      </w:r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CAF" w:rsidRPr="00A0315E">
        <w:rPr>
          <w:rFonts w:ascii="Times New Roman" w:eastAsia="Calibri" w:hAnsi="Times New Roman" w:cs="Times New Roman"/>
          <w:sz w:val="24"/>
          <w:szCs w:val="24"/>
        </w:rPr>
        <w:t xml:space="preserve"> do 09</w:t>
      </w:r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1CAF" w:rsidRPr="00A0315E">
        <w:rPr>
          <w:rFonts w:ascii="Times New Roman" w:eastAsia="Calibri" w:hAnsi="Times New Roman" w:cs="Times New Roman"/>
          <w:sz w:val="24"/>
          <w:szCs w:val="24"/>
        </w:rPr>
        <w:t>marca 2023</w:t>
      </w:r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1CAF" w:rsidRPr="00A0315E">
        <w:rPr>
          <w:rFonts w:ascii="Times New Roman" w:eastAsia="Calibri" w:hAnsi="Times New Roman" w:cs="Times New Roman"/>
          <w:sz w:val="24"/>
          <w:szCs w:val="24"/>
        </w:rPr>
        <w:t xml:space="preserve">Žiaden subjekt neprejavil záujem uskutočniť k uvedenému materiálu konzultácie. Z uvedeného dôvodu konzultácie s podnikateľským prostredím realizované neboli. </w:t>
      </w:r>
    </w:p>
    <w:p w14:paraId="7E0BF3F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9B01F4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0"/>
    <w:p w14:paraId="74A6C28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3C81D3E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5BAAAEA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3DFB8B9F" w14:textId="7341CF82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3EC29FF8" w14:textId="52A06123" w:rsidR="007259CB" w:rsidRPr="00D8247C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762820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C7DB60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BDE90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A2EAA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A10A211" w14:textId="2C8B977D" w:rsidR="00054C41" w:rsidRDefault="00B35E1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id w:val="452833456"/>
                </w:sdtPr>
                <w:sdtEndPr/>
                <w:sdtContent>
                  <w:r w:rsidR="00A0315E" w:rsidRPr="00D8247C">
                    <w:rPr>
                      <w:rFonts w:ascii="Segoe UI Symbol" w:eastAsia="Calibri" w:hAnsi="Segoe UI Symbol" w:cs="Segoe UI Symbol"/>
                      <w:i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A0315E" w:rsidRPr="002A266C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X</w:t>
              </w:r>
              <w:r w:rsidR="00A0315E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znižuje</w:t>
      </w:r>
    </w:p>
    <w:p w14:paraId="06AEAF35" w14:textId="1EEF7E3F" w:rsidR="00A0315E" w:rsidRPr="00A0315E" w:rsidRDefault="00A0315E" w:rsidP="00A031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1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Zavedenie </w:t>
      </w:r>
      <w:proofErr w:type="spellStart"/>
      <w:r w:rsidRPr="00A0315E">
        <w:rPr>
          <w:rFonts w:ascii="Times New Roman" w:eastAsia="Calibri" w:hAnsi="Times New Roman" w:cs="Times New Roman"/>
          <w:sz w:val="24"/>
          <w:szCs w:val="24"/>
        </w:rPr>
        <w:t>nárokovateľného</w:t>
      </w:r>
      <w:proofErr w:type="spellEnd"/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 príspevku pre RTVS v navrhovanej výške predstavuje garantovaný príjem RTVS spojený s uľahčením finančného plánovania, čo môže predstavovať výhodu RTVS oproti konkurenčným podnikateľom v oblasti televí</w:t>
      </w:r>
      <w:r>
        <w:rPr>
          <w:rFonts w:ascii="Times New Roman" w:eastAsia="Calibri" w:hAnsi="Times New Roman" w:cs="Times New Roman"/>
          <w:sz w:val="24"/>
          <w:szCs w:val="24"/>
        </w:rPr>
        <w:t xml:space="preserve">zneho a rozhlasového vysielania. Predpokladá sa, že v dôsledku zavedenia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nárokovateľného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príspevku (v optimálnej výške) dôjde k zvýšeniu kvality programov produkovaných a vysielaných RTVS, čo môže hypoteticky zvýšiť </w:t>
      </w:r>
      <w:r>
        <w:rPr>
          <w:rFonts w:ascii="Times New Roman" w:eastAsia="Calibri" w:hAnsi="Times New Roman" w:cs="Times New Roman"/>
          <w:sz w:val="24"/>
          <w:szCs w:val="24"/>
        </w:rPr>
        <w:t>potrebu investíci</w:t>
      </w:r>
      <w:r w:rsidR="00D9735B">
        <w:rPr>
          <w:rFonts w:ascii="Times New Roman" w:eastAsia="Calibri" w:hAnsi="Times New Roman" w:cs="Times New Roman"/>
          <w:sz w:val="24"/>
          <w:szCs w:val="24"/>
        </w:rPr>
        <w:t>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zabezpečenia vlastného vysielania  zo strany komerčných vysielateľov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14:paraId="6B26563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C89139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01C1A17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5BED4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6DAAAC96" w14:textId="5FB694EC" w:rsidR="00054C41" w:rsidRPr="00D8247C" w:rsidRDefault="00B35E1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2A266C" w:rsidRPr="002A266C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28E4F647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C8CE5E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0D09BD4A" w14:textId="729D2CF3" w:rsidR="00FF414B" w:rsidRDefault="00FF414B" w:rsidP="00FF414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má materiál vplyvy na PP, ktoré nemožno zaradiť do predchádzajúcich častí, či už pozitívne alebo negatívne, tu ich uveďte.  Patria sem: </w:t>
      </w:r>
    </w:p>
    <w:p w14:paraId="49AF7070" w14:textId="77777777" w:rsidR="00FF414B" w:rsidRDefault="00FF414B" w:rsidP="00FF414B">
      <w:pPr>
        <w:pStyle w:val="Odsekzoznamu"/>
        <w:numPr>
          <w:ilvl w:val="0"/>
          <w:numId w:val="6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sankcie alebo pokuty, ako dôsledok porušenia právne záväzných ustanovení;</w:t>
      </w:r>
    </w:p>
    <w:p w14:paraId="6A794723" w14:textId="77777777" w:rsidR="00FF414B" w:rsidRDefault="00FF414B" w:rsidP="00FF414B">
      <w:pPr>
        <w:pStyle w:val="Odsekzoznamu"/>
        <w:numPr>
          <w:ilvl w:val="0"/>
          <w:numId w:val="6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vplyvy súvisiace so žiadosťami o alebo prijímaním dotácií, fondov, štátnej pomoci a čerpaním iných obdobných foriem podpory zo strany štátu, keďže sú sprievodným javom uchádzania sa či získania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benefitov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na ktoré nie je právny nárok priamo zo zákona, ale vzniká na základe prejavu vôle dotknutého subjektu;</w:t>
      </w:r>
    </w:p>
    <w:p w14:paraId="49AAEA5F" w14:textId="77777777" w:rsidR="00FF414B" w:rsidRDefault="00FF414B" w:rsidP="00FF414B">
      <w:pPr>
        <w:pStyle w:val="Odsekzoznamu"/>
        <w:numPr>
          <w:ilvl w:val="0"/>
          <w:numId w:val="6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regulované ceny podľa zákona č. 18/1996 Z. z. o cenách;</w:t>
      </w:r>
    </w:p>
    <w:p w14:paraId="567581BF" w14:textId="77E1888D" w:rsidR="00054C41" w:rsidRDefault="00FF414B" w:rsidP="00054C41">
      <w:pPr>
        <w:pStyle w:val="Odsekzoznamu"/>
        <w:numPr>
          <w:ilvl w:val="0"/>
          <w:numId w:val="6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iné vplyvy, ktoré predpokladá materiál, ale nemožno ich zaradiť do častí 3.1 a 3.3. </w:t>
      </w:r>
    </w:p>
    <w:p w14:paraId="03B87D31" w14:textId="77777777" w:rsidR="0081755B" w:rsidRPr="00A0315E" w:rsidRDefault="0081755B" w:rsidP="00FF3D97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E71559D" w14:textId="23D25C62" w:rsidR="00A0315E" w:rsidRDefault="00A0315E" w:rsidP="00A031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Okrem očakávanej zvýšenej kvality programovej ponuky RTVS z</w:t>
      </w:r>
      <w:r w:rsidRPr="00A0315E">
        <w:rPr>
          <w:rFonts w:ascii="Times New Roman" w:eastAsia="Calibri" w:hAnsi="Times New Roman" w:cs="Times New Roman"/>
          <w:sz w:val="24"/>
          <w:szCs w:val="24"/>
        </w:rPr>
        <w:t>výšenie finančných prostriedkov pre RTVS prináša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riestor pre budovanie inovácií, </w:t>
      </w:r>
      <w:r w:rsidRPr="00A0315E">
        <w:rPr>
          <w:rFonts w:ascii="Times New Roman" w:eastAsia="Calibri" w:hAnsi="Times New Roman" w:cs="Times New Roman"/>
          <w:sz w:val="24"/>
          <w:szCs w:val="24"/>
        </w:rPr>
        <w:t>poskytovanie informácií prostredníct</w:t>
      </w:r>
      <w:r>
        <w:rPr>
          <w:rFonts w:ascii="Times New Roman" w:eastAsia="Calibri" w:hAnsi="Times New Roman" w:cs="Times New Roman"/>
          <w:sz w:val="24"/>
          <w:szCs w:val="24"/>
        </w:rPr>
        <w:t xml:space="preserve">vom webových sídel a aplikácií, ako aj pre </w:t>
      </w:r>
      <w:r w:rsidRPr="00A0315E">
        <w:rPr>
          <w:rFonts w:ascii="Times New Roman" w:eastAsia="Calibri" w:hAnsi="Times New Roman" w:cs="Times New Roman"/>
          <w:sz w:val="24"/>
          <w:szCs w:val="24"/>
        </w:rPr>
        <w:t>realizáciu vyššieho počtu i</w:t>
      </w:r>
      <w:r w:rsidR="002A266C">
        <w:rPr>
          <w:rFonts w:ascii="Times New Roman" w:eastAsia="Calibri" w:hAnsi="Times New Roman" w:cs="Times New Roman"/>
          <w:sz w:val="24"/>
          <w:szCs w:val="24"/>
        </w:rPr>
        <w:t>nvestičných projektov, renováciu</w:t>
      </w:r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 pracovných priestorov, či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obnovu</w:t>
      </w:r>
      <w:r w:rsidRPr="00A0315E">
        <w:rPr>
          <w:rFonts w:ascii="Times New Roman" w:eastAsia="Calibri" w:hAnsi="Times New Roman" w:cs="Times New Roman"/>
          <w:sz w:val="24"/>
          <w:szCs w:val="24"/>
        </w:rPr>
        <w:t xml:space="preserve"> serverovej infraštruktúry.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Uvedené skutočnosti by mohli mať pozitívny vplyv </w:t>
      </w:r>
      <w:r w:rsidR="002A266C">
        <w:rPr>
          <w:rFonts w:ascii="Times New Roman" w:eastAsia="Calibri" w:hAnsi="Times New Roman" w:cs="Times New Roman"/>
          <w:sz w:val="24"/>
          <w:szCs w:val="24"/>
        </w:rPr>
        <w:t xml:space="preserve">na podnikateľské prostredie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podobe zvýšenia počtu a kvality príležitostí </w:t>
      </w:r>
      <w:r w:rsidR="002A266C">
        <w:rPr>
          <w:rFonts w:ascii="Times New Roman" w:eastAsia="Calibri" w:hAnsi="Times New Roman" w:cs="Times New Roman"/>
          <w:sz w:val="24"/>
          <w:szCs w:val="24"/>
        </w:rPr>
        <w:t>pri výkone podnikateľskej činnosti pre jednotlivé subjekty pôsobiace na trhu (vrátane MSP).</w:t>
      </w:r>
    </w:p>
    <w:p w14:paraId="2844C858" w14:textId="7C6E0434" w:rsidR="00D9735B" w:rsidRDefault="00D9735B" w:rsidP="00A031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Zvýšením rozpočtu RTVS a možnosťou využitia priestoru pre digitálne a technologické inovácie, ako aj odstránenia investičného a technologického dlhu, sa očakáva pozitívny vplyv na podnikateľské prostredie, a to predovšetkým na dodávateľský reťazec produktov a služieb v oblasti digitálnych technológií a inovácií a tiež tvorcov obsahu a na nich nadviazan</w:t>
      </w:r>
      <w:r w:rsidR="00891C36">
        <w:rPr>
          <w:rFonts w:ascii="Times New Roman" w:eastAsia="Calibri" w:hAnsi="Times New Roman" w:cs="Times New Roman"/>
          <w:sz w:val="24"/>
          <w:szCs w:val="24"/>
        </w:rPr>
        <w:t>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podnikateľsk</w:t>
      </w:r>
      <w:r w:rsidR="00891C36">
        <w:rPr>
          <w:rFonts w:ascii="Times New Roman" w:eastAsia="Calibri" w:hAnsi="Times New Roman" w:cs="Times New Roman"/>
          <w:sz w:val="24"/>
          <w:szCs w:val="24"/>
        </w:rPr>
        <w:t>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subjekt</w:t>
      </w:r>
      <w:r w:rsidR="00891C36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EBDC6" w14:textId="47C9C332" w:rsidR="00D9735B" w:rsidRDefault="00D9735B" w:rsidP="00A031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druhej strane, zvýšením konkurencieschopnosti RTVS možno očakávať negatívny vplyv na podnikateľské prostredie v oblasti priamej konkurencie vo forme zvýšenia nákladov na udržanie si konkurenčnej ponuky obsahu. </w:t>
      </w:r>
    </w:p>
    <w:p w14:paraId="224082D5" w14:textId="1D354046" w:rsidR="00FF3D97" w:rsidRPr="00B35E13" w:rsidRDefault="00891C36" w:rsidP="00B35E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Vzhľadom na charakter uvedených možných vplyvov, tieto vplyvy nie je aktuálne možné kvalitatívne  bližšie popísať.</w:t>
      </w:r>
    </w:p>
    <w:sectPr w:rsidR="00FF3D97" w:rsidRPr="00B3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19DF" w14:textId="77777777" w:rsidR="000C5A01" w:rsidRDefault="000C5A01" w:rsidP="00054C41">
      <w:pPr>
        <w:spacing w:after="0" w:line="240" w:lineRule="auto"/>
      </w:pPr>
      <w:r>
        <w:separator/>
      </w:r>
    </w:p>
  </w:endnote>
  <w:endnote w:type="continuationSeparator" w:id="0">
    <w:p w14:paraId="26E8B9C9" w14:textId="77777777" w:rsidR="000C5A01" w:rsidRDefault="000C5A01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7E7B30" w14:textId="79BCE4E0" w:rsidR="00142154" w:rsidRPr="006045CB" w:rsidRDefault="00142154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E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8B09B" w14:textId="77777777" w:rsidR="00142154" w:rsidRPr="00FF7125" w:rsidRDefault="00142154" w:rsidP="00054C41">
    <w:pPr>
      <w:pStyle w:val="Pta"/>
      <w:rPr>
        <w:sz w:val="24"/>
        <w:szCs w:val="24"/>
      </w:rPr>
    </w:pPr>
  </w:p>
  <w:p w14:paraId="68AC3825" w14:textId="77777777" w:rsidR="00142154" w:rsidRDefault="001421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FFF4F" w14:textId="77777777" w:rsidR="000C5A01" w:rsidRDefault="000C5A01" w:rsidP="00054C41">
      <w:pPr>
        <w:spacing w:after="0" w:line="240" w:lineRule="auto"/>
      </w:pPr>
      <w:r>
        <w:separator/>
      </w:r>
    </w:p>
  </w:footnote>
  <w:footnote w:type="continuationSeparator" w:id="0">
    <w:p w14:paraId="6DE187A7" w14:textId="77777777" w:rsidR="000C5A01" w:rsidRDefault="000C5A01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C60" w14:textId="35DE3B53" w:rsidR="00142154" w:rsidRPr="006045CB" w:rsidRDefault="00142154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7FEBDFF3" w14:textId="77777777" w:rsidR="00142154" w:rsidRPr="006045CB" w:rsidRDefault="00142154" w:rsidP="001421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41"/>
    <w:rsid w:val="00054C41"/>
    <w:rsid w:val="00060DA1"/>
    <w:rsid w:val="000C5A01"/>
    <w:rsid w:val="000C5E9A"/>
    <w:rsid w:val="001052CD"/>
    <w:rsid w:val="00142154"/>
    <w:rsid w:val="001B4C03"/>
    <w:rsid w:val="001D1083"/>
    <w:rsid w:val="001D3FA0"/>
    <w:rsid w:val="001E3A29"/>
    <w:rsid w:val="001E53CB"/>
    <w:rsid w:val="00225A83"/>
    <w:rsid w:val="00247F22"/>
    <w:rsid w:val="00260DE7"/>
    <w:rsid w:val="00270EA5"/>
    <w:rsid w:val="00293C59"/>
    <w:rsid w:val="002A266C"/>
    <w:rsid w:val="00340CFD"/>
    <w:rsid w:val="00367C01"/>
    <w:rsid w:val="0038255E"/>
    <w:rsid w:val="00391648"/>
    <w:rsid w:val="0039304E"/>
    <w:rsid w:val="003A2B90"/>
    <w:rsid w:val="003E1A9F"/>
    <w:rsid w:val="003E58B8"/>
    <w:rsid w:val="003F06D7"/>
    <w:rsid w:val="003F18A3"/>
    <w:rsid w:val="00431E24"/>
    <w:rsid w:val="00445638"/>
    <w:rsid w:val="00446432"/>
    <w:rsid w:val="00477111"/>
    <w:rsid w:val="004C34D0"/>
    <w:rsid w:val="004D20CB"/>
    <w:rsid w:val="00542646"/>
    <w:rsid w:val="00621E9F"/>
    <w:rsid w:val="00696ADA"/>
    <w:rsid w:val="006F6593"/>
    <w:rsid w:val="007259CB"/>
    <w:rsid w:val="00727106"/>
    <w:rsid w:val="0077106D"/>
    <w:rsid w:val="007B40FB"/>
    <w:rsid w:val="007E24B2"/>
    <w:rsid w:val="0081755B"/>
    <w:rsid w:val="008634E9"/>
    <w:rsid w:val="00866EF8"/>
    <w:rsid w:val="008801B5"/>
    <w:rsid w:val="00891C36"/>
    <w:rsid w:val="008B4AA1"/>
    <w:rsid w:val="008C1C71"/>
    <w:rsid w:val="00902A84"/>
    <w:rsid w:val="00923C0C"/>
    <w:rsid w:val="00934CD1"/>
    <w:rsid w:val="009A4D56"/>
    <w:rsid w:val="009E09F7"/>
    <w:rsid w:val="009F0118"/>
    <w:rsid w:val="009F5C00"/>
    <w:rsid w:val="00A000DA"/>
    <w:rsid w:val="00A0315E"/>
    <w:rsid w:val="00A1736E"/>
    <w:rsid w:val="00A53135"/>
    <w:rsid w:val="00A947AA"/>
    <w:rsid w:val="00AE585D"/>
    <w:rsid w:val="00B35E13"/>
    <w:rsid w:val="00B4651B"/>
    <w:rsid w:val="00B66E33"/>
    <w:rsid w:val="00BD0EF7"/>
    <w:rsid w:val="00BD2C26"/>
    <w:rsid w:val="00C21399"/>
    <w:rsid w:val="00C31C2A"/>
    <w:rsid w:val="00C560C4"/>
    <w:rsid w:val="00C6748F"/>
    <w:rsid w:val="00CD24AF"/>
    <w:rsid w:val="00D005F2"/>
    <w:rsid w:val="00D037A2"/>
    <w:rsid w:val="00D631FA"/>
    <w:rsid w:val="00D82356"/>
    <w:rsid w:val="00D84EEE"/>
    <w:rsid w:val="00D90A61"/>
    <w:rsid w:val="00D9735B"/>
    <w:rsid w:val="00DF02CE"/>
    <w:rsid w:val="00E030DA"/>
    <w:rsid w:val="00E6167A"/>
    <w:rsid w:val="00E71CAF"/>
    <w:rsid w:val="00EB2BEC"/>
    <w:rsid w:val="00EC0704"/>
    <w:rsid w:val="00ED6B5D"/>
    <w:rsid w:val="00EE4C99"/>
    <w:rsid w:val="00F35972"/>
    <w:rsid w:val="00F37563"/>
    <w:rsid w:val="00F74FC9"/>
    <w:rsid w:val="00FF3D97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styleId="Revzia">
    <w:name w:val="Revision"/>
    <w:hidden/>
    <w:uiPriority w:val="99"/>
    <w:semiHidden/>
    <w:rsid w:val="00CD24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styleId="Revzia">
    <w:name w:val="Revision"/>
    <w:hidden/>
    <w:uiPriority w:val="99"/>
    <w:semiHidden/>
    <w:rsid w:val="00CD2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mhsr.sk/podnikatelske-prostredie/lepsia-regulacia/regulacne-zatazenie/kalkulacka-nakladov-regulaci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DDDE59-99D0-40A2-A4E9-FB6C4803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6989</Characters>
  <Application>Microsoft Office Word</Application>
  <DocSecurity>4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Knappová Viktória</cp:lastModifiedBy>
  <cp:revision>2</cp:revision>
  <dcterms:created xsi:type="dcterms:W3CDTF">2023-03-30T07:00:00Z</dcterms:created>
  <dcterms:modified xsi:type="dcterms:W3CDTF">2023-03-30T07:00:00Z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</Properties>
</file>