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33DA"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1BFC1361"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42482E3A" w14:textId="77777777" w:rsidTr="000800FC">
        <w:tc>
          <w:tcPr>
            <w:tcW w:w="9180" w:type="dxa"/>
            <w:gridSpan w:val="11"/>
            <w:tcBorders>
              <w:bottom w:val="single" w:sz="4" w:space="0" w:color="FFFFFF"/>
            </w:tcBorders>
            <w:shd w:val="clear" w:color="auto" w:fill="E2E2E2"/>
          </w:tcPr>
          <w:p w14:paraId="30803A4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49243335" w14:textId="77777777" w:rsidTr="000800FC">
        <w:tc>
          <w:tcPr>
            <w:tcW w:w="9180" w:type="dxa"/>
            <w:gridSpan w:val="11"/>
            <w:tcBorders>
              <w:bottom w:val="single" w:sz="4" w:space="0" w:color="FFFFFF"/>
            </w:tcBorders>
            <w:shd w:val="clear" w:color="auto" w:fill="E2E2E2"/>
          </w:tcPr>
          <w:p w14:paraId="662233A5"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CA7624" w:rsidRPr="00B043B4" w14:paraId="3BD61443" w14:textId="77777777" w:rsidTr="000800FC">
        <w:tc>
          <w:tcPr>
            <w:tcW w:w="9180" w:type="dxa"/>
            <w:gridSpan w:val="11"/>
            <w:tcBorders>
              <w:top w:val="single" w:sz="4" w:space="0" w:color="FFFFFF"/>
              <w:bottom w:val="single" w:sz="4" w:space="0" w:color="auto"/>
            </w:tcBorders>
          </w:tcPr>
          <w:p w14:paraId="0CCD522C" w14:textId="071424E0" w:rsidR="00CA7624" w:rsidRPr="00B043B4" w:rsidRDefault="00CA7624" w:rsidP="00CA7624">
            <w:pPr>
              <w:jc w:val="both"/>
              <w:rPr>
                <w:rFonts w:ascii="Times New Roman" w:eastAsia="Times New Roman" w:hAnsi="Times New Roman" w:cs="Times New Roman"/>
                <w:sz w:val="20"/>
                <w:szCs w:val="20"/>
                <w:lang w:eastAsia="sk-SK"/>
              </w:rPr>
            </w:pPr>
            <w:r w:rsidRPr="00661F2C">
              <w:rPr>
                <w:rFonts w:ascii="Times New Roman" w:hAnsi="Times New Roman"/>
                <w:sz w:val="20"/>
                <w:szCs w:val="20"/>
              </w:rPr>
              <w:t>Návrh zákona, ktorým sa mení a dopĺňa zákon č. 95/2019 Z. z. o informačných technológiách vo verejnej správe a o zmene a doplnení niektorých zákonov</w:t>
            </w:r>
            <w:r>
              <w:rPr>
                <w:rFonts w:ascii="Times New Roman" w:hAnsi="Times New Roman"/>
                <w:sz w:val="20"/>
                <w:szCs w:val="20"/>
              </w:rPr>
              <w:t xml:space="preserve"> v znení neskorších predpisov</w:t>
            </w:r>
            <w:r w:rsidRPr="00661F2C">
              <w:rPr>
                <w:rFonts w:ascii="Times New Roman" w:hAnsi="Times New Roman"/>
                <w:sz w:val="20"/>
                <w:szCs w:val="20"/>
              </w:rPr>
              <w:t xml:space="preserve"> a ktorým sa </w:t>
            </w:r>
            <w:r w:rsidR="00FC0774">
              <w:rPr>
                <w:rFonts w:ascii="Times New Roman" w:hAnsi="Times New Roman"/>
                <w:sz w:val="20"/>
                <w:szCs w:val="20"/>
              </w:rPr>
              <w:t xml:space="preserve">menia a </w:t>
            </w:r>
            <w:r w:rsidRPr="00661F2C">
              <w:rPr>
                <w:rFonts w:ascii="Times New Roman" w:hAnsi="Times New Roman"/>
                <w:sz w:val="20"/>
                <w:szCs w:val="20"/>
              </w:rPr>
              <w:t>dopĺňajú niektoré zákony</w:t>
            </w:r>
            <w:r>
              <w:rPr>
                <w:rFonts w:ascii="Times New Roman" w:hAnsi="Times New Roman"/>
                <w:sz w:val="20"/>
                <w:szCs w:val="20"/>
              </w:rPr>
              <w:t>.</w:t>
            </w:r>
          </w:p>
        </w:tc>
      </w:tr>
      <w:tr w:rsidR="00CA7624" w:rsidRPr="00B043B4" w14:paraId="4B66E645"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1ED4239C" w14:textId="77777777" w:rsidR="00CA7624" w:rsidRPr="00B043B4" w:rsidRDefault="00CA7624" w:rsidP="00CA7624">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CA7624" w:rsidRPr="00B043B4" w14:paraId="00204CBF"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459CD3A9" w14:textId="77777777" w:rsidR="00CA7624" w:rsidRPr="00B043B4" w:rsidRDefault="00CA7624" w:rsidP="00CA7624">
            <w:pPr>
              <w:rPr>
                <w:rFonts w:ascii="Times New Roman" w:eastAsia="Times New Roman" w:hAnsi="Times New Roman" w:cs="Times New Roman"/>
                <w:sz w:val="20"/>
                <w:szCs w:val="20"/>
                <w:lang w:eastAsia="sk-SK"/>
              </w:rPr>
            </w:pPr>
            <w:r w:rsidRPr="547861D9">
              <w:rPr>
                <w:rFonts w:ascii="Times New Roman" w:eastAsia="Times New Roman" w:hAnsi="Times New Roman" w:cs="Times New Roman"/>
                <w:sz w:val="20"/>
                <w:szCs w:val="20"/>
                <w:lang w:eastAsia="sk-SK"/>
              </w:rPr>
              <w:t xml:space="preserve">Ministerstvo </w:t>
            </w:r>
            <w:r>
              <w:rPr>
                <w:rFonts w:ascii="Times New Roman" w:eastAsia="Times New Roman" w:hAnsi="Times New Roman" w:cs="Times New Roman"/>
                <w:sz w:val="20"/>
                <w:szCs w:val="20"/>
                <w:lang w:eastAsia="sk-SK"/>
              </w:rPr>
              <w:t>investícii, regionálneho rozvoja a informatizácie Slovenskej republiky</w:t>
            </w:r>
          </w:p>
          <w:p w14:paraId="2C70D822" w14:textId="77777777" w:rsidR="00CA7624" w:rsidRPr="00B043B4" w:rsidRDefault="00CA7624" w:rsidP="00CA7624">
            <w:pPr>
              <w:rPr>
                <w:rFonts w:ascii="Times New Roman" w:eastAsia="Times New Roman" w:hAnsi="Times New Roman" w:cs="Times New Roman"/>
                <w:sz w:val="20"/>
                <w:szCs w:val="20"/>
                <w:lang w:eastAsia="sk-SK"/>
              </w:rPr>
            </w:pPr>
          </w:p>
        </w:tc>
      </w:tr>
      <w:tr w:rsidR="00CA7624" w:rsidRPr="00B043B4" w14:paraId="1161FEDC"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722CFE4C" w14:textId="77777777" w:rsidR="00CA7624" w:rsidRPr="00B043B4" w:rsidRDefault="00CA7624" w:rsidP="00CA7624">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3248B51" w14:textId="77777777" w:rsidR="00CA7624" w:rsidRPr="00B043B4" w:rsidRDefault="00CA7624" w:rsidP="00CA762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6C018541" w14:textId="77777777" w:rsidR="00CA7624" w:rsidRPr="00B043B4" w:rsidRDefault="00CA7624" w:rsidP="00CA762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CA7624" w:rsidRPr="00B043B4" w14:paraId="22C3ACE1" w14:textId="77777777" w:rsidTr="000800FC">
        <w:tc>
          <w:tcPr>
            <w:tcW w:w="4212" w:type="dxa"/>
            <w:gridSpan w:val="2"/>
            <w:vMerge/>
            <w:tcBorders>
              <w:top w:val="nil"/>
              <w:left w:val="single" w:sz="4" w:space="0" w:color="auto"/>
              <w:bottom w:val="single" w:sz="4" w:space="0" w:color="FFFFFF"/>
            </w:tcBorders>
            <w:shd w:val="clear" w:color="auto" w:fill="E2E2E2"/>
          </w:tcPr>
          <w:p w14:paraId="777AF54A" w14:textId="77777777" w:rsidR="00CA7624" w:rsidRPr="00B043B4" w:rsidRDefault="00CA7624" w:rsidP="00CA7624">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3212100" w14:textId="77777777" w:rsidR="00CA7624" w:rsidRPr="00B043B4" w:rsidRDefault="00CA7624" w:rsidP="00CA762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8FBE66C" w14:textId="77777777" w:rsidR="00CA7624" w:rsidRPr="00B043B4" w:rsidRDefault="00CA7624" w:rsidP="00CA7624">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CA7624" w:rsidRPr="00B043B4" w14:paraId="70801AA9" w14:textId="77777777" w:rsidTr="000800FC">
        <w:tc>
          <w:tcPr>
            <w:tcW w:w="4212" w:type="dxa"/>
            <w:gridSpan w:val="2"/>
            <w:vMerge/>
            <w:tcBorders>
              <w:top w:val="nil"/>
              <w:left w:val="single" w:sz="4" w:space="0" w:color="auto"/>
              <w:bottom w:val="single" w:sz="4" w:space="0" w:color="auto"/>
            </w:tcBorders>
            <w:shd w:val="clear" w:color="auto" w:fill="E2E2E2"/>
          </w:tcPr>
          <w:p w14:paraId="47CBFFF1" w14:textId="77777777" w:rsidR="00CA7624" w:rsidRPr="00B043B4" w:rsidRDefault="00CA7624" w:rsidP="00CA7624">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8268FF9" w14:textId="77777777" w:rsidR="00CA7624" w:rsidRPr="00B043B4" w:rsidRDefault="00CA7624" w:rsidP="00CA762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7A6E31F9" w14:textId="77777777" w:rsidR="00CA7624" w:rsidRPr="00B043B4" w:rsidRDefault="00CA7624" w:rsidP="00CA762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CA7624" w:rsidRPr="00B043B4" w14:paraId="688199A0"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7D8BB350" w14:textId="77777777" w:rsidR="00CA7624" w:rsidRPr="00B043B4" w:rsidRDefault="00CA7624" w:rsidP="00CA762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736AEFE2" w14:textId="77777777" w:rsidR="00CA7624" w:rsidRPr="00B043B4" w:rsidRDefault="00CA7624" w:rsidP="00CA7624">
            <w:pPr>
              <w:rPr>
                <w:rFonts w:ascii="Times New Roman" w:eastAsia="Times New Roman" w:hAnsi="Times New Roman" w:cs="Times New Roman"/>
                <w:sz w:val="20"/>
                <w:szCs w:val="20"/>
                <w:lang w:eastAsia="sk-SK"/>
              </w:rPr>
            </w:pPr>
            <w:bookmarkStart w:id="0" w:name="_GoBack"/>
            <w:bookmarkEnd w:id="0"/>
          </w:p>
        </w:tc>
      </w:tr>
      <w:tr w:rsidR="00CA7624" w:rsidRPr="00B043B4" w14:paraId="5A980BF0"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EEF77F3" w14:textId="77777777" w:rsidR="00CA7624" w:rsidRPr="00B043B4" w:rsidRDefault="00CA7624" w:rsidP="00CA7624">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3D98389" w14:textId="12AA8640" w:rsidR="00CA7624" w:rsidRPr="00B043B4" w:rsidRDefault="00A01E8B" w:rsidP="00A01E8B">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8.11.2022 </w:t>
            </w:r>
            <w:r w:rsidR="00157FA3">
              <w:rPr>
                <w:rFonts w:ascii="Times New Roman" w:eastAsia="Times New Roman" w:hAnsi="Times New Roman" w:cs="Times New Roman"/>
                <w:i/>
                <w:sz w:val="20"/>
                <w:szCs w:val="20"/>
                <w:lang w:eastAsia="sk-SK"/>
              </w:rPr>
              <w:t>-</w:t>
            </w:r>
            <w:r>
              <w:rPr>
                <w:rFonts w:ascii="Times New Roman" w:eastAsia="Times New Roman" w:hAnsi="Times New Roman" w:cs="Times New Roman"/>
                <w:i/>
                <w:sz w:val="20"/>
                <w:szCs w:val="20"/>
                <w:lang w:eastAsia="sk-SK"/>
              </w:rPr>
              <w:t xml:space="preserve"> 16.11.2022</w:t>
            </w:r>
          </w:p>
        </w:tc>
      </w:tr>
      <w:tr w:rsidR="00CA7624" w:rsidRPr="00B043B4" w14:paraId="60DBCAF6"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60EE8FB" w14:textId="77777777" w:rsidR="00CA7624" w:rsidRPr="00B043B4" w:rsidRDefault="00CA7624" w:rsidP="00CA7624">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550CA326" w14:textId="77E7D06B" w:rsidR="00CA7624" w:rsidRPr="00B043B4" w:rsidRDefault="00A01E8B" w:rsidP="00A01E8B">
            <w:pPr>
              <w:rPr>
                <w:rFonts w:ascii="Times New Roman" w:eastAsia="Times New Roman" w:hAnsi="Times New Roman" w:cs="Times New Roman"/>
                <w:i/>
                <w:sz w:val="20"/>
                <w:szCs w:val="20"/>
                <w:lang w:eastAsia="sk-SK"/>
              </w:rPr>
            </w:pPr>
            <w:r w:rsidRPr="00A01E8B">
              <w:rPr>
                <w:rFonts w:ascii="Times New Roman" w:eastAsia="Times New Roman" w:hAnsi="Times New Roman" w:cs="Times New Roman"/>
                <w:i/>
                <w:sz w:val="20"/>
                <w:szCs w:val="20"/>
                <w:lang w:eastAsia="sk-SK"/>
              </w:rPr>
              <w:t>22.</w:t>
            </w:r>
            <w:r>
              <w:rPr>
                <w:rFonts w:ascii="Times New Roman" w:eastAsia="Times New Roman" w:hAnsi="Times New Roman" w:cs="Times New Roman"/>
                <w:i/>
                <w:sz w:val="20"/>
                <w:szCs w:val="20"/>
                <w:lang w:eastAsia="sk-SK"/>
              </w:rPr>
              <w:t>12.</w:t>
            </w:r>
            <w:r w:rsidRPr="00A01E8B">
              <w:rPr>
                <w:rFonts w:ascii="Times New Roman" w:eastAsia="Times New Roman" w:hAnsi="Times New Roman" w:cs="Times New Roman"/>
                <w:i/>
                <w:sz w:val="20"/>
                <w:szCs w:val="20"/>
                <w:lang w:eastAsia="sk-SK"/>
              </w:rPr>
              <w:t xml:space="preserve">2022 </w:t>
            </w:r>
            <w:r w:rsidR="00157FA3">
              <w:rPr>
                <w:rFonts w:ascii="Times New Roman" w:eastAsia="Times New Roman" w:hAnsi="Times New Roman" w:cs="Times New Roman"/>
                <w:i/>
                <w:sz w:val="20"/>
                <w:szCs w:val="20"/>
                <w:lang w:eastAsia="sk-SK"/>
              </w:rPr>
              <w:t>-</w:t>
            </w:r>
            <w:r w:rsidRPr="00A01E8B">
              <w:rPr>
                <w:rFonts w:ascii="Times New Roman" w:eastAsia="Times New Roman" w:hAnsi="Times New Roman" w:cs="Times New Roman"/>
                <w:i/>
                <w:sz w:val="20"/>
                <w:szCs w:val="20"/>
                <w:lang w:eastAsia="sk-SK"/>
              </w:rPr>
              <w:t xml:space="preserve"> 16.</w:t>
            </w:r>
            <w:r>
              <w:rPr>
                <w:rFonts w:ascii="Times New Roman" w:eastAsia="Times New Roman" w:hAnsi="Times New Roman" w:cs="Times New Roman"/>
                <w:i/>
                <w:sz w:val="20"/>
                <w:szCs w:val="20"/>
                <w:lang w:eastAsia="sk-SK"/>
              </w:rPr>
              <w:t>1.</w:t>
            </w:r>
            <w:r w:rsidRPr="00A01E8B">
              <w:rPr>
                <w:rFonts w:ascii="Times New Roman" w:eastAsia="Times New Roman" w:hAnsi="Times New Roman" w:cs="Times New Roman"/>
                <w:i/>
                <w:sz w:val="20"/>
                <w:szCs w:val="20"/>
                <w:lang w:eastAsia="sk-SK"/>
              </w:rPr>
              <w:t>2023.</w:t>
            </w:r>
          </w:p>
        </w:tc>
      </w:tr>
      <w:tr w:rsidR="00CA7624" w:rsidRPr="00B043B4" w14:paraId="029EB755"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B061741" w14:textId="77777777" w:rsidR="00CA7624" w:rsidRPr="00B043B4" w:rsidRDefault="00CA7624" w:rsidP="00CA7624">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63B71B49" w14:textId="133394A8" w:rsidR="00CA7624" w:rsidRPr="00B043B4" w:rsidRDefault="00A01E8B" w:rsidP="00A01E8B">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15.3.2023 </w:t>
            </w:r>
            <w:r w:rsidR="00157FA3">
              <w:rPr>
                <w:rFonts w:ascii="Times New Roman" w:eastAsia="Times New Roman" w:hAnsi="Times New Roman" w:cs="Times New Roman"/>
                <w:i/>
                <w:sz w:val="20"/>
                <w:szCs w:val="20"/>
                <w:lang w:eastAsia="sk-SK"/>
              </w:rPr>
              <w:t>-</w:t>
            </w:r>
            <w:r>
              <w:rPr>
                <w:rFonts w:ascii="Times New Roman" w:eastAsia="Times New Roman" w:hAnsi="Times New Roman" w:cs="Times New Roman"/>
                <w:i/>
                <w:sz w:val="20"/>
                <w:szCs w:val="20"/>
                <w:lang w:eastAsia="sk-SK"/>
              </w:rPr>
              <w:t xml:space="preserve"> 21.3.2023</w:t>
            </w:r>
          </w:p>
        </w:tc>
      </w:tr>
      <w:tr w:rsidR="00CA7624" w:rsidRPr="00B043B4" w14:paraId="29278282"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DEBFC5E" w14:textId="77777777" w:rsidR="00CA7624" w:rsidRPr="00B043B4" w:rsidRDefault="00CA7624" w:rsidP="00CA7624">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13D5661" w14:textId="7503F539" w:rsidR="00CA7624" w:rsidRPr="00B043B4" w:rsidRDefault="00A01E8B" w:rsidP="00A01E8B">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marec</w:t>
            </w:r>
            <w:r w:rsidR="00D5446D">
              <w:rPr>
                <w:rFonts w:ascii="Times New Roman" w:eastAsia="Times New Roman" w:hAnsi="Times New Roman" w:cs="Times New Roman"/>
                <w:i/>
                <w:sz w:val="20"/>
                <w:szCs w:val="20"/>
                <w:lang w:eastAsia="sk-SK"/>
              </w:rPr>
              <w:t xml:space="preserve"> </w:t>
            </w:r>
            <w:r w:rsidR="002F3708">
              <w:rPr>
                <w:rFonts w:ascii="Times New Roman" w:eastAsia="Times New Roman" w:hAnsi="Times New Roman" w:cs="Times New Roman"/>
                <w:i/>
                <w:sz w:val="20"/>
                <w:szCs w:val="20"/>
                <w:lang w:eastAsia="sk-SK"/>
              </w:rPr>
              <w:t>2023</w:t>
            </w:r>
          </w:p>
        </w:tc>
      </w:tr>
      <w:tr w:rsidR="00CA7624" w:rsidRPr="00B043B4" w14:paraId="399111B0" w14:textId="77777777" w:rsidTr="000800FC">
        <w:tc>
          <w:tcPr>
            <w:tcW w:w="9180" w:type="dxa"/>
            <w:gridSpan w:val="11"/>
            <w:tcBorders>
              <w:top w:val="single" w:sz="4" w:space="0" w:color="auto"/>
              <w:left w:val="nil"/>
              <w:bottom w:val="single" w:sz="4" w:space="0" w:color="auto"/>
              <w:right w:val="nil"/>
            </w:tcBorders>
            <w:shd w:val="clear" w:color="auto" w:fill="FFFFFF"/>
          </w:tcPr>
          <w:p w14:paraId="6BC682B4" w14:textId="77777777" w:rsidR="00CA7624" w:rsidRPr="00B043B4" w:rsidRDefault="00CA7624" w:rsidP="00CA7624">
            <w:pPr>
              <w:rPr>
                <w:rFonts w:ascii="Times New Roman" w:eastAsia="Times New Roman" w:hAnsi="Times New Roman" w:cs="Times New Roman"/>
                <w:sz w:val="20"/>
                <w:szCs w:val="20"/>
                <w:lang w:eastAsia="sk-SK"/>
              </w:rPr>
            </w:pPr>
          </w:p>
        </w:tc>
      </w:tr>
      <w:tr w:rsidR="00CA7624" w:rsidRPr="00B043B4" w14:paraId="46E36B80"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D606A87" w14:textId="77777777" w:rsidR="00CA7624" w:rsidRPr="00B043B4" w:rsidRDefault="00CA7624" w:rsidP="00CA762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CA7624" w:rsidRPr="00B043B4" w14:paraId="18475FA1"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D9FD8A8" w14:textId="6ACD9F8F" w:rsidR="00CA7624" w:rsidRPr="00021094" w:rsidRDefault="00CA7624" w:rsidP="00CB42BB">
            <w:pPr>
              <w:jc w:val="both"/>
              <w:rPr>
                <w:sz w:val="20"/>
              </w:rPr>
            </w:pPr>
            <w:r w:rsidRPr="00CB42BB">
              <w:rPr>
                <w:rFonts w:ascii="Times New Roman" w:hAnsi="Times New Roman"/>
                <w:sz w:val="20"/>
              </w:rPr>
              <w:t>Cieľom návrhu zákona je zabezpečiť úpravy a doplnenia, ktoré vyplynuli z aplikačnej praxe a reflekt</w:t>
            </w:r>
            <w:r w:rsidRPr="00021094">
              <w:rPr>
                <w:rFonts w:ascii="Times New Roman" w:hAnsi="Times New Roman"/>
                <w:sz w:val="20"/>
              </w:rPr>
              <w:t>ovať na požiadavky vyplývajúce z Národnej koncepcie informatizácie verejnej správy, ktorá bola schválená uznesením vlády Slovenskej republiky č. 763 zo 14. decembra 2021</w:t>
            </w:r>
            <w:r w:rsidR="0077355F" w:rsidRPr="00021094">
              <w:rPr>
                <w:rFonts w:ascii="Times New Roman" w:hAnsi="Times New Roman"/>
                <w:sz w:val="20"/>
              </w:rPr>
              <w:t xml:space="preserve"> (ďalej ako „Národná koncepcia“)</w:t>
            </w:r>
            <w:r w:rsidR="003917B0" w:rsidRPr="00021094">
              <w:rPr>
                <w:rFonts w:ascii="Times New Roman" w:hAnsi="Times New Roman"/>
                <w:sz w:val="20"/>
              </w:rPr>
              <w:t xml:space="preserve"> a tiež vymedziť kompetencie vládnej jednotky CSIRT</w:t>
            </w:r>
            <w:r w:rsidR="00A26D32" w:rsidRPr="00021094">
              <w:rPr>
                <w:rFonts w:ascii="Times New Roman" w:hAnsi="Times New Roman"/>
                <w:sz w:val="20"/>
              </w:rPr>
              <w:t>.</w:t>
            </w:r>
          </w:p>
        </w:tc>
      </w:tr>
      <w:tr w:rsidR="00CA7624" w:rsidRPr="00B043B4" w14:paraId="1150508F"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052C589E" w14:textId="77777777" w:rsidR="00CA7624" w:rsidRPr="00CB42BB" w:rsidRDefault="00CA7624" w:rsidP="00CA7624">
            <w:pPr>
              <w:numPr>
                <w:ilvl w:val="0"/>
                <w:numId w:val="1"/>
              </w:numPr>
              <w:ind w:left="426"/>
              <w:contextualSpacing/>
              <w:rPr>
                <w:rFonts w:ascii="Times New Roman" w:eastAsia="Calibri" w:hAnsi="Times New Roman" w:cs="Times New Roman"/>
                <w:b/>
              </w:rPr>
            </w:pPr>
            <w:r w:rsidRPr="00CB42BB">
              <w:rPr>
                <w:rFonts w:ascii="Times New Roman" w:eastAsia="Calibri" w:hAnsi="Times New Roman" w:cs="Times New Roman"/>
                <w:b/>
              </w:rPr>
              <w:t>Ciele a výsledný stav</w:t>
            </w:r>
          </w:p>
        </w:tc>
      </w:tr>
      <w:tr w:rsidR="00CA7624" w:rsidRPr="00B043B4" w14:paraId="49EBB9C4"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512F4967" w14:textId="77777777" w:rsidR="00CA7624" w:rsidRPr="00021094" w:rsidRDefault="00CA7624" w:rsidP="00CA7624">
            <w:pPr>
              <w:pStyle w:val="Normlnywebov"/>
              <w:spacing w:before="0" w:beforeAutospacing="0" w:after="0" w:afterAutospacing="0"/>
              <w:jc w:val="both"/>
              <w:rPr>
                <w:sz w:val="20"/>
              </w:rPr>
            </w:pPr>
            <w:r w:rsidRPr="00CB42BB">
              <w:rPr>
                <w:sz w:val="20"/>
              </w:rPr>
              <w:t>Návrhom</w:t>
            </w:r>
            <w:r w:rsidRPr="00021094">
              <w:rPr>
                <w:sz w:val="20"/>
              </w:rPr>
              <w:t xml:space="preserve"> zákona sa dopĺňa jednoznačnejšie vymedzenie pre orgány riadenia používať jednotný dizajn manuál, ktorý má za cieľ zjednotiť používateľské rozhrania a spôsob komunikácie s používateľom pri poskytovaní elektronických služieb, a to aj vo vzťahu k vyhláške Ministerstva investícií, regionálneho rozvoja a informatizácie Slovenskej republiky č. 547/2021 Z. z. o elektronizácii agendy verejnej správy.</w:t>
            </w:r>
          </w:p>
          <w:p w14:paraId="1E1FCAE3" w14:textId="7542B48A" w:rsidR="00CA7624" w:rsidRPr="00021094" w:rsidRDefault="00CA7624" w:rsidP="00CA7624">
            <w:pPr>
              <w:pStyle w:val="Normlnywebov"/>
              <w:spacing w:before="0" w:beforeAutospacing="0" w:after="0" w:afterAutospacing="0"/>
              <w:jc w:val="both"/>
              <w:rPr>
                <w:sz w:val="20"/>
              </w:rPr>
            </w:pPr>
            <w:r w:rsidRPr="00021094">
              <w:rPr>
                <w:sz w:val="20"/>
              </w:rPr>
              <w:t>Návrhom zákona sa ďalej precizujú kompetencie vládnej jednotky CSIRT</w:t>
            </w:r>
            <w:r w:rsidR="00CB42BB" w:rsidRPr="00021094">
              <w:rPr>
                <w:sz w:val="20"/>
              </w:rPr>
              <w:t xml:space="preserve"> a MIRRI SR</w:t>
            </w:r>
            <w:r w:rsidRPr="00CB42BB">
              <w:rPr>
                <w:sz w:val="20"/>
              </w:rPr>
              <w:t xml:space="preserve"> a s tým súvisiaca úprava vzťahov medzi zákonom č</w:t>
            </w:r>
            <w:r w:rsidRPr="00CB42BB">
              <w:rPr>
                <w:sz w:val="20"/>
                <w:szCs w:val="20"/>
              </w:rPr>
              <w:t xml:space="preserve">. 95/2019 Z. z. o informačných technológiách vo verejnej správe a o zmene a doplnení niektorých zákonov v znení neskorších predpisov </w:t>
            </w:r>
            <w:r w:rsidRPr="00021094">
              <w:rPr>
                <w:sz w:val="20"/>
              </w:rPr>
              <w:t xml:space="preserve">a zákonom č. 69/2018 Z. z. o kybernetickej bezpečnosti a o zmene a doplnení niektorých zákonov v znení neskorších predpisov. </w:t>
            </w:r>
            <w:r w:rsidR="0017315F" w:rsidRPr="00CF76D6">
              <w:rPr>
                <w:sz w:val="20"/>
              </w:rPr>
              <w:t>Návrh zákona upravuje postup riešenia kybernetických bezpečnostných incidentov pre všetkých správcov, keďže v súčasnosti predmetná úprava absentuje.</w:t>
            </w:r>
            <w:r w:rsidR="0017315F">
              <w:rPr>
                <w:sz w:val="20"/>
              </w:rPr>
              <w:t xml:space="preserve"> </w:t>
            </w:r>
          </w:p>
          <w:p w14:paraId="42F19B9D" w14:textId="77777777" w:rsidR="00CA7624" w:rsidRPr="00021094" w:rsidRDefault="00CA7624" w:rsidP="00CA7624">
            <w:pPr>
              <w:pStyle w:val="Normlnywebov"/>
              <w:spacing w:before="0" w:beforeAutospacing="0" w:after="0" w:afterAutospacing="0"/>
              <w:jc w:val="both"/>
            </w:pPr>
            <w:r w:rsidRPr="00021094">
              <w:rPr>
                <w:sz w:val="20"/>
              </w:rPr>
              <w:t>V návrhu zákona sa tiež spresňujú ustanovenia vyplývajúce z aplikačnej praxe a reflektuje sa ním na požiadavky vyplývajúce z Národnej koncepcie informatizácie verejnej správy.</w:t>
            </w:r>
          </w:p>
        </w:tc>
      </w:tr>
      <w:tr w:rsidR="00CA7624" w:rsidRPr="00B043B4" w14:paraId="55289D51"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34264F9" w14:textId="77777777" w:rsidR="00CA7624" w:rsidRPr="00CB42BB" w:rsidRDefault="00CA7624" w:rsidP="00CA7624">
            <w:pPr>
              <w:numPr>
                <w:ilvl w:val="0"/>
                <w:numId w:val="1"/>
              </w:numPr>
              <w:ind w:left="426"/>
              <w:contextualSpacing/>
              <w:rPr>
                <w:rFonts w:ascii="Times New Roman" w:eastAsia="Calibri" w:hAnsi="Times New Roman" w:cs="Times New Roman"/>
                <w:b/>
              </w:rPr>
            </w:pPr>
            <w:r w:rsidRPr="00CB42BB">
              <w:rPr>
                <w:rFonts w:ascii="Times New Roman" w:eastAsia="Calibri" w:hAnsi="Times New Roman" w:cs="Times New Roman"/>
                <w:b/>
              </w:rPr>
              <w:t>Dotknuté subjekty</w:t>
            </w:r>
          </w:p>
        </w:tc>
      </w:tr>
      <w:tr w:rsidR="00CA7624" w:rsidRPr="00B043B4" w14:paraId="2473F127"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122805D1" w14:textId="77777777" w:rsidR="00CA7624" w:rsidRPr="00021094" w:rsidRDefault="00CA7624" w:rsidP="00CA7624">
            <w:pPr>
              <w:rPr>
                <w:rFonts w:ascii="Times New Roman" w:eastAsia="Times New Roman" w:hAnsi="Times New Roman" w:cs="Times New Roman"/>
                <w:i/>
                <w:iCs/>
                <w:sz w:val="20"/>
                <w:szCs w:val="20"/>
                <w:lang w:eastAsia="sk-SK"/>
              </w:rPr>
            </w:pPr>
            <w:r w:rsidRPr="00CB42BB">
              <w:rPr>
                <w:rFonts w:ascii="Times New Roman" w:eastAsia="Times New Roman" w:hAnsi="Times New Roman" w:cs="Times New Roman"/>
                <w:sz w:val="20"/>
                <w:szCs w:val="20"/>
                <w:lang w:eastAsia="sk-SK"/>
              </w:rPr>
              <w:t xml:space="preserve">Orgány riadenia podľa zákona č. 95/2019 Z. z. o informačných technológiách vo verejnej správe </w:t>
            </w:r>
            <w:r w:rsidRPr="00CB42BB">
              <w:rPr>
                <w:rFonts w:ascii="Times New Roman" w:hAnsi="Times New Roman"/>
                <w:sz w:val="20"/>
                <w:szCs w:val="20"/>
              </w:rPr>
              <w:t>a o zmene a doplnení niektorých zákonov</w:t>
            </w:r>
            <w:r w:rsidRPr="00021094">
              <w:rPr>
                <w:rFonts w:ascii="Times New Roman" w:hAnsi="Times New Roman"/>
                <w:sz w:val="20"/>
                <w:szCs w:val="20"/>
              </w:rPr>
              <w:t xml:space="preserve"> v znení neskorších predpisov.</w:t>
            </w:r>
          </w:p>
        </w:tc>
      </w:tr>
      <w:tr w:rsidR="00CA7624" w:rsidRPr="00B043B4" w14:paraId="3C1C99B6"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0EF730EC" w14:textId="77777777" w:rsidR="00CA7624" w:rsidRPr="00CB42BB" w:rsidRDefault="00CA7624" w:rsidP="00CA7624">
            <w:pPr>
              <w:numPr>
                <w:ilvl w:val="0"/>
                <w:numId w:val="1"/>
              </w:numPr>
              <w:ind w:left="426"/>
              <w:contextualSpacing/>
              <w:rPr>
                <w:rFonts w:ascii="Times New Roman" w:eastAsia="Calibri" w:hAnsi="Times New Roman" w:cs="Times New Roman"/>
                <w:b/>
              </w:rPr>
            </w:pPr>
            <w:r w:rsidRPr="00CB42BB">
              <w:rPr>
                <w:rFonts w:ascii="Times New Roman" w:eastAsia="Calibri" w:hAnsi="Times New Roman" w:cs="Times New Roman"/>
                <w:b/>
              </w:rPr>
              <w:t>Alternatívne riešenia</w:t>
            </w:r>
          </w:p>
        </w:tc>
      </w:tr>
      <w:tr w:rsidR="00CA7624" w:rsidRPr="00B043B4" w14:paraId="64D62084" w14:textId="77777777" w:rsidTr="00CA7624">
        <w:trPr>
          <w:trHeight w:val="238"/>
        </w:trPr>
        <w:tc>
          <w:tcPr>
            <w:tcW w:w="9180" w:type="dxa"/>
            <w:gridSpan w:val="11"/>
            <w:tcBorders>
              <w:top w:val="nil"/>
              <w:left w:val="single" w:sz="4" w:space="0" w:color="auto"/>
              <w:bottom w:val="single" w:sz="4" w:space="0" w:color="auto"/>
              <w:right w:val="single" w:sz="4" w:space="0" w:color="auto"/>
            </w:tcBorders>
            <w:shd w:val="clear" w:color="auto" w:fill="FFFFFF"/>
          </w:tcPr>
          <w:p w14:paraId="5E8733E7" w14:textId="31159BBA" w:rsidR="00CA7624" w:rsidRPr="00021094" w:rsidRDefault="00CA7624" w:rsidP="00CA7624">
            <w:pPr>
              <w:jc w:val="both"/>
              <w:rPr>
                <w:rFonts w:ascii="Times New Roman" w:eastAsia="Times New Roman" w:hAnsi="Times New Roman" w:cs="Times New Roman"/>
                <w:i/>
                <w:sz w:val="20"/>
                <w:szCs w:val="20"/>
                <w:lang w:eastAsia="sk-SK"/>
              </w:rPr>
            </w:pPr>
            <w:r w:rsidRPr="00CB42BB">
              <w:rPr>
                <w:rFonts w:ascii="Times New Roman" w:eastAsia="Times New Roman" w:hAnsi="Times New Roman" w:cs="Times New Roman"/>
                <w:bCs/>
                <w:sz w:val="20"/>
                <w:szCs w:val="20"/>
                <w:lang w:eastAsia="sk-SK"/>
              </w:rPr>
              <w:t>Neboli identifikované žiadne alternatívne riešenia.</w:t>
            </w:r>
            <w:r w:rsidRPr="00CB42BB">
              <w:rPr>
                <w:rFonts w:ascii="Times New Roman" w:eastAsia="Times New Roman" w:hAnsi="Times New Roman" w:cs="Times New Roman"/>
                <w:i/>
                <w:sz w:val="20"/>
                <w:szCs w:val="20"/>
                <w:lang w:eastAsia="sk-SK"/>
              </w:rPr>
              <w:t xml:space="preserve"> </w:t>
            </w:r>
          </w:p>
          <w:p w14:paraId="3041BC00" w14:textId="56195ED8" w:rsidR="00842C37" w:rsidRPr="00021094" w:rsidRDefault="0077355F" w:rsidP="00CB42BB">
            <w:pPr>
              <w:jc w:val="both"/>
              <w:rPr>
                <w:rFonts w:ascii="Times New Roman" w:eastAsia="Times New Roman" w:hAnsi="Times New Roman" w:cs="Times New Roman"/>
                <w:i/>
                <w:sz w:val="20"/>
                <w:szCs w:val="20"/>
                <w:lang w:eastAsia="sk-SK"/>
              </w:rPr>
            </w:pPr>
            <w:r w:rsidRPr="00021094">
              <w:rPr>
                <w:rFonts w:ascii="Times New Roman" w:eastAsia="Times New Roman" w:hAnsi="Times New Roman" w:cs="Times New Roman"/>
                <w:i/>
                <w:sz w:val="20"/>
                <w:szCs w:val="20"/>
                <w:lang w:eastAsia="sk-SK"/>
              </w:rPr>
              <w:t>Nulový variant – v prípade, ak by neboli vykonané zmeny, ktoré sú predmetom návrhu, nebolo by možné dosiahnuť ciele, ktoré si stanovila vláda Slovenskej republiky prostredníctvom Národnej koncepcie</w:t>
            </w:r>
            <w:r w:rsidR="002F1172" w:rsidRPr="00021094">
              <w:rPr>
                <w:rFonts w:ascii="Times New Roman" w:eastAsia="Times New Roman" w:hAnsi="Times New Roman" w:cs="Times New Roman"/>
                <w:i/>
                <w:sz w:val="20"/>
                <w:szCs w:val="20"/>
                <w:lang w:eastAsia="sk-SK"/>
              </w:rPr>
              <w:t xml:space="preserve"> (napr. zjednotenie používateľských rozhraní a spôsob komunikácie orgánov riadenia s používateľmi pri poskytovaní elektronických služieb)</w:t>
            </w:r>
            <w:r w:rsidRPr="00021094">
              <w:rPr>
                <w:rFonts w:ascii="Times New Roman" w:eastAsia="Times New Roman" w:hAnsi="Times New Roman" w:cs="Times New Roman"/>
                <w:i/>
                <w:sz w:val="20"/>
                <w:szCs w:val="20"/>
                <w:lang w:eastAsia="sk-SK"/>
              </w:rPr>
              <w:t xml:space="preserve">. </w:t>
            </w:r>
            <w:r w:rsidR="0017315F" w:rsidRPr="00CF76D6">
              <w:rPr>
                <w:rFonts w:ascii="Times New Roman" w:eastAsia="Times New Roman" w:hAnsi="Times New Roman" w:cs="Times New Roman"/>
                <w:i/>
                <w:sz w:val="20"/>
                <w:szCs w:val="20"/>
                <w:lang w:eastAsia="sk-SK"/>
              </w:rPr>
              <w:t>Taktiež by absentovala úprava postupu pri riešení kybernetických bezpečnostných incidentov pre všetkých správcov</w:t>
            </w:r>
            <w:r w:rsidR="00CF76D6">
              <w:rPr>
                <w:rFonts w:ascii="Times New Roman" w:eastAsia="Times New Roman" w:hAnsi="Times New Roman" w:cs="Times New Roman"/>
                <w:i/>
                <w:sz w:val="20"/>
                <w:szCs w:val="20"/>
                <w:lang w:eastAsia="sk-SK"/>
              </w:rPr>
              <w:t>.</w:t>
            </w:r>
          </w:p>
        </w:tc>
      </w:tr>
      <w:tr w:rsidR="00CA7624" w:rsidRPr="00B043B4" w14:paraId="74C99F71"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5AA63F7" w14:textId="77777777" w:rsidR="00CA7624" w:rsidRPr="00B043B4" w:rsidRDefault="00CA7624" w:rsidP="00CA762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CA7624" w:rsidRPr="00B043B4" w14:paraId="4BB66909" w14:textId="77777777" w:rsidTr="000800FC">
        <w:tc>
          <w:tcPr>
            <w:tcW w:w="6203" w:type="dxa"/>
            <w:gridSpan w:val="7"/>
            <w:tcBorders>
              <w:top w:val="single" w:sz="4" w:space="0" w:color="FFFFFF"/>
              <w:left w:val="single" w:sz="4" w:space="0" w:color="auto"/>
              <w:bottom w:val="nil"/>
              <w:right w:val="nil"/>
            </w:tcBorders>
            <w:shd w:val="clear" w:color="auto" w:fill="FFFFFF"/>
          </w:tcPr>
          <w:p w14:paraId="75F6B266" w14:textId="77777777" w:rsidR="00CA7624" w:rsidRPr="00B043B4" w:rsidRDefault="00CA7624" w:rsidP="00CA762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426F91B" w14:textId="22857947" w:rsidR="00CA7624" w:rsidRPr="00B043B4" w:rsidRDefault="00F63E97" w:rsidP="00CA7624">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9B183F">
                  <w:rPr>
                    <w:rFonts w:ascii="MS Gothic" w:eastAsia="MS Gothic" w:hAnsi="MS Gothic" w:cs="Times New Roman" w:hint="eastAsia"/>
                    <w:b/>
                    <w:sz w:val="20"/>
                    <w:szCs w:val="20"/>
                    <w:lang w:eastAsia="sk-SK"/>
                  </w:rPr>
                  <w:t>☒</w:t>
                </w:r>
              </w:sdtContent>
            </w:sdt>
            <w:r w:rsidR="00CA7624"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362F32A3" w14:textId="305142E4" w:rsidR="00CA7624" w:rsidRPr="00B043B4" w:rsidRDefault="00F63E97" w:rsidP="00CA7624">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9B183F">
                  <w:rPr>
                    <w:rFonts w:ascii="MS Gothic" w:eastAsia="MS Gothic" w:hAnsi="MS Gothic" w:cs="Times New Roman" w:hint="eastAsia"/>
                    <w:b/>
                    <w:sz w:val="20"/>
                    <w:szCs w:val="20"/>
                    <w:lang w:eastAsia="sk-SK"/>
                  </w:rPr>
                  <w:t>☐</w:t>
                </w:r>
              </w:sdtContent>
            </w:sdt>
            <w:r w:rsidR="00CA7624" w:rsidRPr="00B043B4">
              <w:rPr>
                <w:rFonts w:ascii="Times New Roman" w:eastAsia="Times New Roman" w:hAnsi="Times New Roman" w:cs="Times New Roman"/>
                <w:b/>
                <w:sz w:val="20"/>
                <w:szCs w:val="20"/>
                <w:lang w:eastAsia="sk-SK"/>
              </w:rPr>
              <w:t xml:space="preserve">  Nie</w:t>
            </w:r>
          </w:p>
        </w:tc>
      </w:tr>
      <w:tr w:rsidR="00CA7624" w:rsidRPr="00B043B4" w14:paraId="4EB4DB2D"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2FE86599" w14:textId="77777777" w:rsidR="00CA7624" w:rsidRPr="00B043B4" w:rsidRDefault="00CA7624" w:rsidP="00CA762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052C48BD" w14:textId="77777777" w:rsidR="007858CF" w:rsidRDefault="007858CF" w:rsidP="007858C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Vyhláška Úradu podpredsedu vlády Slovenskej republiky pre investície a informatizáciu č. 78/2020 Z. z. o štandardoch pre informačné technológie verejnej správy:</w:t>
            </w:r>
          </w:p>
          <w:p w14:paraId="0EEF1DA8" w14:textId="77777777" w:rsidR="007858CF" w:rsidRDefault="007858CF" w:rsidP="007858CF">
            <w:pPr>
              <w:pStyle w:val="Odsekzoznamu"/>
              <w:numPr>
                <w:ilvl w:val="0"/>
                <w:numId w:val="2"/>
              </w:num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návrhom zákona sa predpokladá vydať štandardy podľa § 24 ods. 1 písm. k) a l):</w:t>
            </w:r>
          </w:p>
          <w:p w14:paraId="065162D8" w14:textId="77777777" w:rsidR="007858CF" w:rsidRDefault="007858CF" w:rsidP="007858C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 štandard pre dizajnový manuál,</w:t>
            </w:r>
          </w:p>
          <w:p w14:paraId="7B499D68" w14:textId="77777777" w:rsidR="007858CF" w:rsidRDefault="007858CF" w:rsidP="007858C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l) štandard pre kritériá prioritnej elektronickej služby.</w:t>
            </w:r>
          </w:p>
          <w:p w14:paraId="2E0D0C49" w14:textId="77777777" w:rsidR="007858CF" w:rsidRDefault="007858CF" w:rsidP="007858CF">
            <w:pPr>
              <w:rPr>
                <w:rFonts w:ascii="Times New Roman" w:eastAsia="Times New Roman" w:hAnsi="Times New Roman" w:cs="Times New Roman"/>
                <w:sz w:val="20"/>
                <w:szCs w:val="20"/>
                <w:lang w:eastAsia="sk-SK"/>
              </w:rPr>
            </w:pPr>
          </w:p>
          <w:p w14:paraId="52288DAD" w14:textId="516BC262" w:rsidR="007858CF" w:rsidRDefault="007858CF" w:rsidP="007858C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Vyhláška Úradu podpredsedu vlády Slovenskej republiky pre investície a informatizáciu č. 179/2020 z. z. ktorou sa ustanovuje spôsob kategorizácie a obsah bezpečnostných opatrení informačných technológií verejnej správy:</w:t>
            </w:r>
          </w:p>
          <w:p w14:paraId="78CFF917" w14:textId="77777777" w:rsidR="007858CF" w:rsidRDefault="007858CF" w:rsidP="007858CF">
            <w:pPr>
              <w:pStyle w:val="Odsekzoznamu"/>
              <w:numPr>
                <w:ilvl w:val="0"/>
                <w:numId w:val="2"/>
              </w:num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návrhom zákona rozširuje splnomocňovacie ustanovenie § 31 písm. j), ktoré znie:</w:t>
            </w:r>
          </w:p>
          <w:p w14:paraId="5D93DFFD" w14:textId="77777777" w:rsidR="007858CF" w:rsidRDefault="007858CF" w:rsidP="007858C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 na úseku bezpečnosti informačných technológií verejnej správy</w:t>
            </w:r>
          </w:p>
          <w:p w14:paraId="0D04D7D6" w14:textId="77777777" w:rsidR="007858CF" w:rsidRDefault="007858CF" w:rsidP="007858C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1. podrobnosti o bezpečnosti informačných technológií verejnej správy,</w:t>
            </w:r>
          </w:p>
          <w:p w14:paraId="0DD8E7F0" w14:textId="77777777" w:rsidR="007858CF" w:rsidRDefault="007858CF" w:rsidP="007858C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2. bezpečnostné opatrenia,</w:t>
            </w:r>
          </w:p>
          <w:p w14:paraId="5546A8B2" w14:textId="77777777" w:rsidR="007858CF" w:rsidRDefault="007858CF" w:rsidP="007858CF">
            <w:pPr>
              <w:ind w:left="731" w:hanging="73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3. rozsah a spôsob prijímania a realizácie bezpečnostných opatrení v závislosti od klasifikácie informácií a od kategorizácie sietí a informačných systémov, </w:t>
            </w:r>
          </w:p>
          <w:p w14:paraId="12C28B95" w14:textId="77777777" w:rsidR="007858CF" w:rsidRDefault="007858CF" w:rsidP="007858C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4. obsah a štruktúru bezpečnostného projektu, </w:t>
            </w:r>
          </w:p>
          <w:p w14:paraId="018E6492" w14:textId="4C71A194" w:rsidR="00CA7624" w:rsidRPr="00B043B4" w:rsidRDefault="007858CF" w:rsidP="007858C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5. rozsah údajov zasielaných orgánu vedenia a vládnej jednotke CSIRT podľa § 18 až  23a.</w:t>
            </w:r>
          </w:p>
        </w:tc>
      </w:tr>
      <w:tr w:rsidR="00CA7624" w:rsidRPr="00B043B4" w14:paraId="130EFB7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B4938A6" w14:textId="77777777" w:rsidR="00CA7624" w:rsidRPr="00B043B4" w:rsidRDefault="00CA7624" w:rsidP="00CA762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Transpozícia práva EÚ </w:t>
            </w:r>
          </w:p>
        </w:tc>
      </w:tr>
      <w:tr w:rsidR="00CA7624" w:rsidRPr="00B043B4" w14:paraId="2A52C80E"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40D0EE4D" w14:textId="77777777" w:rsidR="00CA7624" w:rsidRPr="00BE51E1" w:rsidRDefault="00CA7624" w:rsidP="00CA7624">
            <w:pPr>
              <w:jc w:val="both"/>
              <w:rPr>
                <w:rFonts w:ascii="Times New Roman" w:eastAsia="Times New Roman" w:hAnsi="Times New Roman" w:cs="Times New Roman"/>
                <w:iCs/>
                <w:sz w:val="20"/>
                <w:szCs w:val="20"/>
                <w:lang w:eastAsia="sk-SK"/>
              </w:rPr>
            </w:pPr>
            <w:r w:rsidRPr="00BE51E1">
              <w:rPr>
                <w:rFonts w:ascii="Times New Roman" w:hAnsi="Times New Roman" w:cs="Times New Roman"/>
                <w:sz w:val="20"/>
                <w:szCs w:val="24"/>
              </w:rPr>
              <w:t>Materiál nie je transpozičným opatrením.</w:t>
            </w:r>
          </w:p>
        </w:tc>
      </w:tr>
      <w:tr w:rsidR="00CA7624" w:rsidRPr="00B043B4" w14:paraId="36B0191A"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4D190E2" w14:textId="77777777" w:rsidR="00CA7624" w:rsidRPr="00B043B4" w:rsidRDefault="00CA7624" w:rsidP="00CA7624">
            <w:pPr>
              <w:jc w:val="center"/>
              <w:rPr>
                <w:rFonts w:ascii="Times New Roman" w:eastAsia="Times New Roman" w:hAnsi="Times New Roman" w:cs="Times New Roman"/>
                <w:sz w:val="20"/>
                <w:szCs w:val="20"/>
                <w:lang w:eastAsia="sk-SK"/>
              </w:rPr>
            </w:pPr>
          </w:p>
        </w:tc>
      </w:tr>
      <w:tr w:rsidR="00CA7624" w:rsidRPr="00B043B4" w14:paraId="02B36F10"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CBFBC9C" w14:textId="77777777" w:rsidR="00CA7624" w:rsidRPr="00B043B4" w:rsidRDefault="00CA7624" w:rsidP="00CA7624">
            <w:pPr>
              <w:numPr>
                <w:ilvl w:val="0"/>
                <w:numId w:val="1"/>
              </w:numPr>
              <w:ind w:left="426"/>
              <w:contextualSpacing/>
              <w:rPr>
                <w:rFonts w:ascii="Times New Roman" w:eastAsia="Calibri" w:hAnsi="Times New Roman" w:cs="Times New Roman"/>
                <w:b/>
              </w:rPr>
            </w:pPr>
            <w:r w:rsidRPr="00E721DB">
              <w:rPr>
                <w:rFonts w:ascii="Times New Roman" w:eastAsia="Calibri" w:hAnsi="Times New Roman" w:cs="Times New Roman"/>
                <w:b/>
              </w:rPr>
              <w:t>Preskúmanie účelnosti</w:t>
            </w:r>
          </w:p>
        </w:tc>
      </w:tr>
      <w:tr w:rsidR="00CA7624" w:rsidRPr="00B043B4" w14:paraId="15BD68F5"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1D69C25" w14:textId="77777777" w:rsidR="00CA7624" w:rsidRDefault="00CA7624" w:rsidP="00CA7624">
            <w:pPr>
              <w:rPr>
                <w:rFonts w:ascii="Times New Roman" w:eastAsia="Times New Roman" w:hAnsi="Times New Roman" w:cs="Times New Roman"/>
                <w:iCs/>
                <w:sz w:val="20"/>
                <w:szCs w:val="20"/>
                <w:lang w:eastAsia="sk-SK"/>
              </w:rPr>
            </w:pPr>
            <w:r w:rsidRPr="00E63545">
              <w:rPr>
                <w:rFonts w:ascii="Times New Roman" w:hAnsi="Times New Roman" w:cs="Times New Roman"/>
                <w:sz w:val="20"/>
                <w:szCs w:val="24"/>
              </w:rPr>
              <w:t xml:space="preserve">Materiál </w:t>
            </w:r>
            <w:r>
              <w:rPr>
                <w:rFonts w:ascii="Times New Roman" w:hAnsi="Times New Roman" w:cs="Times New Roman"/>
                <w:sz w:val="20"/>
                <w:szCs w:val="24"/>
              </w:rPr>
              <w:t>nebol</w:t>
            </w:r>
            <w:r w:rsidRPr="00E63545">
              <w:rPr>
                <w:rFonts w:ascii="Times New Roman" w:hAnsi="Times New Roman" w:cs="Times New Roman"/>
                <w:sz w:val="20"/>
                <w:szCs w:val="24"/>
              </w:rPr>
              <w:t xml:space="preserve"> predmetom</w:t>
            </w:r>
            <w:r w:rsidRPr="00836C51">
              <w:rPr>
                <w:rFonts w:ascii="Times New Roman" w:eastAsia="Times New Roman" w:hAnsi="Times New Roman" w:cs="Times New Roman"/>
                <w:iCs/>
                <w:sz w:val="20"/>
                <w:szCs w:val="20"/>
                <w:lang w:eastAsia="sk-SK"/>
              </w:rPr>
              <w:t xml:space="preserve"> </w:t>
            </w:r>
            <w:r>
              <w:rPr>
                <w:rFonts w:ascii="Times New Roman" w:eastAsia="Times New Roman" w:hAnsi="Times New Roman" w:cs="Times New Roman"/>
                <w:iCs/>
                <w:sz w:val="20"/>
                <w:szCs w:val="20"/>
                <w:lang w:eastAsia="sk-SK"/>
              </w:rPr>
              <w:t xml:space="preserve">preskúmania účelnosti. </w:t>
            </w:r>
          </w:p>
          <w:p w14:paraId="38B869BE" w14:textId="565733F4" w:rsidR="005525D2" w:rsidRPr="00B043B4" w:rsidRDefault="00383F88" w:rsidP="00383F88">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 xml:space="preserve">Účelnosť predkladaného návrhu bude preskúmavaná priebežne, počas celej doby účinnosti zákona. </w:t>
            </w:r>
            <w:r w:rsidR="005525D2" w:rsidRPr="00DC0C07">
              <w:rPr>
                <w:rFonts w:ascii="Times New Roman" w:eastAsia="Times New Roman" w:hAnsi="Times New Roman" w:cs="Times New Roman"/>
                <w:sz w:val="20"/>
                <w:szCs w:val="20"/>
                <w:lang w:eastAsia="sk-SK"/>
              </w:rPr>
              <w:t>Kritériom preskúmania účelnosti budú výsledky kontrol</w:t>
            </w:r>
            <w:r w:rsidR="005525D2">
              <w:rPr>
                <w:rFonts w:ascii="Times New Roman" w:eastAsia="Times New Roman" w:hAnsi="Times New Roman" w:cs="Times New Roman"/>
                <w:sz w:val="20"/>
                <w:szCs w:val="20"/>
                <w:lang w:eastAsia="sk-SK"/>
              </w:rPr>
              <w:t>y</w:t>
            </w:r>
            <w:r w:rsidR="005525D2" w:rsidRPr="00DC0C07">
              <w:rPr>
                <w:rFonts w:ascii="Times New Roman" w:eastAsia="Times New Roman" w:hAnsi="Times New Roman" w:cs="Times New Roman"/>
                <w:sz w:val="20"/>
                <w:szCs w:val="20"/>
                <w:lang w:eastAsia="sk-SK"/>
              </w:rPr>
              <w:t xml:space="preserve"> dodržiavania povinností ustanov</w:t>
            </w:r>
            <w:r w:rsidR="005525D2">
              <w:rPr>
                <w:rFonts w:ascii="Times New Roman" w:eastAsia="Times New Roman" w:hAnsi="Times New Roman" w:cs="Times New Roman"/>
                <w:sz w:val="20"/>
                <w:szCs w:val="20"/>
                <w:lang w:eastAsia="sk-SK"/>
              </w:rPr>
              <w:t>ených zákonom o ITVS</w:t>
            </w:r>
            <w:r w:rsidR="00962CD9">
              <w:rPr>
                <w:rFonts w:ascii="Times New Roman" w:eastAsia="Times New Roman" w:hAnsi="Times New Roman" w:cs="Times New Roman"/>
                <w:sz w:val="20"/>
                <w:szCs w:val="20"/>
                <w:lang w:eastAsia="sk-SK"/>
              </w:rPr>
              <w:t>,</w:t>
            </w:r>
            <w:r w:rsidR="005525D2" w:rsidRPr="00DC0C07">
              <w:rPr>
                <w:rFonts w:ascii="Times New Roman" w:eastAsia="Times New Roman" w:hAnsi="Times New Roman" w:cs="Times New Roman"/>
                <w:sz w:val="20"/>
                <w:szCs w:val="20"/>
                <w:lang w:eastAsia="sk-SK"/>
              </w:rPr>
              <w:t xml:space="preserve"> doručené podnety k</w:t>
            </w:r>
            <w:r w:rsidR="005525D2">
              <w:rPr>
                <w:rFonts w:ascii="Times New Roman" w:eastAsia="Times New Roman" w:hAnsi="Times New Roman" w:cs="Times New Roman"/>
                <w:sz w:val="20"/>
                <w:szCs w:val="20"/>
                <w:lang w:eastAsia="sk-SK"/>
              </w:rPr>
              <w:t> </w:t>
            </w:r>
            <w:r w:rsidR="005525D2" w:rsidRPr="00DC0C07">
              <w:rPr>
                <w:rFonts w:ascii="Times New Roman" w:eastAsia="Times New Roman" w:hAnsi="Times New Roman" w:cs="Times New Roman"/>
                <w:sz w:val="20"/>
                <w:szCs w:val="20"/>
                <w:lang w:eastAsia="sk-SK"/>
              </w:rPr>
              <w:t>aplikácii</w:t>
            </w:r>
            <w:r w:rsidR="005525D2">
              <w:rPr>
                <w:rFonts w:ascii="Times New Roman" w:eastAsia="Times New Roman" w:hAnsi="Times New Roman" w:cs="Times New Roman"/>
                <w:sz w:val="20"/>
                <w:szCs w:val="20"/>
                <w:lang w:eastAsia="sk-SK"/>
              </w:rPr>
              <w:t xml:space="preserve"> tohto</w:t>
            </w:r>
            <w:r w:rsidR="005525D2" w:rsidRPr="00DC0C07">
              <w:rPr>
                <w:rFonts w:ascii="Times New Roman" w:eastAsia="Times New Roman" w:hAnsi="Times New Roman" w:cs="Times New Roman"/>
                <w:sz w:val="20"/>
                <w:szCs w:val="20"/>
                <w:lang w:eastAsia="sk-SK"/>
              </w:rPr>
              <w:t xml:space="preserve"> zákona a jeho vykonávacích predpisov v</w:t>
            </w:r>
            <w:r w:rsidR="00962CD9">
              <w:rPr>
                <w:rFonts w:ascii="Times New Roman" w:eastAsia="Times New Roman" w:hAnsi="Times New Roman" w:cs="Times New Roman"/>
                <w:sz w:val="20"/>
                <w:szCs w:val="20"/>
                <w:lang w:eastAsia="sk-SK"/>
              </w:rPr>
              <w:t> </w:t>
            </w:r>
            <w:r w:rsidR="005525D2" w:rsidRPr="00DC0C07">
              <w:rPr>
                <w:rFonts w:ascii="Times New Roman" w:eastAsia="Times New Roman" w:hAnsi="Times New Roman" w:cs="Times New Roman"/>
                <w:sz w:val="20"/>
                <w:szCs w:val="20"/>
                <w:lang w:eastAsia="sk-SK"/>
              </w:rPr>
              <w:t>praxi</w:t>
            </w:r>
            <w:r w:rsidR="00962CD9">
              <w:rPr>
                <w:rFonts w:ascii="Times New Roman" w:eastAsia="Times New Roman" w:hAnsi="Times New Roman" w:cs="Times New Roman"/>
                <w:sz w:val="20"/>
                <w:szCs w:val="20"/>
                <w:lang w:eastAsia="sk-SK"/>
              </w:rPr>
              <w:t>, ako aj z vlastnej činnosti v postavení orgánu vedenia.</w:t>
            </w:r>
          </w:p>
        </w:tc>
      </w:tr>
      <w:tr w:rsidR="00CA7624" w:rsidRPr="00B043B4" w14:paraId="2EAB3942" w14:textId="77777777" w:rsidTr="000800FC">
        <w:tc>
          <w:tcPr>
            <w:tcW w:w="9180" w:type="dxa"/>
            <w:gridSpan w:val="11"/>
            <w:tcBorders>
              <w:top w:val="nil"/>
              <w:left w:val="nil"/>
              <w:bottom w:val="single" w:sz="4" w:space="0" w:color="auto"/>
              <w:right w:val="nil"/>
            </w:tcBorders>
            <w:shd w:val="clear" w:color="auto" w:fill="FFFFFF"/>
          </w:tcPr>
          <w:p w14:paraId="1E703BB3" w14:textId="77777777" w:rsidR="00CA7624" w:rsidRPr="00B043B4" w:rsidRDefault="00CA7624" w:rsidP="00CA7624">
            <w:pPr>
              <w:rPr>
                <w:rFonts w:ascii="Times New Roman" w:eastAsia="Times New Roman" w:hAnsi="Times New Roman" w:cs="Times New Roman"/>
                <w:b/>
                <w:sz w:val="20"/>
                <w:szCs w:val="20"/>
                <w:lang w:eastAsia="sk-SK"/>
              </w:rPr>
            </w:pPr>
          </w:p>
          <w:p w14:paraId="52AEFA73" w14:textId="77777777" w:rsidR="00CA7624" w:rsidRPr="00B043B4" w:rsidRDefault="00CA7624" w:rsidP="00CA7624">
            <w:pPr>
              <w:rPr>
                <w:rFonts w:ascii="Times New Roman" w:eastAsia="Times New Roman" w:hAnsi="Times New Roman" w:cs="Times New Roman"/>
                <w:b/>
                <w:sz w:val="20"/>
                <w:szCs w:val="20"/>
                <w:lang w:eastAsia="sk-SK"/>
              </w:rPr>
            </w:pPr>
          </w:p>
          <w:p w14:paraId="1DCADF01" w14:textId="77777777" w:rsidR="00CA7624" w:rsidRPr="00B043B4" w:rsidRDefault="00CA7624" w:rsidP="00CA7624">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0AD9D8F2" w14:textId="77777777" w:rsidR="00CA7624" w:rsidRDefault="00CA7624" w:rsidP="00CA762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62647C80" w14:textId="77777777" w:rsidR="00CA7624" w:rsidRDefault="00CA7624" w:rsidP="00CA7624">
            <w:pPr>
              <w:rPr>
                <w:rFonts w:ascii="Times New Roman" w:eastAsia="Times New Roman" w:hAnsi="Times New Roman" w:cs="Times New Roman"/>
                <w:sz w:val="20"/>
                <w:szCs w:val="20"/>
                <w:lang w:eastAsia="sk-SK"/>
              </w:rPr>
            </w:pPr>
          </w:p>
          <w:p w14:paraId="44092A5E" w14:textId="77777777" w:rsidR="00CA7624" w:rsidRPr="00B043B4" w:rsidRDefault="00CA7624" w:rsidP="00CA7624">
            <w:pPr>
              <w:rPr>
                <w:rFonts w:ascii="Times New Roman" w:eastAsia="Times New Roman" w:hAnsi="Times New Roman" w:cs="Times New Roman"/>
                <w:b/>
                <w:sz w:val="20"/>
                <w:szCs w:val="20"/>
                <w:lang w:eastAsia="sk-SK"/>
              </w:rPr>
            </w:pPr>
          </w:p>
        </w:tc>
      </w:tr>
      <w:tr w:rsidR="00CA7624" w:rsidRPr="00B043B4" w14:paraId="6397B4E9"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9C05C09" w14:textId="77777777" w:rsidR="00CA7624" w:rsidRPr="00B043B4" w:rsidRDefault="00CA7624" w:rsidP="00CA762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CA7624" w:rsidRPr="00B043B4" w14:paraId="7B1A060B"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4E04415C"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144C43C9"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4CD135EF"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110EE958" w14:textId="4065E35F" w:rsidR="00CA7624" w:rsidRPr="00B043B4" w:rsidRDefault="002F3708"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041A8E71"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09D744BE" w14:textId="0DBC454E" w:rsidR="00CA7624" w:rsidRPr="00B043B4" w:rsidRDefault="001705F2" w:rsidP="00CA7624">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2274EFA3" w14:textId="77777777" w:rsidR="00CA7624" w:rsidRPr="00B043B4" w:rsidRDefault="00CA7624" w:rsidP="00CA7624">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A7624" w:rsidRPr="00B043B4" w14:paraId="475BD60C" w14:textId="77777777" w:rsidTr="004C6831">
        <w:tc>
          <w:tcPr>
            <w:tcW w:w="3812" w:type="dxa"/>
            <w:tcBorders>
              <w:top w:val="nil"/>
              <w:left w:val="single" w:sz="4" w:space="0" w:color="auto"/>
              <w:bottom w:val="nil"/>
              <w:right w:val="single" w:sz="4" w:space="0" w:color="auto"/>
            </w:tcBorders>
            <w:shd w:val="clear" w:color="auto" w:fill="E2E2E2"/>
          </w:tcPr>
          <w:p w14:paraId="3066DF4A" w14:textId="77777777" w:rsidR="00CA7624" w:rsidRDefault="00CA7624" w:rsidP="00CA762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7590E722" w14:textId="77777777" w:rsidR="00CA7624" w:rsidRDefault="00CA7624" w:rsidP="00CA762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52FFE79B" w14:textId="77777777" w:rsidR="00CA7624" w:rsidRPr="00A340BB" w:rsidRDefault="00CA7624" w:rsidP="00CA762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E6500A6" w14:textId="77777777" w:rsidR="00CA7624" w:rsidRPr="00B043B4" w:rsidRDefault="00CA7624" w:rsidP="00CA762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43D6A3E4" w14:textId="77777777" w:rsidR="00CA7624" w:rsidRPr="00B043B4" w:rsidRDefault="00CA7624" w:rsidP="00CA762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C5A3587" w14:textId="3CA275AB" w:rsidR="00CA7624" w:rsidRPr="00B043B4" w:rsidRDefault="009F1959" w:rsidP="00CA762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BC42B66" w14:textId="77777777" w:rsidR="00CA7624" w:rsidRPr="00B043B4" w:rsidRDefault="00CA7624" w:rsidP="00CA762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FC1BA1A" w14:textId="0EDC4AB6" w:rsidR="00CA7624" w:rsidRPr="00B043B4" w:rsidRDefault="009F1959" w:rsidP="00CA7624">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60D4D51" w14:textId="77777777" w:rsidR="00CA7624" w:rsidRPr="00B043B4" w:rsidRDefault="00CA7624" w:rsidP="00CA7624">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CA7624" w:rsidRPr="00B043B4" w14:paraId="54441396" w14:textId="77777777" w:rsidTr="004C6831">
        <w:tc>
          <w:tcPr>
            <w:tcW w:w="3812" w:type="dxa"/>
            <w:tcBorders>
              <w:top w:val="nil"/>
              <w:left w:val="single" w:sz="4" w:space="0" w:color="auto"/>
              <w:bottom w:val="nil"/>
              <w:right w:val="single" w:sz="4" w:space="0" w:color="auto"/>
            </w:tcBorders>
            <w:shd w:val="clear" w:color="auto" w:fill="E2E2E2"/>
          </w:tcPr>
          <w:p w14:paraId="292F57FD" w14:textId="77777777" w:rsidR="00CA7624" w:rsidRPr="003145AE" w:rsidRDefault="00CA7624" w:rsidP="00CA7624">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184F3F48"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333B73BD"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0AD3F78D"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00CC8031"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405E9278" w14:textId="77777777" w:rsidR="00CA7624" w:rsidRPr="00B043B4" w:rsidRDefault="00CA7624" w:rsidP="00CA7624">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0725E80E" w14:textId="77777777" w:rsidR="00CA7624" w:rsidRPr="00B043B4" w:rsidRDefault="00CA7624" w:rsidP="00CA7624">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A7624" w:rsidRPr="00B043B4" w14:paraId="4B987CCF"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52B04BAA" w14:textId="77777777" w:rsidR="00CA7624" w:rsidRDefault="00CA7624" w:rsidP="00CA7624">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5053A15B" w14:textId="77777777" w:rsidR="00CA7624" w:rsidRPr="003145AE" w:rsidRDefault="00CA7624" w:rsidP="00CA7624">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3620FC7" w14:textId="77777777" w:rsidR="00CA7624" w:rsidRPr="00B043B4" w:rsidRDefault="00CA7624" w:rsidP="00CA762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4041876" w14:textId="77777777" w:rsidR="00CA7624" w:rsidRPr="00B043B4" w:rsidRDefault="00CA7624" w:rsidP="00CA762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3C2B5889" w14:textId="77777777" w:rsidR="00CA7624" w:rsidRPr="00B043B4" w:rsidRDefault="00CA7624" w:rsidP="00CA762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65F0484C" w14:textId="77777777" w:rsidR="00CA7624" w:rsidRPr="00B043B4" w:rsidRDefault="00CA7624" w:rsidP="00CA762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E128538" w14:textId="77777777" w:rsidR="00CA7624" w:rsidRPr="00B043B4" w:rsidRDefault="00CA7624" w:rsidP="00CA7624">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78D879E" w14:textId="77777777" w:rsidR="00CA7624" w:rsidRPr="00B043B4" w:rsidRDefault="00CA7624" w:rsidP="00CA7624">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CA7624" w:rsidRPr="00B043B4" w14:paraId="209CFD48"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33F8E4D2"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6E6F1B09"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376D24CD" w14:textId="77777777" w:rsidR="00CA7624" w:rsidRPr="00B043B4" w:rsidRDefault="00CA7624" w:rsidP="00CA762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7129A21D"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653D23FA"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59A07F5"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31302F8D" w14:textId="77777777" w:rsidR="00CA7624" w:rsidRPr="00B043B4" w:rsidRDefault="00CA7624" w:rsidP="00CA762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A7624" w:rsidRPr="00B043B4" w14:paraId="381D6867" w14:textId="77777777" w:rsidTr="00203EE3">
        <w:tc>
          <w:tcPr>
            <w:tcW w:w="3812" w:type="dxa"/>
            <w:tcBorders>
              <w:top w:val="nil"/>
              <w:left w:val="single" w:sz="4" w:space="0" w:color="000000"/>
              <w:bottom w:val="nil"/>
              <w:right w:val="single" w:sz="4" w:space="0" w:color="000000"/>
            </w:tcBorders>
            <w:shd w:val="clear" w:color="auto" w:fill="E2E2E2"/>
          </w:tcPr>
          <w:p w14:paraId="41AD6A74" w14:textId="77777777" w:rsidR="00CA7624" w:rsidRPr="00B043B4" w:rsidRDefault="00CA7624" w:rsidP="00CA762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34D9BFEE" w14:textId="77777777" w:rsidR="00CA7624" w:rsidRPr="00B043B4" w:rsidRDefault="00CA7624" w:rsidP="00CA7624">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0A4D47F" w14:textId="77777777" w:rsidR="00CA7624" w:rsidRPr="00B043B4" w:rsidRDefault="00CA7624" w:rsidP="00CA762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6E78C71A" w14:textId="77777777" w:rsidR="00CA7624" w:rsidRPr="00B043B4" w:rsidRDefault="00CA7624" w:rsidP="00CA7624">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A7B2EC7" w14:textId="77777777" w:rsidR="00CA7624" w:rsidRPr="00B043B4" w:rsidRDefault="00CA7624" w:rsidP="00CA762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2BE455C" w14:textId="77777777" w:rsidR="00CA7624" w:rsidRPr="00B043B4" w:rsidRDefault="00CA7624" w:rsidP="00CA762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6877B5AF" w14:textId="77777777" w:rsidR="00CA7624" w:rsidRPr="00B043B4" w:rsidRDefault="00CA7624" w:rsidP="00CA762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381DD8E" w14:textId="77777777" w:rsidR="00CA7624" w:rsidRPr="00B043B4" w:rsidRDefault="00CA7624" w:rsidP="00CA7624">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CA7624" w:rsidRPr="00B043B4" w14:paraId="6CEC730F"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5B3B0CC3" w14:textId="77777777" w:rsidR="00CA7624" w:rsidRDefault="00CA7624" w:rsidP="00CA762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03656A69" w14:textId="77777777" w:rsidR="00CA7624" w:rsidRPr="00B043B4" w:rsidRDefault="00CA7624" w:rsidP="00CA7624">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64B00241"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F5355B9" w14:textId="77777777" w:rsidR="00CA7624" w:rsidRPr="00B043B4" w:rsidRDefault="00CA7624" w:rsidP="00CA762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4B0C7971" w14:textId="77777777" w:rsidR="00CA7624" w:rsidRPr="00B043B4" w:rsidRDefault="00CA7624" w:rsidP="00CA7624">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389BB8B8" w14:textId="77777777" w:rsidR="00CA7624" w:rsidRPr="00B043B4" w:rsidRDefault="00CA7624" w:rsidP="00CA7624">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90A4E6C"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B6F6E6F" w14:textId="77777777" w:rsidR="00CA7624" w:rsidRPr="00B043B4" w:rsidRDefault="00CA7624" w:rsidP="00CA762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CA7624" w:rsidRPr="00B043B4" w14:paraId="503046B8"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46070561"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66628B1"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833C898" w14:textId="77777777" w:rsidR="00CA7624" w:rsidRPr="00B043B4" w:rsidRDefault="00CA7624" w:rsidP="00CA762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5A35533"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608412D"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5B8FEF1"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51921BE" w14:textId="77777777" w:rsidR="00CA7624" w:rsidRPr="00B043B4" w:rsidRDefault="00CA7624" w:rsidP="00CA762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A7624" w:rsidRPr="00B043B4" w14:paraId="0C1C7F0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715F2BC"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00DF3BB"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24C3A2E" w14:textId="77777777" w:rsidR="00CA7624" w:rsidRPr="00B043B4" w:rsidRDefault="00CA7624" w:rsidP="00CA762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160CA1C"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9364E03"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35BD1FC"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4939087" w14:textId="77777777" w:rsidR="00CA7624" w:rsidRPr="00B043B4" w:rsidRDefault="00CA7624" w:rsidP="00CA762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A7624" w:rsidRPr="00B043B4" w14:paraId="283C2E00"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C4236A4"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336F829"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EDB1AC7" w14:textId="77777777" w:rsidR="00CA7624" w:rsidRPr="00B043B4" w:rsidRDefault="00CA7624" w:rsidP="00CA762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69F34FC"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4C08895" w14:textId="77777777" w:rsidR="00CA7624" w:rsidRPr="00B043B4" w:rsidRDefault="00CA7624" w:rsidP="00CA762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9447839" w14:textId="77777777" w:rsidR="00CA7624" w:rsidRPr="00B043B4" w:rsidRDefault="00CA7624" w:rsidP="00CA762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2C4F01C" w14:textId="77777777" w:rsidR="00CA7624" w:rsidRPr="00B043B4" w:rsidRDefault="00CA7624" w:rsidP="00CA762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7CBE2E1D"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27BD88F3"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2D3B88AD"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FF729BD"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8093026"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0388D848"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33DDF7A8"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6572B608"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1684F3C1" w14:textId="77777777" w:rsidTr="00B547F5">
        <w:tc>
          <w:tcPr>
            <w:tcW w:w="3812" w:type="dxa"/>
            <w:tcBorders>
              <w:top w:val="nil"/>
              <w:left w:val="single" w:sz="4" w:space="0" w:color="auto"/>
              <w:bottom w:val="nil"/>
              <w:right w:val="single" w:sz="4" w:space="0" w:color="auto"/>
            </w:tcBorders>
            <w:shd w:val="clear" w:color="auto" w:fill="E2E2E2"/>
          </w:tcPr>
          <w:p w14:paraId="26FC0D3E"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2E94BCFF" w14:textId="48F365C9" w:rsidR="000F2BE9" w:rsidRPr="00B043B4" w:rsidRDefault="008E0A8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B234254"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32B45321" w14:textId="348C1E17" w:rsidR="000F2BE9" w:rsidRPr="00B043B4" w:rsidRDefault="008E0A8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4AE5DED2"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FA20337"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35624885"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299AA3E1" w14:textId="77777777" w:rsidTr="00B547F5">
        <w:tc>
          <w:tcPr>
            <w:tcW w:w="3812" w:type="dxa"/>
            <w:tcBorders>
              <w:top w:val="nil"/>
              <w:left w:val="single" w:sz="4" w:space="0" w:color="auto"/>
              <w:bottom w:val="nil"/>
              <w:right w:val="single" w:sz="4" w:space="0" w:color="auto"/>
            </w:tcBorders>
            <w:shd w:val="clear" w:color="auto" w:fill="E2E2E2"/>
          </w:tcPr>
          <w:p w14:paraId="0587FA00"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4C8E7F08"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1AC361E"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0"/>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16A4D912" w14:textId="55936957" w:rsidR="000F2BE9" w:rsidRPr="00B043B4" w:rsidRDefault="008E0A8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4D28358B"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1"/>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1A9B0392" w14:textId="75C23AA5" w:rsidR="000F2BE9" w:rsidRPr="00B043B4" w:rsidRDefault="008E0A8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47E4A4FF"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4498D6A4"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2C8DAF07"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52807389"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24DD405D"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6FAF159" w14:textId="77777777" w:rsidR="00A340BB" w:rsidRPr="00B043B4" w:rsidRDefault="00CA7624"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7409BAB2"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344C36ED"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6AE3EA1A"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366F1A56"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6B4A53D0"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5F52170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CA7624" w:rsidRPr="00B043B4" w14:paraId="0F2EFDED"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D7E3E76" w14:textId="54D39E34" w:rsidR="00CA7624" w:rsidRPr="00923EFF" w:rsidRDefault="00CA7624" w:rsidP="00CF76D6">
            <w:pPr>
              <w:contextualSpacing/>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Predkladaný materiál má vplyvy na rozpočet </w:t>
            </w:r>
            <w:r w:rsidR="00133BFA">
              <w:rPr>
                <w:rFonts w:ascii="Times New Roman" w:eastAsia="Times New Roman" w:hAnsi="Times New Roman" w:cs="Times New Roman"/>
                <w:sz w:val="20"/>
                <w:szCs w:val="20"/>
                <w:lang w:eastAsia="sk-SK"/>
              </w:rPr>
              <w:t xml:space="preserve">verejnej správy </w:t>
            </w:r>
            <w:r w:rsidR="002F3708">
              <w:rPr>
                <w:rFonts w:ascii="Times New Roman" w:eastAsia="Times New Roman" w:hAnsi="Times New Roman" w:cs="Times New Roman"/>
                <w:sz w:val="20"/>
                <w:szCs w:val="20"/>
                <w:lang w:eastAsia="sk-SK"/>
              </w:rPr>
              <w:t>v časti týkajúcej sa povinnosti orgánu riadenia</w:t>
            </w:r>
            <w:r w:rsidR="0017315F">
              <w:rPr>
                <w:rFonts w:ascii="Times New Roman" w:eastAsia="Times New Roman" w:hAnsi="Times New Roman" w:cs="Times New Roman"/>
                <w:sz w:val="20"/>
                <w:szCs w:val="20"/>
                <w:lang w:eastAsia="sk-SK"/>
              </w:rPr>
              <w:t xml:space="preserve"> MD SR v rámci uplatnenej pripomienky, keďže</w:t>
            </w:r>
            <w:r w:rsidR="002F3708">
              <w:rPr>
                <w:rFonts w:ascii="Times New Roman" w:eastAsia="Times New Roman" w:hAnsi="Times New Roman" w:cs="Times New Roman"/>
                <w:sz w:val="20"/>
                <w:szCs w:val="20"/>
                <w:lang w:eastAsia="sk-SK"/>
              </w:rPr>
              <w:t xml:space="preserve"> </w:t>
            </w:r>
            <w:r w:rsidR="0017315F" w:rsidRPr="0017315F">
              <w:rPr>
                <w:rFonts w:ascii="Times New Roman" w:eastAsia="Times New Roman" w:hAnsi="Times New Roman" w:cs="Times New Roman"/>
                <w:sz w:val="20"/>
                <w:szCs w:val="20"/>
                <w:lang w:eastAsia="sk-SK"/>
              </w:rPr>
              <w:t xml:space="preserve">nedošlo k vytvoreniu potrebných pracovných miest pre obsadenie IT rolí potrebných k plneniu </w:t>
            </w:r>
            <w:r w:rsidR="0017315F">
              <w:rPr>
                <w:rFonts w:ascii="Times New Roman" w:eastAsia="Times New Roman" w:hAnsi="Times New Roman" w:cs="Times New Roman"/>
                <w:sz w:val="20"/>
                <w:szCs w:val="20"/>
                <w:lang w:eastAsia="sk-SK"/>
              </w:rPr>
              <w:t xml:space="preserve">povinností vyplývajúcich z </w:t>
            </w:r>
            <w:r w:rsidR="0017315F" w:rsidRPr="0017315F">
              <w:rPr>
                <w:rFonts w:ascii="Times New Roman" w:eastAsia="Times New Roman" w:hAnsi="Times New Roman" w:cs="Times New Roman"/>
                <w:sz w:val="20"/>
                <w:szCs w:val="20"/>
                <w:lang w:eastAsia="sk-SK"/>
              </w:rPr>
              <w:t xml:space="preserve">vyhlášky </w:t>
            </w:r>
            <w:r w:rsidR="0017315F" w:rsidRPr="00DD3AC8">
              <w:rPr>
                <w:rFonts w:ascii="Times New Roman" w:eastAsia="Times New Roman" w:hAnsi="Times New Roman" w:cs="Times New Roman"/>
                <w:sz w:val="20"/>
                <w:szCs w:val="20"/>
                <w:lang w:eastAsia="sk-SK"/>
              </w:rPr>
              <w:t>Ministerstva investícií, regionálneho rozvoja a informatizácie Slovenskej republiky</w:t>
            </w:r>
            <w:r w:rsidR="0017315F">
              <w:rPr>
                <w:rFonts w:ascii="Times New Roman" w:eastAsia="Times New Roman" w:hAnsi="Times New Roman" w:cs="Times New Roman"/>
                <w:sz w:val="20"/>
                <w:szCs w:val="20"/>
                <w:lang w:eastAsia="sk-SK"/>
              </w:rPr>
              <w:t xml:space="preserve"> č. 547/2021 Z. z. o elektronizácii agendy verejnej správy </w:t>
            </w:r>
            <w:r w:rsidR="0017315F" w:rsidRPr="0017315F">
              <w:rPr>
                <w:rFonts w:ascii="Times New Roman" w:eastAsia="Times New Roman" w:hAnsi="Times New Roman" w:cs="Times New Roman"/>
                <w:sz w:val="20"/>
                <w:szCs w:val="20"/>
                <w:lang w:eastAsia="sk-SK"/>
              </w:rPr>
              <w:t xml:space="preserve">ani zo zdrojov </w:t>
            </w:r>
            <w:r w:rsidR="0017315F">
              <w:rPr>
                <w:rFonts w:ascii="Times New Roman" w:eastAsia="Times New Roman" w:hAnsi="Times New Roman" w:cs="Times New Roman"/>
                <w:sz w:val="20"/>
                <w:szCs w:val="20"/>
                <w:lang w:eastAsia="sk-SK"/>
              </w:rPr>
              <w:t>štátneho rozpočtu</w:t>
            </w:r>
            <w:r w:rsidR="0017315F" w:rsidRPr="0017315F">
              <w:rPr>
                <w:rFonts w:ascii="Times New Roman" w:eastAsia="Times New Roman" w:hAnsi="Times New Roman" w:cs="Times New Roman"/>
                <w:sz w:val="20"/>
                <w:szCs w:val="20"/>
                <w:lang w:eastAsia="sk-SK"/>
              </w:rPr>
              <w:t>, ani prostre</w:t>
            </w:r>
            <w:r w:rsidR="00CF76D6">
              <w:rPr>
                <w:rFonts w:ascii="Times New Roman" w:eastAsia="Times New Roman" w:hAnsi="Times New Roman" w:cs="Times New Roman"/>
                <w:sz w:val="20"/>
                <w:szCs w:val="20"/>
                <w:lang w:eastAsia="sk-SK"/>
              </w:rPr>
              <w:t>dníctvom dopytových výziev OPII, aj napriek akceptovaniu pripomienky MD SR v rámci legislatívneho procesu k predmetnej vyhláške.</w:t>
            </w:r>
            <w:r w:rsidR="0017315F" w:rsidRPr="0017315F">
              <w:rPr>
                <w:rFonts w:ascii="Times New Roman" w:eastAsia="Times New Roman" w:hAnsi="Times New Roman" w:cs="Times New Roman"/>
                <w:sz w:val="20"/>
                <w:szCs w:val="20"/>
                <w:lang w:eastAsia="sk-SK"/>
              </w:rPr>
              <w:t xml:space="preserve"> </w:t>
            </w:r>
            <w:r w:rsidR="00CF76D6">
              <w:rPr>
                <w:rFonts w:ascii="Times New Roman" w:eastAsia="Times New Roman" w:hAnsi="Times New Roman" w:cs="Times New Roman"/>
                <w:sz w:val="20"/>
                <w:szCs w:val="20"/>
                <w:lang w:eastAsia="sk-SK"/>
              </w:rPr>
              <w:t>Vyhláška č. 547/2021 Z. z. upravuje podrobnosti k povinnostiam, ktoré sú navrhované v § 13a a § 24c návrhu.</w:t>
            </w:r>
          </w:p>
        </w:tc>
      </w:tr>
      <w:tr w:rsidR="001B23B7" w:rsidRPr="00B043B4" w14:paraId="0411127C"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8D0246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CA7624" w:rsidRPr="00B043B4" w14:paraId="1544F388"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DFEBFB8" w14:textId="77777777" w:rsidR="00CA7624" w:rsidRDefault="00CA7624" w:rsidP="00CA7624">
            <w:pPr>
              <w:jc w:val="both"/>
              <w:rPr>
                <w:rFonts w:ascii="Times New Roman" w:eastAsia="Times New Roman" w:hAnsi="Times New Roman" w:cs="Times New Roman"/>
                <w:iCs/>
                <w:sz w:val="20"/>
                <w:szCs w:val="20"/>
                <w:lang w:eastAsia="sk-SK"/>
              </w:rPr>
            </w:pPr>
            <w:r w:rsidRPr="00BC5A30">
              <w:rPr>
                <w:rFonts w:ascii="Times New Roman" w:eastAsia="Times New Roman" w:hAnsi="Times New Roman" w:cs="Times New Roman"/>
                <w:iCs/>
                <w:sz w:val="20"/>
                <w:szCs w:val="20"/>
                <w:lang w:eastAsia="sk-SK"/>
              </w:rPr>
              <w:t>Mgr. Jakub Dolina LL.M., MA</w:t>
            </w:r>
            <w:r>
              <w:rPr>
                <w:rFonts w:ascii="Times New Roman" w:eastAsia="Times New Roman" w:hAnsi="Times New Roman" w:cs="Times New Roman"/>
                <w:iCs/>
                <w:sz w:val="20"/>
                <w:szCs w:val="20"/>
                <w:lang w:eastAsia="sk-SK"/>
              </w:rPr>
              <w:t xml:space="preserve">, vládna jednotka CSIRT, Ministerstvo investícii, regionálneho rozvoja a informatizácie SR, </w:t>
            </w:r>
            <w:r w:rsidRPr="00836C51">
              <w:rPr>
                <w:rFonts w:ascii="Times New Roman" w:eastAsia="Times New Roman" w:hAnsi="Times New Roman" w:cs="Times New Roman"/>
                <w:iCs/>
                <w:sz w:val="20"/>
                <w:szCs w:val="20"/>
                <w:lang w:eastAsia="sk-SK"/>
              </w:rPr>
              <w:t xml:space="preserve">e-mail: </w:t>
            </w:r>
            <w:hyperlink r:id="rId11" w:history="1">
              <w:r w:rsidRPr="00225FBE">
                <w:rPr>
                  <w:rStyle w:val="Hypertextovprepojenie"/>
                  <w:rFonts w:ascii="Times New Roman" w:eastAsia="Times New Roman" w:hAnsi="Times New Roman" w:cs="Times New Roman"/>
                  <w:iCs/>
                  <w:sz w:val="20"/>
                  <w:szCs w:val="20"/>
                  <w:lang w:eastAsia="sk-SK"/>
                </w:rPr>
                <w:t>jakub.dolina@mirri.gov.sk</w:t>
              </w:r>
            </w:hyperlink>
          </w:p>
          <w:p w14:paraId="510DB0D0" w14:textId="77777777" w:rsidR="00CA7624" w:rsidRPr="00B043B4" w:rsidRDefault="00CA7624" w:rsidP="00CA7624">
            <w:pPr>
              <w:rPr>
                <w:rFonts w:ascii="Times New Roman" w:eastAsia="Times New Roman" w:hAnsi="Times New Roman" w:cs="Times New Roman"/>
                <w:i/>
                <w:sz w:val="20"/>
                <w:szCs w:val="20"/>
                <w:lang w:eastAsia="sk-SK"/>
              </w:rPr>
            </w:pPr>
            <w:r>
              <w:rPr>
                <w:rFonts w:ascii="Times New Roman" w:eastAsia="Times New Roman" w:hAnsi="Times New Roman" w:cs="Times New Roman"/>
                <w:iCs/>
                <w:sz w:val="20"/>
                <w:szCs w:val="20"/>
                <w:lang w:eastAsia="sk-SK"/>
              </w:rPr>
              <w:t xml:space="preserve">JUDr. Karolína Kabátová, sekcia informačných technológií verejnej správy, Ministerstvo investícii, regionálneho rozvoja a informatizácie SR, e-mail: </w:t>
            </w:r>
            <w:hyperlink r:id="rId12" w:history="1">
              <w:r w:rsidRPr="00225FBE">
                <w:rPr>
                  <w:rStyle w:val="Hypertextovprepojenie"/>
                  <w:rFonts w:ascii="Times New Roman" w:eastAsia="Times New Roman" w:hAnsi="Times New Roman" w:cs="Times New Roman"/>
                  <w:iCs/>
                  <w:sz w:val="20"/>
                  <w:szCs w:val="20"/>
                  <w:lang w:eastAsia="sk-SK"/>
                </w:rPr>
                <w:t>karolina.kabatova@mirri.gov.sk</w:t>
              </w:r>
            </w:hyperlink>
            <w:r>
              <w:rPr>
                <w:rFonts w:ascii="Times New Roman" w:eastAsia="Times New Roman" w:hAnsi="Times New Roman" w:cs="Times New Roman"/>
                <w:iCs/>
                <w:sz w:val="20"/>
                <w:szCs w:val="20"/>
                <w:lang w:eastAsia="sk-SK"/>
              </w:rPr>
              <w:t xml:space="preserve"> </w:t>
            </w:r>
          </w:p>
        </w:tc>
      </w:tr>
      <w:tr w:rsidR="001B23B7" w:rsidRPr="00B043B4" w14:paraId="481EEE7A"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13F655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CA7624" w:rsidRPr="00B043B4" w14:paraId="137040B4"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5AFA98A" w14:textId="77777777" w:rsidR="00CA7624" w:rsidRPr="00AC3F54" w:rsidRDefault="00CA7624" w:rsidP="00CA7624">
            <w:pPr>
              <w:spacing w:before="12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Interné kapacity predkladateľa a podriadených organizácií, zaslané podnety a aplikačná prax. </w:t>
            </w:r>
          </w:p>
          <w:p w14:paraId="1F081091" w14:textId="77777777" w:rsidR="00CA7624" w:rsidRPr="00E63545" w:rsidRDefault="00CA7624" w:rsidP="00CA7624">
            <w:pPr>
              <w:pStyle w:val="Zarkazkladnhotextu"/>
              <w:ind w:firstLine="0"/>
              <w:rPr>
                <w:rFonts w:eastAsia="Times New Roman"/>
                <w:b/>
                <w:sz w:val="20"/>
              </w:rPr>
            </w:pPr>
          </w:p>
        </w:tc>
      </w:tr>
      <w:tr w:rsidR="001B23B7" w:rsidRPr="00B043B4" w14:paraId="66349141"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46EEB71" w14:textId="6AEF6A4B"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CA4250">
              <w:rPr>
                <w:rFonts w:ascii="Times New Roman" w:eastAsia="Calibri" w:hAnsi="Times New Roman" w:cs="Times New Roman"/>
                <w:b/>
              </w:rPr>
              <w:t>274/2022</w:t>
            </w:r>
            <w:r w:rsidRPr="00B043B4">
              <w:rPr>
                <w:rFonts w:ascii="Calibri" w:eastAsia="Calibri" w:hAnsi="Calibri" w:cs="Times New Roman"/>
              </w:rPr>
              <w:t xml:space="preserve"> </w:t>
            </w:r>
          </w:p>
          <w:p w14:paraId="3E4B34C7"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2C0262EE"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9B55816"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6CF8483A" w14:textId="77777777" w:rsidTr="000800FC">
              <w:trPr>
                <w:trHeight w:val="396"/>
              </w:trPr>
              <w:tc>
                <w:tcPr>
                  <w:tcW w:w="2552" w:type="dxa"/>
                </w:tcPr>
                <w:p w14:paraId="0D0105EF" w14:textId="77777777" w:rsidR="001B23B7" w:rsidRPr="00B043B4" w:rsidRDefault="00F63E9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7B4D4F4D" w14:textId="77777777" w:rsidR="001B23B7" w:rsidRPr="00B043B4" w:rsidRDefault="00F63E9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5FE846FD" w14:textId="543649AC" w:rsidR="001B23B7" w:rsidRPr="00B043B4" w:rsidRDefault="00F63E9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CA4250">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0BF7BDA1" w14:textId="5AD1C1C8"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3C040AFF" w14:textId="77777777" w:rsidR="00E721DB" w:rsidRPr="00B043B4" w:rsidRDefault="00E721DB" w:rsidP="000800FC">
            <w:pPr>
              <w:jc w:val="both"/>
              <w:rPr>
                <w:rFonts w:ascii="Times New Roman" w:eastAsia="Times New Roman" w:hAnsi="Times New Roman" w:cs="Times New Roman"/>
                <w:b/>
                <w:sz w:val="20"/>
                <w:szCs w:val="20"/>
                <w:lang w:eastAsia="sk-SK"/>
              </w:rPr>
            </w:pPr>
          </w:p>
          <w:p w14:paraId="21CA7299" w14:textId="77777777" w:rsidR="00CA4250" w:rsidRPr="00E721DB" w:rsidRDefault="00CA4250" w:rsidP="00CA4250">
            <w:pPr>
              <w:jc w:val="both"/>
              <w:rPr>
                <w:rFonts w:ascii="Times New Roman" w:eastAsia="Times New Roman" w:hAnsi="Times New Roman" w:cs="Times New Roman"/>
                <w:b/>
                <w:sz w:val="20"/>
                <w:szCs w:val="20"/>
                <w:lang w:eastAsia="sk-SK"/>
              </w:rPr>
            </w:pPr>
            <w:r w:rsidRPr="00E721DB">
              <w:rPr>
                <w:rFonts w:ascii="Times New Roman" w:eastAsia="Times New Roman" w:hAnsi="Times New Roman" w:cs="Times New Roman"/>
                <w:b/>
                <w:sz w:val="20"/>
                <w:szCs w:val="20"/>
                <w:lang w:eastAsia="sk-SK"/>
              </w:rPr>
              <w:t>Komisia odporúča predkladateľovi  doplniť v Doložke vybraných vplyvov  časť 5. „Alternatívne riešenia“.</w:t>
            </w:r>
          </w:p>
          <w:p w14:paraId="6E9B2881" w14:textId="3CB98FFC" w:rsidR="00CA4250" w:rsidRPr="00E721DB" w:rsidRDefault="00CA4250" w:rsidP="00CA4250">
            <w:pPr>
              <w:jc w:val="both"/>
              <w:rPr>
                <w:rFonts w:ascii="Times New Roman" w:eastAsia="Times New Roman" w:hAnsi="Times New Roman" w:cs="Times New Roman"/>
                <w:b/>
                <w:sz w:val="20"/>
                <w:szCs w:val="20"/>
                <w:lang w:eastAsia="sk-SK"/>
              </w:rPr>
            </w:pPr>
            <w:r w:rsidRPr="00E721DB">
              <w:rPr>
                <w:rFonts w:ascii="Times New Roman" w:eastAsia="Times New Roman" w:hAnsi="Times New Roman" w:cs="Times New Roman"/>
                <w:b/>
                <w:sz w:val="20"/>
                <w:szCs w:val="20"/>
                <w:lang w:eastAsia="sk-SK"/>
              </w:rPr>
              <w:t>Odôvodnenie: V zmysle Jednotnej metodiky na posudzovanie vybraných vplyvov je predkladateľ povinný uviesť v Doložke vybraných vplyvov v časti č. 5 „Alternatívne riešenia“ minimálne nulový variant, t.</w:t>
            </w:r>
            <w:r w:rsidR="00E721DB" w:rsidRPr="00E721DB">
              <w:rPr>
                <w:rFonts w:ascii="Times New Roman" w:eastAsia="Times New Roman" w:hAnsi="Times New Roman" w:cs="Times New Roman"/>
                <w:b/>
                <w:sz w:val="20"/>
                <w:szCs w:val="20"/>
                <w:lang w:eastAsia="sk-SK"/>
              </w:rPr>
              <w:t xml:space="preserve"> </w:t>
            </w:r>
            <w:r w:rsidRPr="00E721DB">
              <w:rPr>
                <w:rFonts w:ascii="Times New Roman" w:eastAsia="Times New Roman" w:hAnsi="Times New Roman" w:cs="Times New Roman"/>
                <w:b/>
                <w:sz w:val="20"/>
                <w:szCs w:val="20"/>
                <w:lang w:eastAsia="sk-SK"/>
              </w:rPr>
              <w:t>j. analýzu súčasného stavu, v rámci ktorej sa uvedú dôsledky vyplývajúce z dôvodu absencie právnej úpravy resp. z dôvodu ich neprijatia. V prípade, kedy nie je možné realizovať nulový variant, slúži tento nulový variant ako báza, ku ktorej sa môžu porovnávať ostatné alternatívy.</w:t>
            </w:r>
          </w:p>
          <w:p w14:paraId="516DBD4C" w14:textId="77777777" w:rsidR="00CA4250" w:rsidRPr="00E721DB" w:rsidRDefault="00CA4250" w:rsidP="00CA4250">
            <w:pPr>
              <w:jc w:val="both"/>
              <w:rPr>
                <w:rFonts w:ascii="Times New Roman" w:eastAsia="Times New Roman" w:hAnsi="Times New Roman" w:cs="Times New Roman"/>
                <w:b/>
                <w:sz w:val="20"/>
                <w:szCs w:val="20"/>
                <w:lang w:eastAsia="sk-SK"/>
              </w:rPr>
            </w:pPr>
          </w:p>
          <w:p w14:paraId="7A03DDC1" w14:textId="77777777" w:rsidR="00CA4250" w:rsidRPr="00E721DB" w:rsidRDefault="00CA4250" w:rsidP="00CA4250">
            <w:pPr>
              <w:jc w:val="both"/>
              <w:rPr>
                <w:rFonts w:ascii="Times New Roman" w:eastAsia="Times New Roman" w:hAnsi="Times New Roman" w:cs="Times New Roman"/>
                <w:b/>
                <w:sz w:val="20"/>
                <w:szCs w:val="20"/>
                <w:lang w:eastAsia="sk-SK"/>
              </w:rPr>
            </w:pPr>
            <w:r w:rsidRPr="00E721DB">
              <w:rPr>
                <w:rFonts w:ascii="Times New Roman" w:eastAsia="Times New Roman" w:hAnsi="Times New Roman" w:cs="Times New Roman"/>
                <w:b/>
                <w:sz w:val="20"/>
                <w:szCs w:val="20"/>
                <w:lang w:eastAsia="sk-SK"/>
              </w:rPr>
              <w:t>Komisia odporúča predkladateľovi doplniť  v časti 8. „Preskúmanie účelnosti“ termín, kedy by malo dôjsť k preskúmaniu účinnosti a účelnosti predkladaného materiálu a kritériá, na základe ktorých bude preskúmanie vykonané.</w:t>
            </w:r>
          </w:p>
          <w:p w14:paraId="015F2A75" w14:textId="708DA4BE" w:rsidR="00CA4250" w:rsidRPr="00E721DB" w:rsidRDefault="00CA4250" w:rsidP="00CA4250">
            <w:pPr>
              <w:jc w:val="both"/>
              <w:rPr>
                <w:rFonts w:ascii="Times New Roman" w:eastAsia="Times New Roman" w:hAnsi="Times New Roman" w:cs="Times New Roman"/>
                <w:b/>
                <w:sz w:val="20"/>
                <w:szCs w:val="20"/>
                <w:lang w:eastAsia="sk-SK"/>
              </w:rPr>
            </w:pPr>
            <w:r w:rsidRPr="00E721DB">
              <w:rPr>
                <w:rFonts w:ascii="Times New Roman" w:eastAsia="Times New Roman" w:hAnsi="Times New Roman" w:cs="Times New Roman"/>
                <w:b/>
                <w:sz w:val="20"/>
                <w:szCs w:val="20"/>
                <w:lang w:eastAsia="sk-SK"/>
              </w:rPr>
              <w:t>Odôvodnenie: V zmysle Jednotnej metodiky na posudzovanie vybraných vplyvov je predkladateľ povinný v Doložke vybraných vplyvov v časti  8. nastaviť čas, po ktorom dôjde k preskúmaniu, ako aj kritériá, na základe ktorých sa prieskum zrealizuje. Cieľom prieskumu je overiť, či riešenie problému, ktoré bolo prijaté, plní svoj účel a či bol uvedený problém odstránený.</w:t>
            </w:r>
          </w:p>
          <w:p w14:paraId="04F61300" w14:textId="6F9D26C1" w:rsidR="0090018F" w:rsidRPr="00E721DB" w:rsidRDefault="0090018F" w:rsidP="00CA4250">
            <w:pPr>
              <w:jc w:val="both"/>
              <w:rPr>
                <w:rFonts w:ascii="Times New Roman" w:eastAsia="Times New Roman" w:hAnsi="Times New Roman" w:cs="Times New Roman"/>
                <w:sz w:val="20"/>
                <w:szCs w:val="20"/>
                <w:lang w:eastAsia="sk-SK"/>
              </w:rPr>
            </w:pPr>
          </w:p>
          <w:p w14:paraId="7AE4BE0F" w14:textId="251E0126" w:rsidR="0090018F" w:rsidRPr="00E721DB" w:rsidRDefault="0090018F" w:rsidP="00CA4250">
            <w:pPr>
              <w:jc w:val="both"/>
              <w:rPr>
                <w:rFonts w:ascii="Times New Roman" w:eastAsia="Times New Roman" w:hAnsi="Times New Roman" w:cs="Times New Roman"/>
                <w:sz w:val="20"/>
                <w:szCs w:val="20"/>
                <w:lang w:eastAsia="sk-SK"/>
              </w:rPr>
            </w:pPr>
            <w:r w:rsidRPr="00E721DB">
              <w:rPr>
                <w:rFonts w:ascii="Times New Roman" w:eastAsia="Times New Roman" w:hAnsi="Times New Roman" w:cs="Times New Roman"/>
                <w:sz w:val="20"/>
                <w:szCs w:val="20"/>
                <w:lang w:eastAsia="sk-SK"/>
              </w:rPr>
              <w:t>Doložka vybraných vplyvov bola doplnená o časť „Alternatívne riešenia“ a o časť „Preskúmanie účelnosti“.</w:t>
            </w:r>
          </w:p>
          <w:p w14:paraId="3AEC6900" w14:textId="77777777" w:rsidR="00CA4250" w:rsidRPr="00E721DB" w:rsidRDefault="00CA4250" w:rsidP="00CA4250">
            <w:pPr>
              <w:jc w:val="both"/>
              <w:rPr>
                <w:rFonts w:ascii="Times New Roman" w:eastAsia="Times New Roman" w:hAnsi="Times New Roman" w:cs="Times New Roman"/>
                <w:sz w:val="20"/>
                <w:szCs w:val="20"/>
                <w:lang w:eastAsia="sk-SK"/>
              </w:rPr>
            </w:pPr>
          </w:p>
          <w:p w14:paraId="1A84FC12" w14:textId="77777777" w:rsidR="00CA4250" w:rsidRPr="00E721DB" w:rsidRDefault="00CA4250" w:rsidP="00CA4250">
            <w:pPr>
              <w:jc w:val="both"/>
              <w:rPr>
                <w:rFonts w:ascii="Times New Roman" w:eastAsia="Times New Roman" w:hAnsi="Times New Roman" w:cs="Times New Roman"/>
                <w:b/>
                <w:sz w:val="20"/>
                <w:szCs w:val="20"/>
                <w:lang w:eastAsia="sk-SK"/>
              </w:rPr>
            </w:pPr>
            <w:r w:rsidRPr="00E721DB">
              <w:rPr>
                <w:rFonts w:ascii="Times New Roman" w:eastAsia="Times New Roman" w:hAnsi="Times New Roman" w:cs="Times New Roman"/>
                <w:b/>
                <w:sz w:val="20"/>
                <w:szCs w:val="20"/>
                <w:lang w:eastAsia="sk-SK"/>
              </w:rPr>
              <w:t>K vplyvom na rozpočet verejnej správy</w:t>
            </w:r>
          </w:p>
          <w:p w14:paraId="7AC70006" w14:textId="77777777" w:rsidR="00CA4250" w:rsidRPr="00E721DB" w:rsidRDefault="00CA4250" w:rsidP="00CA4250">
            <w:pPr>
              <w:jc w:val="both"/>
              <w:rPr>
                <w:rFonts w:ascii="Times New Roman" w:eastAsia="Times New Roman" w:hAnsi="Times New Roman" w:cs="Times New Roman"/>
                <w:b/>
                <w:sz w:val="20"/>
                <w:szCs w:val="20"/>
                <w:lang w:eastAsia="sk-SK"/>
              </w:rPr>
            </w:pPr>
            <w:r w:rsidRPr="00E721DB">
              <w:rPr>
                <w:rFonts w:ascii="Times New Roman" w:eastAsia="Times New Roman" w:hAnsi="Times New Roman" w:cs="Times New Roman"/>
                <w:b/>
                <w:sz w:val="20"/>
                <w:szCs w:val="20"/>
                <w:lang w:eastAsia="sk-SK"/>
              </w:rPr>
              <w:t>Prijatie materiálu bude mať negatívne, čiastočne zabezpečené vplyvy na rozpočet verejnej správy v kapitole MIRRI SR, ktoré sú v analýze vplyvov na rozpočet kvantifikované na rok 2023 v sume 726 252 eur (nekryté 115 431 eur), na rok 2024 v sume 968 336 eur (nekryté 153 908 eur), na rok 2025 v sume 968 336 eur (nekryté 153 908 eur) a na rok 2026 v sume 969 336 (nekryté 717 552 eur). V bode 2.1.1. analýzy vplyvov na rozpočet predkladateľ uvádza, že financovanie návrhu zákona je nevyhnutné riešiť navýšením limitu výdavkov kapitoly MIRRI SR prostredníctvom kapitoly Všeobecná pokladničná správa.</w:t>
            </w:r>
          </w:p>
          <w:p w14:paraId="3F58DCF1" w14:textId="77777777" w:rsidR="00CA4250" w:rsidRPr="00E721DB" w:rsidRDefault="00CA4250" w:rsidP="00CA4250">
            <w:pPr>
              <w:jc w:val="both"/>
              <w:rPr>
                <w:rFonts w:ascii="Times New Roman" w:eastAsia="Times New Roman" w:hAnsi="Times New Roman" w:cs="Times New Roman"/>
                <w:b/>
                <w:sz w:val="20"/>
                <w:szCs w:val="20"/>
                <w:lang w:eastAsia="sk-SK"/>
              </w:rPr>
            </w:pPr>
          </w:p>
          <w:p w14:paraId="4F20DFA5" w14:textId="614C7FA7" w:rsidR="00CA4250" w:rsidRPr="00E721DB" w:rsidRDefault="00CA4250" w:rsidP="00CA4250">
            <w:pPr>
              <w:jc w:val="both"/>
              <w:rPr>
                <w:rFonts w:ascii="Times New Roman" w:eastAsia="Times New Roman" w:hAnsi="Times New Roman" w:cs="Times New Roman"/>
                <w:b/>
                <w:sz w:val="20"/>
                <w:szCs w:val="20"/>
                <w:lang w:eastAsia="sk-SK"/>
              </w:rPr>
            </w:pPr>
            <w:r w:rsidRPr="00E721DB">
              <w:rPr>
                <w:rFonts w:ascii="Times New Roman" w:eastAsia="Times New Roman" w:hAnsi="Times New Roman" w:cs="Times New Roman"/>
                <w:b/>
                <w:sz w:val="20"/>
                <w:szCs w:val="20"/>
                <w:lang w:eastAsia="sk-SK"/>
              </w:rPr>
              <w:t>S materiálom, z ktorého vyplýva nekrytý vplyv na rozpočet verejnej správy, Komisia nesúhlasí. Komisia upozorňuje, že návrh rozpočtu verejnej správy na roky 2023 až 2025 bol schválený vládou 14.10.2022, pričom na uvedený účel nie sú rozpočtované prostriedky v rámci kapitoly Všeobecná pokladničná správa. Všetky negatívne vplyvy súvisiace s realizáciou návrhu zákona žiada Komisia zabezpečiť v rámci stanovených limitov výdavkov a počtu zamestnancov dotknutých subjektov verejnej správy/kapitol štátneho rozpočtu na príslušný rozpočtový rok, bez ďalších dodatočných požiadaviek na rozpočet.</w:t>
            </w:r>
          </w:p>
          <w:p w14:paraId="4ECA09A7" w14:textId="77777777" w:rsidR="00962CD9" w:rsidRPr="00E721DB" w:rsidRDefault="00962CD9" w:rsidP="00CA4250">
            <w:pPr>
              <w:jc w:val="both"/>
              <w:rPr>
                <w:rFonts w:ascii="Times New Roman" w:eastAsia="Times New Roman" w:hAnsi="Times New Roman" w:cs="Times New Roman"/>
                <w:sz w:val="20"/>
                <w:szCs w:val="20"/>
                <w:lang w:eastAsia="sk-SK"/>
              </w:rPr>
            </w:pPr>
          </w:p>
          <w:p w14:paraId="7BF62793" w14:textId="2FDF5005" w:rsidR="00962CD9" w:rsidRPr="00E721DB" w:rsidRDefault="00962CD9" w:rsidP="00CA4250">
            <w:pPr>
              <w:jc w:val="both"/>
              <w:rPr>
                <w:rFonts w:ascii="Times New Roman" w:eastAsia="Times New Roman" w:hAnsi="Times New Roman" w:cs="Times New Roman"/>
                <w:sz w:val="20"/>
                <w:szCs w:val="20"/>
                <w:lang w:eastAsia="sk-SK"/>
              </w:rPr>
            </w:pPr>
            <w:r w:rsidRPr="00E721DB">
              <w:rPr>
                <w:rFonts w:ascii="Times New Roman" w:eastAsia="Times New Roman" w:hAnsi="Times New Roman" w:cs="Times New Roman"/>
                <w:sz w:val="20"/>
                <w:szCs w:val="20"/>
                <w:lang w:eastAsia="sk-SK"/>
              </w:rPr>
              <w:t xml:space="preserve">Predkladateľ trvá na uvedenom vplyve na rozpočet, ktorý je potrebný pre zabezpečenie plnenia povinností vyplývajúcich z návrhu. Bez dodatočných nákladov na štátny rozpočet by nebolo možné </w:t>
            </w:r>
            <w:r w:rsidR="002F1172" w:rsidRPr="00E721DB">
              <w:rPr>
                <w:rFonts w:ascii="Times New Roman" w:eastAsia="Times New Roman" w:hAnsi="Times New Roman" w:cs="Times New Roman"/>
                <w:sz w:val="20"/>
                <w:szCs w:val="20"/>
                <w:lang w:eastAsia="sk-SK"/>
              </w:rPr>
              <w:t>obsadiť požadované pracovné miesta</w:t>
            </w:r>
            <w:r w:rsidRPr="00E721DB">
              <w:rPr>
                <w:rFonts w:ascii="Times New Roman" w:eastAsia="Times New Roman" w:hAnsi="Times New Roman" w:cs="Times New Roman"/>
                <w:sz w:val="20"/>
                <w:szCs w:val="20"/>
                <w:lang w:eastAsia="sk-SK"/>
              </w:rPr>
              <w:t xml:space="preserve"> zamestnanc</w:t>
            </w:r>
            <w:r w:rsidR="002F1172" w:rsidRPr="00E721DB">
              <w:rPr>
                <w:rFonts w:ascii="Times New Roman" w:eastAsia="Times New Roman" w:hAnsi="Times New Roman" w:cs="Times New Roman"/>
                <w:sz w:val="20"/>
                <w:szCs w:val="20"/>
                <w:lang w:eastAsia="sk-SK"/>
              </w:rPr>
              <w:t>ami</w:t>
            </w:r>
            <w:r w:rsidRPr="00E721DB">
              <w:rPr>
                <w:rFonts w:ascii="Times New Roman" w:eastAsia="Times New Roman" w:hAnsi="Times New Roman" w:cs="Times New Roman"/>
                <w:sz w:val="20"/>
                <w:szCs w:val="20"/>
                <w:lang w:eastAsia="sk-SK"/>
              </w:rPr>
              <w:t xml:space="preserve"> s potrebnou odbornou kvalifikáciou s ohľadom na aktuálny pracovný trh.</w:t>
            </w:r>
          </w:p>
          <w:p w14:paraId="3B308B78" w14:textId="77777777" w:rsidR="00CA4250" w:rsidRPr="00E721DB" w:rsidRDefault="00CA4250" w:rsidP="00CA4250">
            <w:pPr>
              <w:jc w:val="both"/>
              <w:rPr>
                <w:rFonts w:ascii="Times New Roman" w:eastAsia="Times New Roman" w:hAnsi="Times New Roman" w:cs="Times New Roman"/>
                <w:sz w:val="20"/>
                <w:szCs w:val="20"/>
                <w:lang w:eastAsia="sk-SK"/>
              </w:rPr>
            </w:pPr>
          </w:p>
          <w:p w14:paraId="50633BDB" w14:textId="77777777" w:rsidR="00CA4250" w:rsidRPr="00E721DB" w:rsidRDefault="00CA4250" w:rsidP="00CA4250">
            <w:pPr>
              <w:jc w:val="both"/>
              <w:rPr>
                <w:rFonts w:ascii="Times New Roman" w:eastAsia="Times New Roman" w:hAnsi="Times New Roman" w:cs="Times New Roman"/>
                <w:b/>
                <w:sz w:val="20"/>
                <w:szCs w:val="20"/>
                <w:lang w:eastAsia="sk-SK"/>
              </w:rPr>
            </w:pPr>
            <w:r w:rsidRPr="00E721DB">
              <w:rPr>
                <w:rFonts w:ascii="Times New Roman" w:eastAsia="Times New Roman" w:hAnsi="Times New Roman" w:cs="Times New Roman"/>
                <w:b/>
                <w:sz w:val="20"/>
                <w:szCs w:val="20"/>
                <w:lang w:eastAsia="sk-SK"/>
              </w:rPr>
              <w:lastRenderedPageBreak/>
              <w:t xml:space="preserve">V analýze vplyvov na rozpočet v tab. č.1 žiada Komisia doplniť v riadku „Financovanie zabezpečené v rozpočte“ príslušné sumy výdavkov. Zároveň je potrebné upraviť údaje v sumárnych riadkoch; Komisia upozorňuje, že sumár výdavkov uvedených v riadkoch „Financovanie zabezpečené v rozpočte „ a „Rozpočtovo nekrytý vplyv“ nie je zhodný s výdavkami verejnej správy celkom. </w:t>
            </w:r>
          </w:p>
          <w:p w14:paraId="09FC226B" w14:textId="77777777" w:rsidR="00CA4250" w:rsidRPr="00E721DB" w:rsidRDefault="00CA4250" w:rsidP="00CA4250">
            <w:pPr>
              <w:jc w:val="both"/>
              <w:rPr>
                <w:rFonts w:ascii="Times New Roman" w:eastAsia="Times New Roman" w:hAnsi="Times New Roman" w:cs="Times New Roman"/>
                <w:b/>
                <w:sz w:val="20"/>
                <w:szCs w:val="20"/>
                <w:lang w:eastAsia="sk-SK"/>
              </w:rPr>
            </w:pPr>
          </w:p>
          <w:p w14:paraId="28C11EE4" w14:textId="77777777" w:rsidR="00CA4250" w:rsidRPr="00E721DB" w:rsidRDefault="00CA4250" w:rsidP="00CA4250">
            <w:pPr>
              <w:jc w:val="both"/>
              <w:rPr>
                <w:rFonts w:ascii="Times New Roman" w:eastAsia="Times New Roman" w:hAnsi="Times New Roman" w:cs="Times New Roman"/>
                <w:b/>
                <w:sz w:val="20"/>
                <w:szCs w:val="20"/>
                <w:lang w:eastAsia="sk-SK"/>
              </w:rPr>
            </w:pPr>
            <w:r w:rsidRPr="00E721DB">
              <w:rPr>
                <w:rFonts w:ascii="Times New Roman" w:eastAsia="Times New Roman" w:hAnsi="Times New Roman" w:cs="Times New Roman"/>
                <w:b/>
                <w:sz w:val="20"/>
                <w:szCs w:val="20"/>
                <w:lang w:eastAsia="sk-SK"/>
              </w:rPr>
              <w:t xml:space="preserve">V tab. č. 1 v časti týkajúcej sa vplyvu na mzdové výdavky je potrebné upraviť údaje v riadku „-vplyv na ŠR“, keďže celý predpokladaný objem mzdových výdavkov je vplyvom na ŠR. Nadväzne je potrebné upraviť aj údaje v tab. č. 5. </w:t>
            </w:r>
          </w:p>
          <w:p w14:paraId="13CAD744" w14:textId="77777777" w:rsidR="00CA4250" w:rsidRPr="00E721DB" w:rsidRDefault="00CA4250" w:rsidP="00CA4250">
            <w:pPr>
              <w:jc w:val="both"/>
              <w:rPr>
                <w:rFonts w:ascii="Times New Roman" w:eastAsia="Times New Roman" w:hAnsi="Times New Roman" w:cs="Times New Roman"/>
                <w:b/>
                <w:sz w:val="20"/>
                <w:szCs w:val="20"/>
                <w:lang w:eastAsia="sk-SK"/>
              </w:rPr>
            </w:pPr>
            <w:r w:rsidRPr="00E721DB">
              <w:rPr>
                <w:rFonts w:ascii="Times New Roman" w:eastAsia="Times New Roman" w:hAnsi="Times New Roman" w:cs="Times New Roman"/>
                <w:b/>
                <w:sz w:val="20"/>
                <w:szCs w:val="20"/>
                <w:lang w:eastAsia="sk-SK"/>
              </w:rPr>
              <w:t xml:space="preserve">Zároveň Komisia žiada doplniť rozdelenie vplyvu mzdových výdavkov zo ŠR na rozpočtové prostriedky a EÚ zdroje (POO), aby bolo jednoznačné, aká časť mzdových výdavkov by mala byť  hradená zo štátneho rozpočtu a  aká prostredníctvom plánu obnovy a odolnosti. </w:t>
            </w:r>
          </w:p>
          <w:p w14:paraId="67B0F549" w14:textId="77777777" w:rsidR="00CA4250" w:rsidRPr="00E721DB" w:rsidRDefault="00CA4250" w:rsidP="00CA4250">
            <w:pPr>
              <w:jc w:val="both"/>
              <w:rPr>
                <w:rFonts w:ascii="Times New Roman" w:eastAsia="Times New Roman" w:hAnsi="Times New Roman" w:cs="Times New Roman"/>
                <w:b/>
                <w:sz w:val="20"/>
                <w:szCs w:val="20"/>
                <w:lang w:eastAsia="sk-SK"/>
              </w:rPr>
            </w:pPr>
          </w:p>
          <w:p w14:paraId="3A3273F9" w14:textId="59DCD4BA" w:rsidR="001B23B7" w:rsidRPr="00E721DB" w:rsidRDefault="00CA4250" w:rsidP="00CA4250">
            <w:pPr>
              <w:jc w:val="both"/>
              <w:rPr>
                <w:rFonts w:ascii="Times New Roman" w:eastAsia="Times New Roman" w:hAnsi="Times New Roman" w:cs="Times New Roman"/>
                <w:b/>
                <w:sz w:val="20"/>
                <w:szCs w:val="20"/>
                <w:lang w:eastAsia="sk-SK"/>
              </w:rPr>
            </w:pPr>
            <w:r w:rsidRPr="00E721DB">
              <w:rPr>
                <w:rFonts w:ascii="Times New Roman" w:eastAsia="Times New Roman" w:hAnsi="Times New Roman" w:cs="Times New Roman"/>
                <w:b/>
                <w:sz w:val="20"/>
                <w:szCs w:val="20"/>
                <w:lang w:eastAsia="sk-SK"/>
              </w:rPr>
              <w:t>Do analýzy vplyvov na rozpočet žiada Komisia doplniť informácie k počtu a mesačným mzdám zamestnancov pre kybernetickú bezpečnosť. Z podkladov nie je zrejmé, na základe akých skutočností bol stanovený počet potrebných kybernetických špecialistov na 18 osôb a kde budú pôsobiť. Taktiež žiada Komisia doplniť zdroje potvrdzujúce relevantnosť mesačnej mzdy týchto zamestnancov.</w:t>
            </w:r>
          </w:p>
          <w:p w14:paraId="07D9D624" w14:textId="77777777" w:rsidR="0068500A" w:rsidRPr="00E721DB" w:rsidRDefault="0068500A" w:rsidP="00CA4250">
            <w:pPr>
              <w:jc w:val="both"/>
              <w:rPr>
                <w:rFonts w:ascii="Times New Roman" w:eastAsia="Times New Roman" w:hAnsi="Times New Roman" w:cs="Times New Roman"/>
                <w:sz w:val="20"/>
                <w:szCs w:val="20"/>
                <w:lang w:eastAsia="sk-SK"/>
              </w:rPr>
            </w:pPr>
          </w:p>
          <w:p w14:paraId="289F7D96" w14:textId="3FEA6052" w:rsidR="0068500A" w:rsidRPr="00E721DB" w:rsidRDefault="0068500A" w:rsidP="00CA4250">
            <w:pPr>
              <w:jc w:val="both"/>
              <w:rPr>
                <w:rFonts w:ascii="Times New Roman" w:eastAsia="Times New Roman" w:hAnsi="Times New Roman" w:cs="Times New Roman"/>
                <w:sz w:val="20"/>
                <w:szCs w:val="20"/>
                <w:lang w:eastAsia="sk-SK"/>
              </w:rPr>
            </w:pPr>
            <w:r w:rsidRPr="00E721DB">
              <w:rPr>
                <w:rFonts w:ascii="Times New Roman" w:eastAsia="Times New Roman" w:hAnsi="Times New Roman" w:cs="Times New Roman"/>
                <w:sz w:val="20"/>
                <w:szCs w:val="20"/>
                <w:lang w:eastAsia="sk-SK"/>
              </w:rPr>
              <w:t>Analýza vplyvov na rozpočet bola upravená a</w:t>
            </w:r>
            <w:r w:rsidR="007D59A8" w:rsidRPr="00E721DB">
              <w:rPr>
                <w:rFonts w:ascii="Times New Roman" w:eastAsia="Times New Roman" w:hAnsi="Times New Roman" w:cs="Times New Roman"/>
                <w:sz w:val="20"/>
                <w:szCs w:val="20"/>
                <w:lang w:eastAsia="sk-SK"/>
              </w:rPr>
              <w:t> </w:t>
            </w:r>
            <w:r w:rsidRPr="00E721DB">
              <w:rPr>
                <w:rFonts w:ascii="Times New Roman" w:eastAsia="Times New Roman" w:hAnsi="Times New Roman" w:cs="Times New Roman"/>
                <w:sz w:val="20"/>
                <w:szCs w:val="20"/>
                <w:lang w:eastAsia="sk-SK"/>
              </w:rPr>
              <w:t>doplnená</w:t>
            </w:r>
            <w:r w:rsidR="007D59A8" w:rsidRPr="00E721DB">
              <w:rPr>
                <w:rFonts w:ascii="Times New Roman" w:eastAsia="Times New Roman" w:hAnsi="Times New Roman" w:cs="Times New Roman"/>
                <w:sz w:val="20"/>
                <w:szCs w:val="20"/>
                <w:lang w:eastAsia="sk-SK"/>
              </w:rPr>
              <w:t xml:space="preserve"> v zmysle Stanoviska</w:t>
            </w:r>
            <w:r w:rsidRPr="00E721DB">
              <w:rPr>
                <w:rFonts w:ascii="Times New Roman" w:eastAsia="Times New Roman" w:hAnsi="Times New Roman" w:cs="Times New Roman"/>
                <w:sz w:val="20"/>
                <w:szCs w:val="20"/>
                <w:lang w:eastAsia="sk-SK"/>
              </w:rPr>
              <w:t>.</w:t>
            </w:r>
          </w:p>
          <w:p w14:paraId="3C97F0EC"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1ACEC113"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729A0C17" w14:textId="0023D84C" w:rsidR="001B23B7" w:rsidRPr="00B043B4" w:rsidRDefault="001B23B7" w:rsidP="00CB39E1">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sidR="00CB39E1">
              <w:rPr>
                <w:rFonts w:ascii="Times New Roman" w:eastAsia="Calibri" w:hAnsi="Times New Roman" w:cs="Times New Roman"/>
                <w:b/>
              </w:rPr>
              <w:t>044</w:t>
            </w:r>
            <w:r w:rsidRPr="00B043B4">
              <w:rPr>
                <w:rFonts w:ascii="Times New Roman" w:eastAsia="Calibri" w:hAnsi="Times New Roman" w:cs="Times New Roman"/>
              </w:rPr>
              <w:t xml:space="preserve"> (v prípade, ak sa uskutočnilo v zmysle bodu 9.1. Jednotnej metodiky) </w:t>
            </w:r>
          </w:p>
        </w:tc>
      </w:tr>
      <w:tr w:rsidR="001B23B7" w:rsidRPr="00B043B4" w14:paraId="62FB52FF" w14:textId="77777777" w:rsidTr="000800FC">
        <w:tblPrEx>
          <w:tblBorders>
            <w:insideH w:val="single" w:sz="4" w:space="0" w:color="FFFFFF"/>
            <w:insideV w:val="single" w:sz="4" w:space="0" w:color="FFFFFF"/>
          </w:tblBorders>
        </w:tblPrEx>
        <w:tc>
          <w:tcPr>
            <w:tcW w:w="9176" w:type="dxa"/>
            <w:shd w:val="clear" w:color="auto" w:fill="FFFFFF"/>
          </w:tcPr>
          <w:p w14:paraId="08D1ACFA"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6170DF8B" w14:textId="77777777" w:rsidTr="000800FC">
              <w:trPr>
                <w:trHeight w:val="396"/>
              </w:trPr>
              <w:tc>
                <w:tcPr>
                  <w:tcW w:w="2552" w:type="dxa"/>
                </w:tcPr>
                <w:p w14:paraId="6EE5B9B3" w14:textId="77777777" w:rsidR="001B23B7" w:rsidRPr="00B043B4" w:rsidRDefault="00F63E9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7E1201C8" w14:textId="77777777" w:rsidR="001B23B7" w:rsidRPr="00B043B4" w:rsidRDefault="00F63E9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13DB5C4E" w14:textId="2B4211E5" w:rsidR="001B23B7" w:rsidRPr="00B043B4" w:rsidRDefault="00F63E9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8E0A83">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423CD513" w14:textId="77777777" w:rsidR="001B23B7" w:rsidRPr="00B043B4" w:rsidRDefault="001B23B7" w:rsidP="00CB39E1">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007AD192"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K vplyvom na rozpočet verejnej správy</w:t>
            </w:r>
          </w:p>
          <w:p w14:paraId="02C68A6F"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Cieľom návrhu zákona je zabezpečiť úpravy a doplnenia, ktoré vyplynuli z aplikačnej praxe a reflektovať na požiadavky vyplývajúce z Národnej koncepcie informatizácie verejnej správy, ktorá bola schválená UV SR č. 763/2021 a tiež vymedziť kompetencie vládnej jednotky CSIRT a s tým súvisiacu úpravu vzťahov medzi zákonom o ITVS a zákonom o kybernetickej bezpečnosti.</w:t>
            </w:r>
          </w:p>
          <w:p w14:paraId="15B9873D" w14:textId="77777777" w:rsidR="008E0A83" w:rsidRPr="008E0A83" w:rsidRDefault="008E0A83" w:rsidP="00CB39E1">
            <w:pPr>
              <w:jc w:val="both"/>
              <w:rPr>
                <w:rFonts w:ascii="Times New Roman" w:eastAsia="Times New Roman" w:hAnsi="Times New Roman" w:cs="Times New Roman"/>
                <w:b/>
                <w:sz w:val="20"/>
                <w:szCs w:val="20"/>
                <w:lang w:eastAsia="sk-SK"/>
              </w:rPr>
            </w:pPr>
          </w:p>
          <w:p w14:paraId="0985F602" w14:textId="3B581BB2" w:rsid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Prijatie materiálu bude mať negatívne, čiastočne zabezpečené vplyvy na RVS:</w:t>
            </w:r>
          </w:p>
          <w:p w14:paraId="3E2B5F3F" w14:textId="77777777" w:rsidR="00CB39E1" w:rsidRPr="008E0A83" w:rsidRDefault="00CB39E1" w:rsidP="00CB39E1">
            <w:pPr>
              <w:jc w:val="both"/>
              <w:rPr>
                <w:rFonts w:ascii="Times New Roman" w:eastAsia="Times New Roman" w:hAnsi="Times New Roman" w:cs="Times New Roman"/>
                <w:b/>
                <w:sz w:val="20"/>
                <w:szCs w:val="20"/>
                <w:lang w:eastAsia="sk-SK"/>
              </w:rPr>
            </w:pPr>
          </w:p>
          <w:tbl>
            <w:tblPr>
              <w:tblW w:w="7792" w:type="dxa"/>
              <w:tblLayout w:type="fixed"/>
              <w:tblCellMar>
                <w:left w:w="0" w:type="dxa"/>
                <w:right w:w="0" w:type="dxa"/>
              </w:tblCellMar>
              <w:tblLook w:val="04A0" w:firstRow="1" w:lastRow="0" w:firstColumn="1" w:lastColumn="0" w:noHBand="0" w:noVBand="1"/>
            </w:tblPr>
            <w:tblGrid>
              <w:gridCol w:w="3566"/>
              <w:gridCol w:w="824"/>
              <w:gridCol w:w="1134"/>
              <w:gridCol w:w="1134"/>
              <w:gridCol w:w="1134"/>
            </w:tblGrid>
            <w:tr w:rsidR="00CB39E1" w:rsidRPr="00CB39E1" w14:paraId="529E9DB8" w14:textId="77777777" w:rsidTr="00CB39E1">
              <w:trPr>
                <w:trHeight w:val="300"/>
              </w:trPr>
              <w:tc>
                <w:tcPr>
                  <w:tcW w:w="35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FC6F8D"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 </w:t>
                  </w:r>
                </w:p>
              </w:tc>
              <w:tc>
                <w:tcPr>
                  <w:tcW w:w="82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50668F"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2023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7B8358"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2024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6AA980"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2025</w:t>
                  </w:r>
                </w:p>
              </w:tc>
              <w:tc>
                <w:tcPr>
                  <w:tcW w:w="1134" w:type="dxa"/>
                  <w:tcBorders>
                    <w:top w:val="nil"/>
                    <w:left w:val="nil"/>
                    <w:bottom w:val="single" w:sz="8" w:space="0" w:color="auto"/>
                    <w:right w:val="nil"/>
                  </w:tcBorders>
                  <w:tcMar>
                    <w:top w:w="0" w:type="dxa"/>
                    <w:left w:w="70" w:type="dxa"/>
                    <w:bottom w:w="0" w:type="dxa"/>
                    <w:right w:w="70" w:type="dxa"/>
                  </w:tcMar>
                  <w:vAlign w:val="center"/>
                  <w:hideMark/>
                </w:tcPr>
                <w:p w14:paraId="25F567DF"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2026</w:t>
                  </w:r>
                </w:p>
              </w:tc>
            </w:tr>
            <w:tr w:rsidR="00CB39E1" w:rsidRPr="00CB39E1" w14:paraId="66DA8F07" w14:textId="77777777" w:rsidTr="00CB39E1">
              <w:trPr>
                <w:trHeight w:val="300"/>
              </w:trPr>
              <w:tc>
                <w:tcPr>
                  <w:tcW w:w="35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156F2A"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Výdavky verejnej správy celkom</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567780"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329 720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3329C9"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1 177 466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D6FE62"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1 177 466</w:t>
                  </w: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14:paraId="52E99A8A"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1 177 466</w:t>
                  </w:r>
                </w:p>
              </w:tc>
            </w:tr>
            <w:tr w:rsidR="00CB39E1" w:rsidRPr="00CB39E1" w14:paraId="638529A6" w14:textId="77777777" w:rsidTr="00CB39E1">
              <w:trPr>
                <w:trHeight w:val="300"/>
              </w:trPr>
              <w:tc>
                <w:tcPr>
                  <w:tcW w:w="35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ADDE40"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v tom: MIRRI SR spolu</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342DDE"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218 993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D077B6"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911 722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8D67B1"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911 722</w:t>
                  </w: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14:paraId="15CFE4B1"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911 722</w:t>
                  </w:r>
                </w:p>
              </w:tc>
            </w:tr>
            <w:tr w:rsidR="00CB39E1" w:rsidRPr="00CB39E1" w14:paraId="158D4A24" w14:textId="77777777" w:rsidTr="00CB39E1">
              <w:trPr>
                <w:trHeight w:val="300"/>
              </w:trPr>
              <w:tc>
                <w:tcPr>
                  <w:tcW w:w="35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9BACDC"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           MIRRI nekryté</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432873"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7383EB"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536 307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98946E"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536 307</w:t>
                  </w: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14:paraId="4E83136E"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911 722</w:t>
                  </w:r>
                </w:p>
              </w:tc>
            </w:tr>
            <w:tr w:rsidR="00CB39E1" w:rsidRPr="00CB39E1" w14:paraId="0EF323C3" w14:textId="77777777" w:rsidTr="00CB39E1">
              <w:trPr>
                <w:trHeight w:val="300"/>
              </w:trPr>
              <w:tc>
                <w:tcPr>
                  <w:tcW w:w="35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61FF1F"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           Počet zamestnancov MIRRI SR</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85435F"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7657B3"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10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0F2CBE"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10</w:t>
                  </w: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14:paraId="41345023"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17</w:t>
                  </w:r>
                </w:p>
              </w:tc>
            </w:tr>
            <w:tr w:rsidR="00CB39E1" w:rsidRPr="00CB39E1" w14:paraId="271B543B" w14:textId="77777777" w:rsidTr="00CB39E1">
              <w:trPr>
                <w:trHeight w:val="300"/>
              </w:trPr>
              <w:tc>
                <w:tcPr>
                  <w:tcW w:w="35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AFA989"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           MD SR spolu</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07C15E"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110 727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91E965"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265 744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B3B503"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265 744</w:t>
                  </w: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14:paraId="4B340E74"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265 744</w:t>
                  </w:r>
                </w:p>
              </w:tc>
            </w:tr>
            <w:tr w:rsidR="00CB39E1" w:rsidRPr="00CB39E1" w14:paraId="37EF7E64" w14:textId="77777777" w:rsidTr="00CB39E1">
              <w:trPr>
                <w:trHeight w:val="300"/>
              </w:trPr>
              <w:tc>
                <w:tcPr>
                  <w:tcW w:w="35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7B17F9"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           MD SR nekryté</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53A2AB"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110 727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945396"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265 744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5776B0"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265 744</w:t>
                  </w: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14:paraId="11710592"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265 744</w:t>
                  </w:r>
                </w:p>
              </w:tc>
            </w:tr>
            <w:tr w:rsidR="00CB39E1" w:rsidRPr="00CB39E1" w14:paraId="3478B59F" w14:textId="77777777" w:rsidTr="00CB39E1">
              <w:trPr>
                <w:trHeight w:val="300"/>
              </w:trPr>
              <w:tc>
                <w:tcPr>
                  <w:tcW w:w="35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D09FB0"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           Počet zamestnancov MD SR</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8B0937"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ED5A93"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B879D8"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6</w:t>
                  </w: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14:paraId="4B270F09" w14:textId="77777777" w:rsidR="00CB39E1" w:rsidRPr="00CB39E1" w:rsidRDefault="00CB39E1" w:rsidP="00CB39E1">
                  <w:pPr>
                    <w:jc w:val="both"/>
                    <w:rPr>
                      <w:rFonts w:ascii="Arial" w:hAnsi="Arial" w:cs="Arial"/>
                      <w:bCs/>
                      <w:sz w:val="20"/>
                      <w:szCs w:val="20"/>
                    </w:rPr>
                  </w:pPr>
                  <w:r w:rsidRPr="00CB39E1">
                    <w:rPr>
                      <w:rFonts w:ascii="Arial" w:hAnsi="Arial" w:cs="Arial"/>
                      <w:bCs/>
                      <w:sz w:val="20"/>
                      <w:szCs w:val="20"/>
                    </w:rPr>
                    <w:t>6</w:t>
                  </w:r>
                </w:p>
              </w:tc>
            </w:tr>
            <w:tr w:rsidR="00CB39E1" w:rsidRPr="00CB39E1" w14:paraId="74E577F4" w14:textId="77777777" w:rsidTr="00CB39E1">
              <w:trPr>
                <w:trHeight w:val="300"/>
              </w:trPr>
              <w:tc>
                <w:tcPr>
                  <w:tcW w:w="3566" w:type="dxa"/>
                  <w:tcBorders>
                    <w:top w:val="nil"/>
                    <w:left w:val="nil"/>
                    <w:bottom w:val="single" w:sz="8" w:space="0" w:color="auto"/>
                    <w:right w:val="nil"/>
                  </w:tcBorders>
                  <w:noWrap/>
                  <w:tcMar>
                    <w:top w:w="0" w:type="dxa"/>
                    <w:left w:w="70" w:type="dxa"/>
                    <w:bottom w:w="0" w:type="dxa"/>
                    <w:right w:w="70" w:type="dxa"/>
                  </w:tcMar>
                  <w:vAlign w:val="bottom"/>
                </w:tcPr>
                <w:p w14:paraId="15DC5713" w14:textId="77777777" w:rsidR="00CB39E1" w:rsidRPr="00CB39E1" w:rsidRDefault="00CB39E1" w:rsidP="00CB39E1">
                  <w:pPr>
                    <w:jc w:val="both"/>
                    <w:rPr>
                      <w:rFonts w:ascii="Arial" w:hAnsi="Arial" w:cs="Arial"/>
                      <w:bCs/>
                      <w:i/>
                      <w:iCs/>
                      <w:sz w:val="20"/>
                      <w:szCs w:val="20"/>
                    </w:rPr>
                  </w:pPr>
                </w:p>
              </w:tc>
              <w:tc>
                <w:tcPr>
                  <w:tcW w:w="824" w:type="dxa"/>
                  <w:tcBorders>
                    <w:top w:val="nil"/>
                    <w:left w:val="nil"/>
                    <w:bottom w:val="single" w:sz="8" w:space="0" w:color="auto"/>
                    <w:right w:val="nil"/>
                  </w:tcBorders>
                  <w:noWrap/>
                  <w:tcMar>
                    <w:top w:w="0" w:type="dxa"/>
                    <w:left w:w="70" w:type="dxa"/>
                    <w:bottom w:w="0" w:type="dxa"/>
                    <w:right w:w="70" w:type="dxa"/>
                  </w:tcMar>
                  <w:vAlign w:val="bottom"/>
                </w:tcPr>
                <w:p w14:paraId="4105443A" w14:textId="77777777" w:rsidR="00CB39E1" w:rsidRPr="00CB39E1" w:rsidRDefault="00CB39E1" w:rsidP="00CB39E1">
                  <w:pPr>
                    <w:jc w:val="both"/>
                    <w:rPr>
                      <w:rFonts w:ascii="Arial" w:hAnsi="Arial" w:cs="Arial"/>
                      <w:bCs/>
                      <w:sz w:val="20"/>
                      <w:szCs w:val="20"/>
                    </w:rPr>
                  </w:pPr>
                </w:p>
              </w:tc>
              <w:tc>
                <w:tcPr>
                  <w:tcW w:w="1134" w:type="dxa"/>
                  <w:tcBorders>
                    <w:top w:val="nil"/>
                    <w:left w:val="nil"/>
                    <w:bottom w:val="single" w:sz="8" w:space="0" w:color="auto"/>
                    <w:right w:val="nil"/>
                  </w:tcBorders>
                  <w:noWrap/>
                  <w:tcMar>
                    <w:top w:w="0" w:type="dxa"/>
                    <w:left w:w="70" w:type="dxa"/>
                    <w:bottom w:w="0" w:type="dxa"/>
                    <w:right w:w="70" w:type="dxa"/>
                  </w:tcMar>
                  <w:vAlign w:val="bottom"/>
                </w:tcPr>
                <w:p w14:paraId="02173420" w14:textId="77777777" w:rsidR="00CB39E1" w:rsidRPr="00CB39E1" w:rsidRDefault="00CB39E1" w:rsidP="00CB39E1">
                  <w:pPr>
                    <w:jc w:val="both"/>
                    <w:rPr>
                      <w:rFonts w:ascii="Arial" w:hAnsi="Arial" w:cs="Arial"/>
                      <w:bCs/>
                      <w:sz w:val="20"/>
                      <w:szCs w:val="20"/>
                    </w:rPr>
                  </w:pPr>
                </w:p>
              </w:tc>
              <w:tc>
                <w:tcPr>
                  <w:tcW w:w="1134" w:type="dxa"/>
                  <w:tcBorders>
                    <w:top w:val="nil"/>
                    <w:left w:val="nil"/>
                    <w:bottom w:val="single" w:sz="8" w:space="0" w:color="auto"/>
                    <w:right w:val="nil"/>
                  </w:tcBorders>
                  <w:noWrap/>
                  <w:tcMar>
                    <w:top w:w="0" w:type="dxa"/>
                    <w:left w:w="70" w:type="dxa"/>
                    <w:bottom w:w="0" w:type="dxa"/>
                    <w:right w:w="70" w:type="dxa"/>
                  </w:tcMar>
                  <w:vAlign w:val="bottom"/>
                </w:tcPr>
                <w:p w14:paraId="4F3754F0" w14:textId="77777777" w:rsidR="00CB39E1" w:rsidRPr="00CB39E1" w:rsidRDefault="00CB39E1" w:rsidP="00CB39E1">
                  <w:pPr>
                    <w:jc w:val="both"/>
                    <w:rPr>
                      <w:rFonts w:ascii="Arial" w:hAnsi="Arial" w:cs="Arial"/>
                      <w:bCs/>
                      <w:sz w:val="20"/>
                      <w:szCs w:val="20"/>
                    </w:rPr>
                  </w:pPr>
                </w:p>
              </w:tc>
              <w:tc>
                <w:tcPr>
                  <w:tcW w:w="1134" w:type="dxa"/>
                  <w:tcBorders>
                    <w:top w:val="nil"/>
                    <w:left w:val="nil"/>
                    <w:bottom w:val="single" w:sz="8" w:space="0" w:color="auto"/>
                    <w:right w:val="nil"/>
                  </w:tcBorders>
                  <w:noWrap/>
                  <w:tcMar>
                    <w:top w:w="0" w:type="dxa"/>
                    <w:left w:w="70" w:type="dxa"/>
                    <w:bottom w:w="0" w:type="dxa"/>
                    <w:right w:w="70" w:type="dxa"/>
                  </w:tcMar>
                  <w:vAlign w:val="bottom"/>
                </w:tcPr>
                <w:p w14:paraId="18C26691" w14:textId="77777777" w:rsidR="00CB39E1" w:rsidRPr="00CB39E1" w:rsidRDefault="00CB39E1" w:rsidP="00CB39E1">
                  <w:pPr>
                    <w:jc w:val="both"/>
                    <w:rPr>
                      <w:rFonts w:ascii="Arial" w:hAnsi="Arial" w:cs="Arial"/>
                      <w:bCs/>
                      <w:sz w:val="20"/>
                      <w:szCs w:val="20"/>
                    </w:rPr>
                  </w:pPr>
                </w:p>
              </w:tc>
            </w:tr>
            <w:tr w:rsidR="00CB39E1" w:rsidRPr="00CB39E1" w14:paraId="40167E25" w14:textId="77777777" w:rsidTr="00CB39E1">
              <w:trPr>
                <w:trHeight w:val="300"/>
              </w:trPr>
              <w:tc>
                <w:tcPr>
                  <w:tcW w:w="35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37BD16"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Rozpočtovo nekrytý vplyv celkom</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5DA8C4"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110 727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2054BF"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802 051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6012A9"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802 051</w:t>
                  </w: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14:paraId="16B886C2" w14:textId="77777777" w:rsidR="00CB39E1" w:rsidRPr="00CB39E1" w:rsidRDefault="00CB39E1" w:rsidP="00CB39E1">
                  <w:pPr>
                    <w:jc w:val="both"/>
                    <w:rPr>
                      <w:rFonts w:ascii="Arial" w:hAnsi="Arial" w:cs="Arial"/>
                      <w:b/>
                      <w:bCs/>
                      <w:sz w:val="20"/>
                      <w:szCs w:val="20"/>
                    </w:rPr>
                  </w:pPr>
                  <w:r w:rsidRPr="00CB39E1">
                    <w:rPr>
                      <w:rFonts w:ascii="Arial" w:hAnsi="Arial" w:cs="Arial"/>
                      <w:b/>
                      <w:bCs/>
                      <w:sz w:val="20"/>
                      <w:szCs w:val="20"/>
                    </w:rPr>
                    <w:t>1 177 466</w:t>
                  </w:r>
                </w:p>
              </w:tc>
            </w:tr>
          </w:tbl>
          <w:p w14:paraId="733B5073" w14:textId="4A337AF8" w:rsidR="008E0A83" w:rsidRPr="00CB39E1" w:rsidRDefault="008E0A83" w:rsidP="00CB39E1">
            <w:pPr>
              <w:jc w:val="both"/>
              <w:rPr>
                <w:rFonts w:ascii="Times New Roman" w:eastAsia="Times New Roman" w:hAnsi="Times New Roman" w:cs="Times New Roman"/>
                <w:b/>
                <w:sz w:val="16"/>
                <w:szCs w:val="20"/>
                <w:lang w:eastAsia="sk-SK"/>
              </w:rPr>
            </w:pPr>
          </w:p>
          <w:p w14:paraId="340166CB" w14:textId="77777777" w:rsidR="00CB39E1" w:rsidRPr="008E0A83" w:rsidRDefault="00CB39E1" w:rsidP="00CB39E1">
            <w:pPr>
              <w:jc w:val="both"/>
              <w:rPr>
                <w:rFonts w:ascii="Times New Roman" w:eastAsia="Times New Roman" w:hAnsi="Times New Roman" w:cs="Times New Roman"/>
                <w:b/>
                <w:sz w:val="20"/>
                <w:szCs w:val="20"/>
                <w:lang w:eastAsia="sk-SK"/>
              </w:rPr>
            </w:pPr>
          </w:p>
          <w:p w14:paraId="1E452C6D" w14:textId="398FE6C3"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lastRenderedPageBreak/>
              <w:t xml:space="preserve"> Kvantifikácia vplyvov je v porovnaní s doterajším priebehom legislatívneho procesu zmenená. Kvantifikácia výdavkov kapitoly MIRRI SR na rok 2023 bola upravená, avšak nezohľadňuje navrhovanú účinnosť zákona od 1.8.2023; osobné výdavky je potrebné prepočítať na 5 mesiacov a nadväzne upraviť všetky relevantné tabuľky. Zároveň bola znížená kvantifikácia výdavkov za kapitolu MIRRI SR na roky 2024-2026 v súvislosti s úpravou počtu požadovaných zamestnancov  CSIRT (zníženie o jednu osobu). Do kvantifikácie vplyvov však pribudla nekrytá požiadavka kapitoly MD SR od roku 2023 na zvýšenie počtu zamestnancov  o 6 osôb vrátane zvýšenia osobných výdavkov (na rok 2023 v sume 110 727 eur, od roku 2024 v sume 265 744 eur).</w:t>
            </w:r>
          </w:p>
          <w:p w14:paraId="5EC60453" w14:textId="77777777" w:rsidR="008E0A83" w:rsidRPr="008E0A83" w:rsidRDefault="008E0A83" w:rsidP="00CB39E1">
            <w:pPr>
              <w:jc w:val="both"/>
              <w:rPr>
                <w:rFonts w:ascii="Times New Roman" w:eastAsia="Times New Roman" w:hAnsi="Times New Roman" w:cs="Times New Roman"/>
                <w:b/>
                <w:sz w:val="20"/>
                <w:szCs w:val="20"/>
                <w:lang w:eastAsia="sk-SK"/>
              </w:rPr>
            </w:pPr>
          </w:p>
          <w:p w14:paraId="6DA0BCDD"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 xml:space="preserve">S materiálom, z ktorého vyplýva nekrytý vplyv na rozpočet verejnej správy, Komisia zásadne nesúhlasí. V rozpočte kapitoly VPS na roky 2023 až 2025 nie sú na uvedený účel alokované prostriedky. Všetky negatívne vplyvy návrhu na rozpočet verejnej správy Komisia žiada zabezpečiť v rámci schválených limitov výdavkov a limitov počtu zamestnancov dotknutých kapitol na príslušný rozpočtový rok. </w:t>
            </w:r>
          </w:p>
          <w:p w14:paraId="4A7A6CE3" w14:textId="77777777" w:rsidR="008E0A83" w:rsidRPr="008E0A83" w:rsidRDefault="008E0A83" w:rsidP="00CB39E1">
            <w:pPr>
              <w:jc w:val="both"/>
              <w:rPr>
                <w:rFonts w:ascii="Times New Roman" w:eastAsia="Times New Roman" w:hAnsi="Times New Roman" w:cs="Times New Roman"/>
                <w:b/>
                <w:sz w:val="20"/>
                <w:szCs w:val="20"/>
                <w:lang w:eastAsia="sk-SK"/>
              </w:rPr>
            </w:pPr>
          </w:p>
          <w:p w14:paraId="55B00B04"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V súvislosti s požiadavkou na zvýšenie počtu zamestnancov a súvisiacich osobných výdavkov kapitoly MD SR na rok 2023 Komisia upozorňuje, že uvedené je v rozpore s uznesením vlády SR č. 636/2022 bod C.10.  „nepredkladať návrhy legislatívnych predpisov a iných materiálov, ktoré zakladajú nároky na zvýšenie počtu zamestnancov a zvýšenie výdavkov alebo úbytok príjmov schválených v štátnom rozpočte na rok 2023 s rozpočtovými dôsledkami na štátny rozpočet alebo na iné rozpočty tvoriace rozpočet verejnej správy“.</w:t>
            </w:r>
          </w:p>
          <w:p w14:paraId="6F69B424" w14:textId="77777777" w:rsidR="00B52461" w:rsidRPr="00E721DB" w:rsidRDefault="00B52461" w:rsidP="00CB39E1">
            <w:pPr>
              <w:jc w:val="both"/>
              <w:rPr>
                <w:rFonts w:ascii="Times New Roman" w:eastAsia="Times New Roman" w:hAnsi="Times New Roman" w:cs="Times New Roman"/>
                <w:sz w:val="20"/>
                <w:szCs w:val="20"/>
                <w:lang w:eastAsia="sk-SK"/>
              </w:rPr>
            </w:pPr>
            <w:r w:rsidRPr="00E721DB">
              <w:rPr>
                <w:rFonts w:ascii="Times New Roman" w:eastAsia="Times New Roman" w:hAnsi="Times New Roman" w:cs="Times New Roman"/>
                <w:sz w:val="20"/>
                <w:szCs w:val="20"/>
                <w:lang w:eastAsia="sk-SK"/>
              </w:rPr>
              <w:t>Predkladateľ trvá na uvedenom vplyve na rozpočet, ktorý je potrebný pre zabezpečenie plnenia povinností vyplývajúcich z návrhu. Bez dodatočných nákladov na štátny rozpočet by nebolo možné obsadiť požadované pracovné miesta zamestnancami s potrebnou odbornou kvalifikáciou s ohľadom na aktuálny pracovný trh.</w:t>
            </w:r>
          </w:p>
          <w:p w14:paraId="5DA38E64" w14:textId="77777777" w:rsidR="008E0A83" w:rsidRPr="008E0A83" w:rsidRDefault="008E0A83" w:rsidP="00CB39E1">
            <w:pPr>
              <w:jc w:val="both"/>
              <w:rPr>
                <w:rFonts w:ascii="Times New Roman" w:eastAsia="Times New Roman" w:hAnsi="Times New Roman" w:cs="Times New Roman"/>
                <w:b/>
                <w:sz w:val="20"/>
                <w:szCs w:val="20"/>
                <w:lang w:eastAsia="sk-SK"/>
              </w:rPr>
            </w:pPr>
          </w:p>
          <w:p w14:paraId="669A686B"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 xml:space="preserve">Do návrhu bola doplnená rozpočtovo nekrytá požiadavka kapitoly MD SR na zvýšenie počtu zamestnancov a osobných výdavkov, ku ktorej je v analýze vplyvov na rozpočet v bode 2.1.1. uvedené, že „Návrh zákona ustanovuje základ pre určenie pojmov používaných vo Vyhláške č.547/2021 Z. z. o elektronizácii agendy verejnej správy, ktorá upravuje povinnosti správcu informačných systémov s ohľadom na používateľskú skúsenosť elektronických služieb. Zároveň určuje priorizáciu elektronických služieb na základe identifikačných kritérií, ktoré budú určené v štandardoch a predkladanie zámeru vytvorenia alebo zmenu prioritnej elektronickej služby. Spôsob a vzor vytvárania zámeru vytvorenia alebo zlepšenia elektronickej služby bude určený metodických usmernením.“ a v bode 2.2.4. sa uvádza, že „Vzhľadom pre nenaplnenie finančného krytia uvedeného v Analýze vplyvov na rozpočet štátnej správy predkladanej v rámci legislatívneho procesu k Vyhláške č. 547/2021 Z. z. o elektronizácii agendy verejnej správy sa pre Ministerstvo dopravy a výstavby SR určuje výpočet vplyvov  pre právnu úpravu ustanovenú v § 13a „Elektronizácia agendy verejnej správy a zlepšovanie kvality používateľskej skúsenosti“. Vplyvy sú určené na základe vplyvov, ktoré boli vyčíslené, ale neboli uplatnené v rámci legislatívneho procesu v Analýze vplyvov na rozpočet štátnej správy predkladanej k Vyhláške č. 547/2021 Z. z. o elektronizácii agendy verejnej správy.“. K uvedenému Komisia oznamuje, že v doložke vybraných vplyvov k vyhláške MIRRI SR o spôsoboch a postupoch pri elektronizácii agendy verejnej správy predkladateľ deklaroval, že vplyvy na rozpočet verejnej správy sú negatívne, rozpočtovo zabezpečené a k stanovisku MF SR „aby sa predkladateľ jednoznačne vyjadril  k zvýšenému počtu zamestnancov o 84 osôb a k ich osobným výdavkom následne od roku 2023 a doplnil spôsob financovania a zabezpečenie zdrojov financovania pre novovzniknuté interné pracovné miesta na jednotlivých OVM, t. j. po uplynutí financovania zo zdrojov EÚ.“  sa predkladateľ vyjadril s tým, že „financovanie týchto zamestnancov po roku 2023 navrhujeme znova prostredníctvom eurofondov z nového programového obdobia, prípadne ďalších dostupných dotačných nástrojov EÚ.“. Na základe uvedeného Komisia zásadne nesúhlasí s doplnenou požiadavkou zvýšenia osobných výdavkov a počtu zamestnancov pre kapitolu MD SR v súvislosti s vyhláškou o elektronizácii agendy verejnej správy.  </w:t>
            </w:r>
          </w:p>
          <w:p w14:paraId="5033EA79" w14:textId="77777777" w:rsidR="00A15468" w:rsidRDefault="00A15468" w:rsidP="00CB39E1">
            <w:pPr>
              <w:jc w:val="both"/>
              <w:rPr>
                <w:rFonts w:ascii="Times New Roman" w:eastAsia="Times New Roman" w:hAnsi="Times New Roman" w:cs="Times New Roman"/>
                <w:sz w:val="20"/>
                <w:szCs w:val="20"/>
                <w:lang w:eastAsia="sk-SK"/>
              </w:rPr>
            </w:pPr>
          </w:p>
          <w:p w14:paraId="25099BB1" w14:textId="6200B530" w:rsidR="00A15468" w:rsidRPr="00E721DB" w:rsidRDefault="00A15468" w:rsidP="00CB39E1">
            <w:pPr>
              <w:jc w:val="both"/>
              <w:rPr>
                <w:rFonts w:ascii="Times New Roman" w:eastAsia="Times New Roman" w:hAnsi="Times New Roman" w:cs="Times New Roman"/>
                <w:sz w:val="20"/>
                <w:szCs w:val="20"/>
                <w:lang w:eastAsia="sk-SK"/>
              </w:rPr>
            </w:pPr>
            <w:r w:rsidRPr="00E721DB">
              <w:rPr>
                <w:rFonts w:ascii="Times New Roman" w:eastAsia="Times New Roman" w:hAnsi="Times New Roman" w:cs="Times New Roman"/>
                <w:sz w:val="20"/>
                <w:szCs w:val="20"/>
                <w:lang w:eastAsia="sk-SK"/>
              </w:rPr>
              <w:t>Predkladateľ trvá na uvedenom vplyve na rozpočet, ktorý je potrebný pre zabezpečenie plnenia povinností vyplývajúcich z návrhu. Bez dodatočných nákladov na štátny rozpočet by nebolo možné obsadiť požadované pracovné miesta zamestnancami s potrebnou odbornou kvalifikáciou s ohľadom na aktuálny pracovný trh.</w:t>
            </w:r>
          </w:p>
          <w:p w14:paraId="4CA4C5C2" w14:textId="77777777" w:rsidR="008E0A83" w:rsidRPr="008E0A83" w:rsidRDefault="008E0A83" w:rsidP="00CB39E1">
            <w:pPr>
              <w:jc w:val="both"/>
              <w:rPr>
                <w:rFonts w:ascii="Times New Roman" w:eastAsia="Times New Roman" w:hAnsi="Times New Roman" w:cs="Times New Roman"/>
                <w:b/>
                <w:sz w:val="20"/>
                <w:szCs w:val="20"/>
                <w:lang w:eastAsia="sk-SK"/>
              </w:rPr>
            </w:pPr>
          </w:p>
          <w:p w14:paraId="68438B1A"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V analýze vplyvov na rozpočet v tab. č. 1 Komisia žiada rozpísať vplyv na počet zamestnancov a vplyv na mzdové výdavky v členení na jednotlivé kapitoly štátneho rozpočtu.</w:t>
            </w:r>
          </w:p>
          <w:p w14:paraId="1C489A12" w14:textId="77777777" w:rsidR="00A15468" w:rsidRDefault="00A15468" w:rsidP="00CB39E1">
            <w:pPr>
              <w:jc w:val="both"/>
              <w:rPr>
                <w:rFonts w:ascii="Times New Roman" w:eastAsia="Times New Roman" w:hAnsi="Times New Roman" w:cs="Times New Roman"/>
                <w:sz w:val="20"/>
                <w:szCs w:val="20"/>
                <w:lang w:eastAsia="sk-SK"/>
              </w:rPr>
            </w:pPr>
          </w:p>
          <w:p w14:paraId="023C464E" w14:textId="569FFCC2" w:rsidR="008E0A83" w:rsidRPr="00A76D37" w:rsidRDefault="00A15468" w:rsidP="00CB39E1">
            <w:pPr>
              <w:jc w:val="both"/>
              <w:rPr>
                <w:rFonts w:ascii="Times New Roman" w:eastAsia="Times New Roman" w:hAnsi="Times New Roman" w:cs="Times New Roman"/>
                <w:sz w:val="20"/>
                <w:szCs w:val="20"/>
                <w:lang w:eastAsia="sk-SK"/>
              </w:rPr>
            </w:pPr>
            <w:r w:rsidRPr="00A76D37">
              <w:rPr>
                <w:rFonts w:ascii="Times New Roman" w:eastAsia="Times New Roman" w:hAnsi="Times New Roman" w:cs="Times New Roman"/>
                <w:sz w:val="20"/>
                <w:szCs w:val="20"/>
                <w:lang w:eastAsia="sk-SK"/>
              </w:rPr>
              <w:t>Analýza vplyvov na rozpočet verejnej správy bola upravená</w:t>
            </w:r>
            <w:r>
              <w:rPr>
                <w:rFonts w:ascii="Times New Roman" w:eastAsia="Times New Roman" w:hAnsi="Times New Roman" w:cs="Times New Roman"/>
                <w:sz w:val="20"/>
                <w:szCs w:val="20"/>
                <w:lang w:eastAsia="sk-SK"/>
              </w:rPr>
              <w:t xml:space="preserve"> a vplyvy sú rozpísané v člení podľa kapitol.</w:t>
            </w:r>
          </w:p>
          <w:p w14:paraId="068F0BF7" w14:textId="77777777" w:rsidR="00A15468" w:rsidRPr="00A76D37" w:rsidRDefault="00A15468" w:rsidP="00CB39E1">
            <w:pPr>
              <w:jc w:val="both"/>
              <w:rPr>
                <w:rFonts w:ascii="Times New Roman" w:eastAsia="Times New Roman" w:hAnsi="Times New Roman" w:cs="Times New Roman"/>
                <w:sz w:val="20"/>
                <w:szCs w:val="20"/>
                <w:lang w:eastAsia="sk-SK"/>
              </w:rPr>
            </w:pPr>
          </w:p>
          <w:p w14:paraId="5D61DA5A"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lastRenderedPageBreak/>
              <w:t xml:space="preserve">V tab. č. 1 v časti „Vplyv na mzdové výdavky“ Komisia žiada uviesť sumy mzdových výdavkov, z toho aj vplyv na ŠR a rozčlenenie na rozpočtové prostriedky a EÚ zdroje (POO) v súlade s podrobnými tabuľkami č. 4 až 7. V tab. č. 1 sú uvedené mzdové výdavky (napr. v roku 2023 v sume 411 770 eur) vyššie než výdavky verejnej správy celkom (napr. v roku 2023 v sume 329 720 eur). Suma mzdových výdavkov za EÚ zdroje (POO) predstavuje sumu osobných výdavkov a nie sumu mzdových výdavkov. </w:t>
            </w:r>
          </w:p>
          <w:p w14:paraId="1811885B" w14:textId="77777777" w:rsidR="00A15468" w:rsidRDefault="00A15468" w:rsidP="00CB39E1">
            <w:pPr>
              <w:jc w:val="both"/>
              <w:rPr>
                <w:rFonts w:ascii="Times New Roman" w:eastAsia="Times New Roman" w:hAnsi="Times New Roman" w:cs="Times New Roman"/>
                <w:b/>
                <w:sz w:val="20"/>
                <w:szCs w:val="20"/>
                <w:lang w:eastAsia="sk-SK"/>
              </w:rPr>
            </w:pPr>
          </w:p>
          <w:p w14:paraId="0E029B7F" w14:textId="73943711" w:rsidR="008E0A83" w:rsidRPr="00A76D37" w:rsidRDefault="00A15468" w:rsidP="00CB39E1">
            <w:pPr>
              <w:jc w:val="both"/>
              <w:rPr>
                <w:rFonts w:ascii="Times New Roman" w:eastAsia="Times New Roman" w:hAnsi="Times New Roman" w:cs="Times New Roman"/>
                <w:sz w:val="20"/>
                <w:szCs w:val="20"/>
                <w:lang w:eastAsia="sk-SK"/>
              </w:rPr>
            </w:pPr>
            <w:r w:rsidRPr="00A76D37">
              <w:rPr>
                <w:rFonts w:ascii="Times New Roman" w:eastAsia="Times New Roman" w:hAnsi="Times New Roman" w:cs="Times New Roman"/>
                <w:sz w:val="20"/>
                <w:szCs w:val="20"/>
                <w:lang w:eastAsia="sk-SK"/>
              </w:rPr>
              <w:t>Tabuľka č. 1 bola upravená.</w:t>
            </w:r>
          </w:p>
          <w:p w14:paraId="0DB40432" w14:textId="77777777" w:rsidR="00A15468" w:rsidRPr="008E0A83" w:rsidRDefault="00A15468" w:rsidP="00CB39E1">
            <w:pPr>
              <w:jc w:val="both"/>
              <w:rPr>
                <w:rFonts w:ascii="Times New Roman" w:eastAsia="Times New Roman" w:hAnsi="Times New Roman" w:cs="Times New Roman"/>
                <w:b/>
                <w:sz w:val="20"/>
                <w:szCs w:val="20"/>
                <w:lang w:eastAsia="sk-SK"/>
              </w:rPr>
            </w:pPr>
          </w:p>
          <w:p w14:paraId="151417BA"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 xml:space="preserve">V tab. č. 1 sú uvedené výdavky kapitoly MD SR tak v časti „Financovanie zabezpečené v rozpočte“ ako aj v časti „Rozpočtovo nekrytý vplyv“. </w:t>
            </w:r>
          </w:p>
          <w:p w14:paraId="0C0E6969" w14:textId="77777777" w:rsidR="00A15468" w:rsidRDefault="00A15468" w:rsidP="00CB39E1">
            <w:pPr>
              <w:jc w:val="both"/>
              <w:rPr>
                <w:rFonts w:ascii="Times New Roman" w:eastAsia="Times New Roman" w:hAnsi="Times New Roman" w:cs="Times New Roman"/>
                <w:sz w:val="20"/>
                <w:szCs w:val="20"/>
                <w:lang w:eastAsia="sk-SK"/>
              </w:rPr>
            </w:pPr>
          </w:p>
          <w:p w14:paraId="4F0381E4" w14:textId="0F27FC80" w:rsidR="00A15468" w:rsidRPr="003D4DFA" w:rsidRDefault="00A15468" w:rsidP="00CB39E1">
            <w:pPr>
              <w:jc w:val="both"/>
              <w:rPr>
                <w:rFonts w:ascii="Times New Roman" w:eastAsia="Times New Roman" w:hAnsi="Times New Roman" w:cs="Times New Roman"/>
                <w:sz w:val="20"/>
                <w:szCs w:val="20"/>
                <w:lang w:eastAsia="sk-SK"/>
              </w:rPr>
            </w:pPr>
            <w:r w:rsidRPr="003D4DFA">
              <w:rPr>
                <w:rFonts w:ascii="Times New Roman" w:eastAsia="Times New Roman" w:hAnsi="Times New Roman" w:cs="Times New Roman"/>
                <w:sz w:val="20"/>
                <w:szCs w:val="20"/>
                <w:lang w:eastAsia="sk-SK"/>
              </w:rPr>
              <w:t>Tabuľka č. 1 bola upravená.</w:t>
            </w:r>
          </w:p>
          <w:p w14:paraId="3EDF0413" w14:textId="77777777" w:rsidR="008E0A83" w:rsidRPr="008E0A83" w:rsidRDefault="008E0A83" w:rsidP="00CB39E1">
            <w:pPr>
              <w:jc w:val="both"/>
              <w:rPr>
                <w:rFonts w:ascii="Times New Roman" w:eastAsia="Times New Roman" w:hAnsi="Times New Roman" w:cs="Times New Roman"/>
                <w:b/>
                <w:sz w:val="20"/>
                <w:szCs w:val="20"/>
                <w:lang w:eastAsia="sk-SK"/>
              </w:rPr>
            </w:pPr>
          </w:p>
          <w:p w14:paraId="0CAC2E03"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V tab. č. 1 je potrebné uviesť údaje v časti „Rozpočtovo nekrytý vplyv“ v členení podľa kapitol.</w:t>
            </w:r>
          </w:p>
          <w:p w14:paraId="4C2100AA" w14:textId="77777777" w:rsidR="00A15468" w:rsidRDefault="00A15468" w:rsidP="00CB39E1">
            <w:pPr>
              <w:jc w:val="both"/>
              <w:rPr>
                <w:rFonts w:ascii="Times New Roman" w:eastAsia="Times New Roman" w:hAnsi="Times New Roman" w:cs="Times New Roman"/>
                <w:sz w:val="20"/>
                <w:szCs w:val="20"/>
                <w:lang w:eastAsia="sk-SK"/>
              </w:rPr>
            </w:pPr>
          </w:p>
          <w:p w14:paraId="488D9966" w14:textId="28547BE0" w:rsidR="00A15468" w:rsidRPr="003D4DFA" w:rsidRDefault="00A15468" w:rsidP="00CB39E1">
            <w:pPr>
              <w:jc w:val="both"/>
              <w:rPr>
                <w:rFonts w:ascii="Times New Roman" w:eastAsia="Times New Roman" w:hAnsi="Times New Roman" w:cs="Times New Roman"/>
                <w:sz w:val="20"/>
                <w:szCs w:val="20"/>
                <w:lang w:eastAsia="sk-SK"/>
              </w:rPr>
            </w:pPr>
            <w:r w:rsidRPr="003D4DFA">
              <w:rPr>
                <w:rFonts w:ascii="Times New Roman" w:eastAsia="Times New Roman" w:hAnsi="Times New Roman" w:cs="Times New Roman"/>
                <w:sz w:val="20"/>
                <w:szCs w:val="20"/>
                <w:lang w:eastAsia="sk-SK"/>
              </w:rPr>
              <w:t>Tabuľka č. 1 bola upravená.</w:t>
            </w:r>
          </w:p>
          <w:p w14:paraId="446DEC27" w14:textId="77777777" w:rsidR="008E0A83" w:rsidRPr="008E0A83" w:rsidRDefault="008E0A83" w:rsidP="00CB39E1">
            <w:pPr>
              <w:jc w:val="both"/>
              <w:rPr>
                <w:rFonts w:ascii="Times New Roman" w:eastAsia="Times New Roman" w:hAnsi="Times New Roman" w:cs="Times New Roman"/>
                <w:b/>
                <w:sz w:val="20"/>
                <w:szCs w:val="20"/>
                <w:lang w:eastAsia="sk-SK"/>
              </w:rPr>
            </w:pPr>
          </w:p>
          <w:p w14:paraId="48095D73"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V tab. č. 1 je potrebné doplniť programy v rámci programovej štruktúry dotknutých kapitol.</w:t>
            </w:r>
          </w:p>
          <w:p w14:paraId="69FD65DD" w14:textId="77777777" w:rsidR="00A15468" w:rsidRPr="003D4DFA" w:rsidRDefault="00A15468" w:rsidP="00CB39E1">
            <w:pPr>
              <w:jc w:val="both"/>
              <w:rPr>
                <w:rFonts w:ascii="Times New Roman" w:eastAsia="Times New Roman" w:hAnsi="Times New Roman" w:cs="Times New Roman"/>
                <w:sz w:val="20"/>
                <w:szCs w:val="20"/>
                <w:lang w:eastAsia="sk-SK"/>
              </w:rPr>
            </w:pPr>
            <w:r w:rsidRPr="003D4DFA">
              <w:rPr>
                <w:rFonts w:ascii="Times New Roman" w:eastAsia="Times New Roman" w:hAnsi="Times New Roman" w:cs="Times New Roman"/>
                <w:sz w:val="20"/>
                <w:szCs w:val="20"/>
                <w:lang w:eastAsia="sk-SK"/>
              </w:rPr>
              <w:t>Tabuľka č. 1 bola upravená.</w:t>
            </w:r>
          </w:p>
          <w:p w14:paraId="2A52D0FB" w14:textId="77777777" w:rsidR="008E0A83" w:rsidRPr="008E0A83" w:rsidRDefault="008E0A83" w:rsidP="00CB39E1">
            <w:pPr>
              <w:jc w:val="both"/>
              <w:rPr>
                <w:rFonts w:ascii="Times New Roman" w:eastAsia="Times New Roman" w:hAnsi="Times New Roman" w:cs="Times New Roman"/>
                <w:b/>
                <w:sz w:val="20"/>
                <w:szCs w:val="20"/>
                <w:lang w:eastAsia="sk-SK"/>
              </w:rPr>
            </w:pPr>
          </w:p>
          <w:p w14:paraId="4627FC9C"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V tabuľke č. 5 Komisia žiada upraviť sumu osobných výdavkov v roku 2023 pre kapitolu MD SR (zlý súčet mzdových výdavkov a poistného) ako aj priemerný mzdový výdavok.</w:t>
            </w:r>
          </w:p>
          <w:p w14:paraId="742F4A0F" w14:textId="213C871E" w:rsidR="00A15468" w:rsidRPr="003D4DFA" w:rsidRDefault="00A15468" w:rsidP="00CB39E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Dotknutá tabuľka</w:t>
            </w:r>
            <w:r w:rsidRPr="003D4DFA">
              <w:rPr>
                <w:rFonts w:ascii="Times New Roman" w:eastAsia="Times New Roman" w:hAnsi="Times New Roman" w:cs="Times New Roman"/>
                <w:sz w:val="20"/>
                <w:szCs w:val="20"/>
                <w:lang w:eastAsia="sk-SK"/>
              </w:rPr>
              <w:t xml:space="preserve"> bola upravená.</w:t>
            </w:r>
          </w:p>
          <w:p w14:paraId="0712B4D5" w14:textId="77777777" w:rsidR="008E0A83" w:rsidRPr="008E0A83" w:rsidRDefault="008E0A83" w:rsidP="00CB39E1">
            <w:pPr>
              <w:jc w:val="both"/>
              <w:rPr>
                <w:rFonts w:ascii="Times New Roman" w:eastAsia="Times New Roman" w:hAnsi="Times New Roman" w:cs="Times New Roman"/>
                <w:b/>
                <w:sz w:val="20"/>
                <w:szCs w:val="20"/>
                <w:lang w:eastAsia="sk-SK"/>
              </w:rPr>
            </w:pPr>
          </w:p>
          <w:p w14:paraId="73AFFFC8"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V nadväznosti na uvedené pripomienky Komisia žiada upraviť analýzu vplyvov na rozpočet a doložku vybraných vplyvov.</w:t>
            </w:r>
          </w:p>
          <w:p w14:paraId="5F8CB24F" w14:textId="77777777" w:rsidR="00A15468" w:rsidRDefault="00A15468" w:rsidP="00CB39E1">
            <w:pPr>
              <w:jc w:val="both"/>
              <w:rPr>
                <w:rFonts w:ascii="Times New Roman" w:eastAsia="Times New Roman" w:hAnsi="Times New Roman" w:cs="Times New Roman"/>
                <w:b/>
                <w:sz w:val="20"/>
                <w:szCs w:val="20"/>
                <w:lang w:eastAsia="sk-SK"/>
              </w:rPr>
            </w:pPr>
          </w:p>
          <w:p w14:paraId="41F48288" w14:textId="14280D23" w:rsidR="008E0A83" w:rsidRPr="00A76D37" w:rsidRDefault="00A15468" w:rsidP="00CB39E1">
            <w:pPr>
              <w:jc w:val="both"/>
              <w:rPr>
                <w:rFonts w:ascii="Times New Roman" w:eastAsia="Times New Roman" w:hAnsi="Times New Roman" w:cs="Times New Roman"/>
                <w:sz w:val="20"/>
                <w:szCs w:val="20"/>
                <w:lang w:eastAsia="sk-SK"/>
              </w:rPr>
            </w:pPr>
            <w:r w:rsidRPr="00A76D37">
              <w:rPr>
                <w:rFonts w:ascii="Times New Roman" w:eastAsia="Times New Roman" w:hAnsi="Times New Roman" w:cs="Times New Roman"/>
                <w:sz w:val="20"/>
                <w:szCs w:val="20"/>
                <w:lang w:eastAsia="sk-SK"/>
              </w:rPr>
              <w:t>Analýza vplyvov na rozpočet a doložka vybraných vplyvov sú upravené.</w:t>
            </w:r>
          </w:p>
          <w:p w14:paraId="42B6897A" w14:textId="77777777" w:rsidR="00A15468" w:rsidRDefault="00A15468" w:rsidP="00CB39E1">
            <w:pPr>
              <w:jc w:val="both"/>
              <w:rPr>
                <w:rFonts w:ascii="Times New Roman" w:eastAsia="Times New Roman" w:hAnsi="Times New Roman" w:cs="Times New Roman"/>
                <w:b/>
                <w:sz w:val="20"/>
                <w:szCs w:val="20"/>
                <w:lang w:eastAsia="sk-SK"/>
              </w:rPr>
            </w:pPr>
          </w:p>
          <w:p w14:paraId="5C408461" w14:textId="0A74ED0C"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K vplyvom na služby verejnej správy pre občana</w:t>
            </w:r>
          </w:p>
          <w:p w14:paraId="32236970"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Komisia po preskúmaní predmetného materiálu nesúhlasí s vyznačením žiadneho vplyvu na služby verejnej správy na občana a na procesy služieb vo verejnej správe. Predkladateľovi Komisia navrhuje, aby v doložke vybraných vplyvov vyznačil pozitívny vplyv na služby verejnej správy na občana a zároveň negatívny vplyv na procesy služieb vo verejnej správe.</w:t>
            </w:r>
          </w:p>
          <w:p w14:paraId="1390AC41"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Odôvodnenie k návrhu na vyznačenie pozitívneho vplyvu na služby verejnej správy na občana :</w:t>
            </w:r>
          </w:p>
          <w:p w14:paraId="302D06CA"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 xml:space="preserve">Dôvodová správa : </w:t>
            </w:r>
          </w:p>
          <w:p w14:paraId="4A6A50AB"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K bodu 10</w:t>
            </w:r>
          </w:p>
          <w:p w14:paraId="6BA58F6D"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„Cieľom navrhovanej úpravy je upresniť povinnosť sprístupňovať informácie o elektronických službách a informačných technológiách vzhľadom na aplikačnú prax, kedy časť subjektov neaktualizuje informácie a tak dochádza k zverejňovaniu neplatných informácií napríklad na ústrednom portáli verejnej správy, čo môže mať za následok nesprávne informovanie používateľov.“</w:t>
            </w:r>
          </w:p>
          <w:p w14:paraId="497C4A99" w14:textId="77777777" w:rsidR="008E0A83" w:rsidRPr="008E0A83" w:rsidRDefault="008E0A83" w:rsidP="00CB39E1">
            <w:pPr>
              <w:jc w:val="both"/>
              <w:rPr>
                <w:rFonts w:ascii="Times New Roman" w:eastAsia="Times New Roman" w:hAnsi="Times New Roman" w:cs="Times New Roman"/>
                <w:b/>
                <w:sz w:val="20"/>
                <w:szCs w:val="20"/>
                <w:lang w:eastAsia="sk-SK"/>
              </w:rPr>
            </w:pPr>
          </w:p>
          <w:p w14:paraId="4046AF1E"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K bodu 11</w:t>
            </w:r>
          </w:p>
          <w:p w14:paraId="72B8DC13"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„Okrem zvýšenia otvorenosti verejnej správy pri využívaní služieb VS verejnosťou aj formou integrácie aplikačných rozhraní je jednotne manažované poskytovanie aplikačných rozhraní pre integráciu verejnej správy potrebné pre naplnenie strategických zámerov budovania multikanálového prostredia (napr. mobilné aplikácie) a aj využívania verejných cloudových služieb pre implementáciu ISVS.“</w:t>
            </w:r>
          </w:p>
          <w:p w14:paraId="38DFBE5D"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K bodu 20</w:t>
            </w:r>
          </w:p>
          <w:p w14:paraId="7A96BA31"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„Cieľom navrhovanej právnej úpravy odseku 11 je zabezpečiť plnenie povinnosti uvádzania informácií o elektronických službách v centrálnom metainformačnom systéme, ktorý má byť primárnym zdrojom týchto informácií a má umožniť poskytovanie aktuálnych informácií koncovým používateľom ako aj automatizované využitie a kontrolu v informačných systémoch tretích strán a na ústrednom portáli verejnej správy.“</w:t>
            </w:r>
          </w:p>
          <w:p w14:paraId="0371E3CA"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 xml:space="preserve">„Cieľom navrhovaného odseku 12 je ustanoviť výnimky vo vzťahu k povinnosti predkladať zámer na vytvorenie a prevádzkovanie mobilnej aplikácie. Výnimky sú dvojakej povahy. V prvom rade je táto povinnosť zúžená na mobilné aplikácie, ktoré nie sú určené výlučne zamestnancom. Inak povedané, schvaľovanie zámeru sa má týkať mobilnej aplikácie určenej na použitie vo vzťahoch G2C, G2B a G2G, ale nie G2E. </w:t>
            </w:r>
          </w:p>
          <w:p w14:paraId="433C64C5" w14:textId="77777777" w:rsidR="008E0A83" w:rsidRPr="008E0A83" w:rsidRDefault="008E0A83" w:rsidP="00CB39E1">
            <w:pPr>
              <w:jc w:val="both"/>
              <w:rPr>
                <w:rFonts w:ascii="Times New Roman" w:eastAsia="Times New Roman" w:hAnsi="Times New Roman" w:cs="Times New Roman"/>
                <w:b/>
                <w:sz w:val="20"/>
                <w:szCs w:val="20"/>
                <w:lang w:eastAsia="sk-SK"/>
              </w:rPr>
            </w:pPr>
          </w:p>
          <w:p w14:paraId="7EF2AFBB"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Vlastný materiál :</w:t>
            </w:r>
          </w:p>
          <w:p w14:paraId="3F4C94CA"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lastRenderedPageBreak/>
              <w:t>§ 15 sa dopĺňa odsekmi 11 a 12, ktoré znejú:</w:t>
            </w:r>
          </w:p>
          <w:p w14:paraId="77F4ECF6"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„(11) Správca sprístupní elektronickú službu verejnej správy alebo inú informačnú technológiu verejnej správy na používanie verejnosti až po sprístupnení informácie o elektronickej službe verejnej správy alebo informačnej technológii verejnej správy v centrálnom metainformačnom systéme verejnej správy podľa § 12 ods. 1 písm. b).</w:t>
            </w:r>
          </w:p>
          <w:p w14:paraId="0A338292" w14:textId="77777777" w:rsidR="008E0A83" w:rsidRPr="008E0A83" w:rsidRDefault="008E0A83" w:rsidP="00CB39E1">
            <w:pPr>
              <w:jc w:val="both"/>
              <w:rPr>
                <w:rFonts w:ascii="Times New Roman" w:eastAsia="Times New Roman" w:hAnsi="Times New Roman" w:cs="Times New Roman"/>
                <w:b/>
                <w:sz w:val="20"/>
                <w:szCs w:val="20"/>
                <w:lang w:eastAsia="sk-SK"/>
              </w:rPr>
            </w:pPr>
          </w:p>
          <w:p w14:paraId="7524CF69"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Všeobecne :</w:t>
            </w:r>
          </w:p>
          <w:p w14:paraId="2035EE13"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 xml:space="preserve">Občanom je v kontexte tejto analýzy je fyzická osoba, ktorá nevykonáva podnikateľskú činnosť alebo inú činnosť ako samostatne zárobkovo činná osoba. Službou verejnej správy v kontexte tejto analýzy je potrebné chápať úkony, ktoré sú realizované a poskytované občanom v rámci jednotlivých segmentov verejnej správy. </w:t>
            </w:r>
          </w:p>
          <w:p w14:paraId="4FFB1D5A" w14:textId="77777777" w:rsidR="008E0A83" w:rsidRPr="008E0A83" w:rsidRDefault="008E0A83" w:rsidP="00CB39E1">
            <w:pPr>
              <w:jc w:val="both"/>
              <w:rPr>
                <w:rFonts w:ascii="Times New Roman" w:eastAsia="Times New Roman" w:hAnsi="Times New Roman" w:cs="Times New Roman"/>
                <w:b/>
                <w:sz w:val="20"/>
                <w:szCs w:val="20"/>
                <w:lang w:eastAsia="sk-SK"/>
              </w:rPr>
            </w:pPr>
          </w:p>
          <w:p w14:paraId="6FA1E65A"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Na základe vyššie uvedeného Komisia navrhuje predkladateľovi vyznačiť pozitívny vplyv na služby verejnej správy na občana v doložke vybraných vplyvov.</w:t>
            </w:r>
          </w:p>
          <w:p w14:paraId="6178B97F" w14:textId="77777777" w:rsidR="00A15468" w:rsidRDefault="00A15468" w:rsidP="00CB39E1">
            <w:pPr>
              <w:jc w:val="both"/>
              <w:rPr>
                <w:rFonts w:ascii="Times New Roman" w:eastAsia="Times New Roman" w:hAnsi="Times New Roman" w:cs="Times New Roman"/>
                <w:b/>
                <w:sz w:val="20"/>
                <w:szCs w:val="20"/>
                <w:lang w:eastAsia="sk-SK"/>
              </w:rPr>
            </w:pPr>
          </w:p>
          <w:p w14:paraId="6A269C9D" w14:textId="63C24904" w:rsidR="00A15468" w:rsidRPr="00A76D37" w:rsidRDefault="00A15468" w:rsidP="00CB39E1">
            <w:pPr>
              <w:jc w:val="both"/>
              <w:rPr>
                <w:rFonts w:ascii="Times New Roman" w:eastAsia="Times New Roman" w:hAnsi="Times New Roman" w:cs="Times New Roman"/>
                <w:sz w:val="20"/>
                <w:szCs w:val="20"/>
                <w:lang w:eastAsia="sk-SK"/>
              </w:rPr>
            </w:pPr>
            <w:r w:rsidRPr="00A76D37">
              <w:rPr>
                <w:rFonts w:ascii="Times New Roman" w:eastAsia="Times New Roman" w:hAnsi="Times New Roman" w:cs="Times New Roman"/>
                <w:sz w:val="20"/>
                <w:szCs w:val="20"/>
                <w:lang w:eastAsia="sk-SK"/>
              </w:rPr>
              <w:t xml:space="preserve">V doložke vybraných vplyvov bol vyznačený pozitívny vplyv na </w:t>
            </w:r>
            <w:r>
              <w:rPr>
                <w:rFonts w:ascii="Times New Roman" w:eastAsia="Times New Roman" w:hAnsi="Times New Roman" w:cs="Times New Roman"/>
                <w:sz w:val="20"/>
                <w:szCs w:val="20"/>
                <w:lang w:eastAsia="sk-SK"/>
              </w:rPr>
              <w:t xml:space="preserve">služby verejnej správy a na </w:t>
            </w:r>
            <w:r w:rsidRPr="00A76D37">
              <w:rPr>
                <w:rFonts w:ascii="Times New Roman" w:eastAsia="Times New Roman" w:hAnsi="Times New Roman" w:cs="Times New Roman"/>
                <w:sz w:val="20"/>
                <w:szCs w:val="20"/>
                <w:lang w:eastAsia="sk-SK"/>
              </w:rPr>
              <w:t>občana</w:t>
            </w:r>
            <w:r>
              <w:rPr>
                <w:rFonts w:ascii="Times New Roman" w:eastAsia="Times New Roman" w:hAnsi="Times New Roman" w:cs="Times New Roman"/>
                <w:sz w:val="20"/>
                <w:szCs w:val="20"/>
                <w:lang w:eastAsia="sk-SK"/>
              </w:rPr>
              <w:t>.</w:t>
            </w:r>
          </w:p>
          <w:p w14:paraId="4B682D79" w14:textId="77777777" w:rsidR="00A15468" w:rsidRDefault="00A15468" w:rsidP="00CB39E1">
            <w:pPr>
              <w:jc w:val="both"/>
              <w:rPr>
                <w:rFonts w:ascii="Times New Roman" w:eastAsia="Times New Roman" w:hAnsi="Times New Roman" w:cs="Times New Roman"/>
                <w:b/>
                <w:sz w:val="20"/>
                <w:szCs w:val="20"/>
                <w:lang w:eastAsia="sk-SK"/>
              </w:rPr>
            </w:pPr>
          </w:p>
          <w:p w14:paraId="310EF0AD" w14:textId="5C9496C0" w:rsidR="008E0A83" w:rsidRPr="008E0A83" w:rsidRDefault="00A15468" w:rsidP="00CB39E1">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Analýza</w:t>
            </w:r>
          </w:p>
          <w:p w14:paraId="2533D891"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Odôvodnenie k návrhu na vyznačenie negatívneho vplyvu na procesy služieb vo verejnej správe:</w:t>
            </w:r>
          </w:p>
          <w:p w14:paraId="51080399"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Dôvodová správa :</w:t>
            </w:r>
          </w:p>
          <w:p w14:paraId="3B7EE504"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K bodu 13 :</w:t>
            </w:r>
          </w:p>
          <w:p w14:paraId="0E249B87"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Navrhuje sa zavedenie povinnosti pre orgány riadenia aktualizovať koncepciu rozvoja tak, aby bol zabezpečený súlad s národnou koncepciou a schváleným akčným plánom, ktorý je vydaný na jej základe, najmenej raz za 12 mesiacov. Orgány riadenia budú povinné evidovať v centrálnom metainformačnom systéme verejnej správy koncepcie rozvoja a ich aktualizácie,  a to bezodkladne po vypracovaní alebo jej aktualizácií.</w:t>
            </w:r>
          </w:p>
          <w:p w14:paraId="2D6F520D" w14:textId="77777777" w:rsidR="008E0A83" w:rsidRPr="008E0A83" w:rsidRDefault="008E0A83" w:rsidP="00CB39E1">
            <w:pPr>
              <w:jc w:val="both"/>
              <w:rPr>
                <w:rFonts w:ascii="Times New Roman" w:eastAsia="Times New Roman" w:hAnsi="Times New Roman" w:cs="Times New Roman"/>
                <w:b/>
                <w:sz w:val="20"/>
                <w:szCs w:val="20"/>
                <w:lang w:eastAsia="sk-SK"/>
              </w:rPr>
            </w:pPr>
          </w:p>
          <w:p w14:paraId="22AB858E"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K bodu 20 :</w:t>
            </w:r>
          </w:p>
          <w:p w14:paraId="292F6158"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„Cieľom navrhovaného odseku 12 je ustanoviť výnimky vo vzťahu k povinnosti predkladať zámer na vytvorenie a prevádzkovanie mobilnej aplikácie. Výnimky sú dvojakej povahy. V prvom rade je táto povinnosť zúžená na mobilné aplikácie, ktoré nie sú určené výlučne zamestnancom. Inak povedané, schvaľovanie zámeru sa má týkať mobilnej aplikácie určenej na použitie vo vzťahoch G2C, G2B a G2G, ale nie G2E. Druhá výnimka je statusovo ustanovená – povinnosť predkladania zámeru sa nemá vzťahovať na konkrétne vymedzené orgány riadenia, a to buď z dôvodu ich postavenia v rámci verejnej správy len v časti ich činnosti, alebo z pohľadu ich samosprávnej povahy, či už územnej, alebo profesnej.“</w:t>
            </w:r>
          </w:p>
          <w:p w14:paraId="19B62EC2" w14:textId="77777777" w:rsidR="008E0A83" w:rsidRPr="008E0A83" w:rsidRDefault="008E0A83" w:rsidP="00CB39E1">
            <w:pPr>
              <w:jc w:val="both"/>
              <w:rPr>
                <w:rFonts w:ascii="Times New Roman" w:eastAsia="Times New Roman" w:hAnsi="Times New Roman" w:cs="Times New Roman"/>
                <w:b/>
                <w:sz w:val="20"/>
                <w:szCs w:val="20"/>
                <w:lang w:eastAsia="sk-SK"/>
              </w:rPr>
            </w:pPr>
          </w:p>
          <w:p w14:paraId="7D2C8E62"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Vlastný materiál :</w:t>
            </w:r>
          </w:p>
          <w:p w14:paraId="315F3180"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V § 9 sa odsek 1 dopĺňa písmenom w), ktoré znie:</w:t>
            </w:r>
          </w:p>
          <w:p w14:paraId="2BFAC48E"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„w) koordinuje elektronizáciu agendy verejnej správy v rámci životnej situácie a usmerňuje medzirezortnú spoluprácu orgánov riadenia pri vytváraní, aktualizácii a poskytovaní elektronických služieb verejnej správy v rámci životnej situácie.“.</w:t>
            </w:r>
          </w:p>
          <w:p w14:paraId="4E53593F" w14:textId="77777777" w:rsidR="008E0A83" w:rsidRPr="008E0A83" w:rsidRDefault="008E0A83" w:rsidP="00CB39E1">
            <w:pPr>
              <w:jc w:val="both"/>
              <w:rPr>
                <w:rFonts w:ascii="Times New Roman" w:eastAsia="Times New Roman" w:hAnsi="Times New Roman" w:cs="Times New Roman"/>
                <w:b/>
                <w:sz w:val="20"/>
                <w:szCs w:val="20"/>
                <w:lang w:eastAsia="sk-SK"/>
              </w:rPr>
            </w:pPr>
          </w:p>
          <w:p w14:paraId="6E93A1AC"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Všeobecne:</w:t>
            </w:r>
          </w:p>
          <w:p w14:paraId="30AE30E2"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Zavádzanie nových povinností pre orgán verejnej správy predpokladá negatívny vplyv na procesy služieb vo verejnej správe.</w:t>
            </w:r>
          </w:p>
          <w:p w14:paraId="25960912" w14:textId="77777777" w:rsidR="008E0A83" w:rsidRPr="008E0A83" w:rsidRDefault="008E0A83" w:rsidP="00CB39E1">
            <w:pPr>
              <w:jc w:val="both"/>
              <w:rPr>
                <w:rFonts w:ascii="Times New Roman" w:eastAsia="Times New Roman" w:hAnsi="Times New Roman" w:cs="Times New Roman"/>
                <w:b/>
                <w:sz w:val="20"/>
                <w:szCs w:val="20"/>
                <w:lang w:eastAsia="sk-SK"/>
              </w:rPr>
            </w:pPr>
          </w:p>
          <w:p w14:paraId="07E6CF82"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Na základe vyššie uvedeného navrhuje Komisia predkladateľovi vyznačiť negatívny vplyv na procesy služieb vo verejnej správe v doložke vybraných vplyvov.</w:t>
            </w:r>
          </w:p>
          <w:p w14:paraId="3CB36B25" w14:textId="675A7657" w:rsidR="008E0A83" w:rsidRDefault="008E0A83" w:rsidP="00CB39E1">
            <w:pPr>
              <w:jc w:val="both"/>
              <w:rPr>
                <w:rFonts w:ascii="Times New Roman" w:eastAsia="Times New Roman" w:hAnsi="Times New Roman" w:cs="Times New Roman"/>
                <w:b/>
                <w:sz w:val="20"/>
                <w:szCs w:val="20"/>
                <w:lang w:eastAsia="sk-SK"/>
              </w:rPr>
            </w:pPr>
          </w:p>
          <w:p w14:paraId="147AD90D" w14:textId="587C1153" w:rsidR="00A15468" w:rsidRPr="00A76D37" w:rsidRDefault="00A15468" w:rsidP="00CB39E1">
            <w:pPr>
              <w:jc w:val="both"/>
              <w:rPr>
                <w:rFonts w:ascii="Times New Roman" w:eastAsia="Times New Roman" w:hAnsi="Times New Roman" w:cs="Times New Roman"/>
                <w:sz w:val="20"/>
                <w:szCs w:val="20"/>
                <w:lang w:eastAsia="sk-SK"/>
              </w:rPr>
            </w:pPr>
            <w:r w:rsidRPr="00A76D37">
              <w:rPr>
                <w:rFonts w:ascii="Times New Roman" w:eastAsia="Times New Roman" w:hAnsi="Times New Roman" w:cs="Times New Roman"/>
                <w:sz w:val="20"/>
                <w:szCs w:val="20"/>
                <w:lang w:eastAsia="sk-SK"/>
              </w:rPr>
              <w:t>V doložke vybraných vplyvov je vyznačený negatívny vplyv na procesy služieb vo verejnej správe.</w:t>
            </w:r>
          </w:p>
          <w:p w14:paraId="2AB17EC9" w14:textId="77777777" w:rsidR="00A15468" w:rsidRPr="008E0A83" w:rsidRDefault="00A15468" w:rsidP="00CB39E1">
            <w:pPr>
              <w:jc w:val="both"/>
              <w:rPr>
                <w:rFonts w:ascii="Times New Roman" w:eastAsia="Times New Roman" w:hAnsi="Times New Roman" w:cs="Times New Roman"/>
                <w:b/>
                <w:sz w:val="20"/>
                <w:szCs w:val="20"/>
                <w:lang w:eastAsia="sk-SK"/>
              </w:rPr>
            </w:pPr>
          </w:p>
          <w:p w14:paraId="4A2237C4"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Predkladateľovi tiež Komisia navrhuje, aby v zmysle vyššie uvedeného vypracoval Analýzu vplyvov na služby verejnej správy pre občana.</w:t>
            </w:r>
          </w:p>
          <w:p w14:paraId="777CDF9D" w14:textId="77777777" w:rsidR="00A76D37" w:rsidRDefault="00A76D37" w:rsidP="00CB39E1">
            <w:pPr>
              <w:jc w:val="both"/>
              <w:rPr>
                <w:rFonts w:ascii="Times New Roman" w:eastAsia="Times New Roman" w:hAnsi="Times New Roman" w:cs="Times New Roman"/>
                <w:sz w:val="20"/>
                <w:szCs w:val="20"/>
                <w:lang w:eastAsia="sk-SK"/>
              </w:rPr>
            </w:pPr>
          </w:p>
          <w:p w14:paraId="1DC2456E" w14:textId="209461E9" w:rsidR="008E0A83" w:rsidRPr="00A76D37" w:rsidRDefault="00A15468" w:rsidP="00CB39E1">
            <w:pPr>
              <w:jc w:val="both"/>
              <w:rPr>
                <w:rFonts w:ascii="Times New Roman" w:eastAsia="Times New Roman" w:hAnsi="Times New Roman" w:cs="Times New Roman"/>
                <w:sz w:val="20"/>
                <w:szCs w:val="20"/>
                <w:lang w:eastAsia="sk-SK"/>
              </w:rPr>
            </w:pPr>
            <w:r w:rsidRPr="00A76D37">
              <w:rPr>
                <w:rFonts w:ascii="Times New Roman" w:eastAsia="Times New Roman" w:hAnsi="Times New Roman" w:cs="Times New Roman"/>
                <w:sz w:val="20"/>
                <w:szCs w:val="20"/>
                <w:lang w:eastAsia="sk-SK"/>
              </w:rPr>
              <w:t>Analýza vplyvov na služby verejnej správy pre občana bola vypracovaná a doplnená.</w:t>
            </w:r>
          </w:p>
          <w:p w14:paraId="2C4A9744" w14:textId="77777777" w:rsidR="00A76D37" w:rsidRDefault="00A76D37" w:rsidP="00CB39E1">
            <w:pPr>
              <w:jc w:val="both"/>
              <w:rPr>
                <w:rFonts w:ascii="Times New Roman" w:eastAsia="Times New Roman" w:hAnsi="Times New Roman" w:cs="Times New Roman"/>
                <w:b/>
                <w:sz w:val="20"/>
                <w:szCs w:val="20"/>
                <w:lang w:eastAsia="sk-SK"/>
              </w:rPr>
            </w:pPr>
          </w:p>
          <w:p w14:paraId="40EE3DAA" w14:textId="4BFC620E"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 xml:space="preserve">III. Záver: Stála pracovná komisia na posudzovanie vybraných vplyvov vyjadruje </w:t>
            </w:r>
          </w:p>
          <w:p w14:paraId="0EC07F26" w14:textId="77777777" w:rsidR="008E0A83" w:rsidRPr="008E0A83" w:rsidRDefault="008E0A83" w:rsidP="00CB39E1">
            <w:pPr>
              <w:jc w:val="both"/>
              <w:rPr>
                <w:rFonts w:ascii="Times New Roman" w:eastAsia="Times New Roman" w:hAnsi="Times New Roman" w:cs="Times New Roman"/>
                <w:b/>
                <w:sz w:val="20"/>
                <w:szCs w:val="20"/>
                <w:lang w:eastAsia="sk-SK"/>
              </w:rPr>
            </w:pPr>
          </w:p>
          <w:p w14:paraId="09DA86DC"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nesúhlasné stanovisko</w:t>
            </w:r>
          </w:p>
          <w:p w14:paraId="1F74664A" w14:textId="77777777" w:rsidR="008E0A83" w:rsidRPr="008E0A83" w:rsidRDefault="008E0A83" w:rsidP="00CB39E1">
            <w:pPr>
              <w:jc w:val="both"/>
              <w:rPr>
                <w:rFonts w:ascii="Times New Roman" w:eastAsia="Times New Roman" w:hAnsi="Times New Roman" w:cs="Times New Roman"/>
                <w:b/>
                <w:sz w:val="20"/>
                <w:szCs w:val="20"/>
                <w:lang w:eastAsia="sk-SK"/>
              </w:rPr>
            </w:pPr>
          </w:p>
          <w:p w14:paraId="4F84D97B"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lastRenderedPageBreak/>
              <w:t>s materiálom predloženým na záverečné posúdenie.</w:t>
            </w:r>
          </w:p>
          <w:p w14:paraId="36983128" w14:textId="77777777" w:rsidR="008E0A83" w:rsidRPr="008E0A83" w:rsidRDefault="008E0A83" w:rsidP="00CB39E1">
            <w:pPr>
              <w:jc w:val="both"/>
              <w:rPr>
                <w:rFonts w:ascii="Times New Roman" w:eastAsia="Times New Roman" w:hAnsi="Times New Roman" w:cs="Times New Roman"/>
                <w:b/>
                <w:sz w:val="20"/>
                <w:szCs w:val="20"/>
                <w:lang w:eastAsia="sk-SK"/>
              </w:rPr>
            </w:pPr>
          </w:p>
          <w:p w14:paraId="07A28D79" w14:textId="77777777" w:rsidR="008E0A83" w:rsidRPr="008E0A83"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IV. Poznámka: Predkladateľ zapracuje pripomienky a odporúčania na úpravu uvedené v bode II a uvedie stanovisko Komisie do doložky vybraných vplyvov spolu s vyhodnotením pripomienok.</w:t>
            </w:r>
          </w:p>
          <w:p w14:paraId="021A0871" w14:textId="77777777" w:rsidR="008E0A83" w:rsidRPr="008E0A83" w:rsidRDefault="008E0A83" w:rsidP="00CB39E1">
            <w:pPr>
              <w:jc w:val="both"/>
              <w:rPr>
                <w:rFonts w:ascii="Times New Roman" w:eastAsia="Times New Roman" w:hAnsi="Times New Roman" w:cs="Times New Roman"/>
                <w:b/>
                <w:sz w:val="20"/>
                <w:szCs w:val="20"/>
                <w:lang w:eastAsia="sk-SK"/>
              </w:rPr>
            </w:pPr>
          </w:p>
          <w:p w14:paraId="32C7243A" w14:textId="3BC29458" w:rsidR="001B23B7" w:rsidRPr="00B043B4" w:rsidRDefault="008E0A83" w:rsidP="00CB39E1">
            <w:pPr>
              <w:jc w:val="both"/>
              <w:rPr>
                <w:rFonts w:ascii="Times New Roman" w:eastAsia="Times New Roman" w:hAnsi="Times New Roman" w:cs="Times New Roman"/>
                <w:b/>
                <w:sz w:val="20"/>
                <w:szCs w:val="20"/>
                <w:lang w:eastAsia="sk-SK"/>
              </w:rPr>
            </w:pPr>
            <w:r w:rsidRPr="008E0A83">
              <w:rPr>
                <w:rFonts w:ascii="Times New Roman" w:eastAsia="Times New Roman" w:hAnsi="Times New Roman" w:cs="Times New Roman"/>
                <w:b/>
                <w:sz w:val="20"/>
                <w:szCs w:val="20"/>
                <w:lang w:eastAsia="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1CC5953F" w14:textId="77777777" w:rsidR="001B23B7" w:rsidRPr="00B043B4" w:rsidRDefault="001B23B7" w:rsidP="000800FC">
            <w:pPr>
              <w:rPr>
                <w:rFonts w:ascii="Times New Roman" w:eastAsia="Times New Roman" w:hAnsi="Times New Roman" w:cs="Times New Roman"/>
                <w:b/>
                <w:sz w:val="20"/>
                <w:szCs w:val="20"/>
                <w:lang w:eastAsia="sk-SK"/>
              </w:rPr>
            </w:pPr>
          </w:p>
        </w:tc>
      </w:tr>
    </w:tbl>
    <w:p w14:paraId="5EABFAEB" w14:textId="77777777" w:rsidR="00274130" w:rsidRDefault="00F63E97"/>
    <w:sectPr w:rsidR="00274130" w:rsidSect="001E356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7D873" w14:textId="77777777" w:rsidR="00F63E97" w:rsidRDefault="00F63E97" w:rsidP="001B23B7">
      <w:pPr>
        <w:spacing w:after="0" w:line="240" w:lineRule="auto"/>
      </w:pPr>
      <w:r>
        <w:separator/>
      </w:r>
    </w:p>
  </w:endnote>
  <w:endnote w:type="continuationSeparator" w:id="0">
    <w:p w14:paraId="480475BE" w14:textId="77777777" w:rsidR="00F63E97" w:rsidRDefault="00F63E97"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74CBA760" w14:textId="751B3353"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B39E1">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14:paraId="43E0F5BA"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9EE70" w14:textId="77777777" w:rsidR="00F63E97" w:rsidRDefault="00F63E97" w:rsidP="001B23B7">
      <w:pPr>
        <w:spacing w:after="0" w:line="240" w:lineRule="auto"/>
      </w:pPr>
      <w:r>
        <w:separator/>
      </w:r>
    </w:p>
  </w:footnote>
  <w:footnote w:type="continuationSeparator" w:id="0">
    <w:p w14:paraId="1C1ED562" w14:textId="77777777" w:rsidR="00F63E97" w:rsidRDefault="00F63E97"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1132"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35388275"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50E11"/>
    <w:multiLevelType w:val="hybridMultilevel"/>
    <w:tmpl w:val="8DB6FDF2"/>
    <w:lvl w:ilvl="0" w:tplc="603EB89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21094"/>
    <w:rsid w:val="00043706"/>
    <w:rsid w:val="000725BE"/>
    <w:rsid w:val="0007387C"/>
    <w:rsid w:val="00097069"/>
    <w:rsid w:val="000D1AE1"/>
    <w:rsid w:val="000D348F"/>
    <w:rsid w:val="000F2BE9"/>
    <w:rsid w:val="00133BFA"/>
    <w:rsid w:val="00157FA3"/>
    <w:rsid w:val="001705F2"/>
    <w:rsid w:val="0017315F"/>
    <w:rsid w:val="00175C53"/>
    <w:rsid w:val="001B23B7"/>
    <w:rsid w:val="001E3562"/>
    <w:rsid w:val="001E5F11"/>
    <w:rsid w:val="00203EE3"/>
    <w:rsid w:val="0023360B"/>
    <w:rsid w:val="00243652"/>
    <w:rsid w:val="00252EA0"/>
    <w:rsid w:val="002E7943"/>
    <w:rsid w:val="002F1172"/>
    <w:rsid w:val="002F3708"/>
    <w:rsid w:val="003145AE"/>
    <w:rsid w:val="00383F88"/>
    <w:rsid w:val="003917B0"/>
    <w:rsid w:val="003A057B"/>
    <w:rsid w:val="003E7526"/>
    <w:rsid w:val="0043097A"/>
    <w:rsid w:val="00433106"/>
    <w:rsid w:val="0049476D"/>
    <w:rsid w:val="004A4383"/>
    <w:rsid w:val="004C6831"/>
    <w:rsid w:val="0052205A"/>
    <w:rsid w:val="00547186"/>
    <w:rsid w:val="005525D2"/>
    <w:rsid w:val="00591EC6"/>
    <w:rsid w:val="005976F8"/>
    <w:rsid w:val="005C4AA7"/>
    <w:rsid w:val="006237C6"/>
    <w:rsid w:val="006328A2"/>
    <w:rsid w:val="00633CDF"/>
    <w:rsid w:val="0068500A"/>
    <w:rsid w:val="006C046F"/>
    <w:rsid w:val="006C5951"/>
    <w:rsid w:val="006F678E"/>
    <w:rsid w:val="006F6B62"/>
    <w:rsid w:val="00720322"/>
    <w:rsid w:val="0075197E"/>
    <w:rsid w:val="00760E53"/>
    <w:rsid w:val="00761208"/>
    <w:rsid w:val="0077355F"/>
    <w:rsid w:val="007858CF"/>
    <w:rsid w:val="007B40C1"/>
    <w:rsid w:val="007D59A8"/>
    <w:rsid w:val="007F3C74"/>
    <w:rsid w:val="008278EF"/>
    <w:rsid w:val="00842C37"/>
    <w:rsid w:val="00865E81"/>
    <w:rsid w:val="008801B5"/>
    <w:rsid w:val="008B222D"/>
    <w:rsid w:val="008B2712"/>
    <w:rsid w:val="008C79B7"/>
    <w:rsid w:val="008E0A83"/>
    <w:rsid w:val="0090018F"/>
    <w:rsid w:val="009431E3"/>
    <w:rsid w:val="009475F5"/>
    <w:rsid w:val="00962CD9"/>
    <w:rsid w:val="009717F5"/>
    <w:rsid w:val="009B183F"/>
    <w:rsid w:val="009C424C"/>
    <w:rsid w:val="009E09F7"/>
    <w:rsid w:val="009F1959"/>
    <w:rsid w:val="009F4832"/>
    <w:rsid w:val="00A01E8B"/>
    <w:rsid w:val="00A15468"/>
    <w:rsid w:val="00A26D32"/>
    <w:rsid w:val="00A340BB"/>
    <w:rsid w:val="00A76D37"/>
    <w:rsid w:val="00AC30D6"/>
    <w:rsid w:val="00B124E8"/>
    <w:rsid w:val="00B52461"/>
    <w:rsid w:val="00B547F5"/>
    <w:rsid w:val="00B84F87"/>
    <w:rsid w:val="00BA2BF4"/>
    <w:rsid w:val="00C71C2F"/>
    <w:rsid w:val="00CA4250"/>
    <w:rsid w:val="00CA7624"/>
    <w:rsid w:val="00CB39E1"/>
    <w:rsid w:val="00CB3D3E"/>
    <w:rsid w:val="00CB42BB"/>
    <w:rsid w:val="00CD4FDB"/>
    <w:rsid w:val="00CD603D"/>
    <w:rsid w:val="00CE6AAE"/>
    <w:rsid w:val="00CF1A25"/>
    <w:rsid w:val="00CF76D6"/>
    <w:rsid w:val="00D2313B"/>
    <w:rsid w:val="00D50F1E"/>
    <w:rsid w:val="00D5446D"/>
    <w:rsid w:val="00DD1807"/>
    <w:rsid w:val="00DE7178"/>
    <w:rsid w:val="00DF357C"/>
    <w:rsid w:val="00DF6F0C"/>
    <w:rsid w:val="00E60810"/>
    <w:rsid w:val="00E721DB"/>
    <w:rsid w:val="00ED1AC0"/>
    <w:rsid w:val="00EF0C71"/>
    <w:rsid w:val="00EF1E6A"/>
    <w:rsid w:val="00F13038"/>
    <w:rsid w:val="00F63E97"/>
    <w:rsid w:val="00F7379A"/>
    <w:rsid w:val="00F83300"/>
    <w:rsid w:val="00F87681"/>
    <w:rsid w:val="00FA02DB"/>
    <w:rsid w:val="00FC07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0E82"/>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Odkaznakomentr">
    <w:name w:val="annotation reference"/>
    <w:basedOn w:val="Predvolenpsmoodseku"/>
    <w:uiPriority w:val="99"/>
    <w:semiHidden/>
    <w:unhideWhenUsed/>
    <w:rsid w:val="00CA7624"/>
    <w:rPr>
      <w:sz w:val="16"/>
      <w:szCs w:val="16"/>
    </w:rPr>
  </w:style>
  <w:style w:type="paragraph" w:styleId="Textkomentra">
    <w:name w:val="annotation text"/>
    <w:basedOn w:val="Normlny"/>
    <w:link w:val="TextkomentraChar"/>
    <w:uiPriority w:val="99"/>
    <w:semiHidden/>
    <w:unhideWhenUsed/>
    <w:rsid w:val="00CA7624"/>
    <w:pPr>
      <w:spacing w:line="240" w:lineRule="auto"/>
    </w:pPr>
    <w:rPr>
      <w:sz w:val="20"/>
      <w:szCs w:val="20"/>
    </w:rPr>
  </w:style>
  <w:style w:type="character" w:customStyle="1" w:styleId="TextkomentraChar">
    <w:name w:val="Text komentára Char"/>
    <w:basedOn w:val="Predvolenpsmoodseku"/>
    <w:link w:val="Textkomentra"/>
    <w:uiPriority w:val="99"/>
    <w:semiHidden/>
    <w:rsid w:val="00CA7624"/>
    <w:rPr>
      <w:sz w:val="20"/>
      <w:szCs w:val="20"/>
    </w:rPr>
  </w:style>
  <w:style w:type="paragraph" w:styleId="Normlnywebov">
    <w:name w:val="Normal (Web)"/>
    <w:basedOn w:val="Normlny"/>
    <w:uiPriority w:val="99"/>
    <w:unhideWhenUsed/>
    <w:rsid w:val="00CA762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CA7624"/>
    <w:rPr>
      <w:color w:val="0563C1" w:themeColor="hyperlink"/>
      <w:u w:val="single"/>
    </w:rPr>
  </w:style>
  <w:style w:type="paragraph" w:styleId="Zarkazkladnhotextu">
    <w:name w:val="Body Text Indent"/>
    <w:basedOn w:val="Normlny"/>
    <w:link w:val="ZarkazkladnhotextuChar"/>
    <w:semiHidden/>
    <w:rsid w:val="00CA7624"/>
    <w:pPr>
      <w:spacing w:after="0" w:line="240" w:lineRule="auto"/>
      <w:ind w:firstLine="540"/>
      <w:jc w:val="both"/>
    </w:pPr>
    <w:rPr>
      <w:rFonts w:ascii="Times New Roman" w:eastAsia="Arial" w:hAnsi="Times New Roman" w:cs="Times New Roman"/>
      <w:sz w:val="24"/>
      <w:szCs w:val="20"/>
      <w:lang w:eastAsia="sk-SK"/>
    </w:rPr>
  </w:style>
  <w:style w:type="character" w:customStyle="1" w:styleId="ZarkazkladnhotextuChar">
    <w:name w:val="Zarážka základného textu Char"/>
    <w:basedOn w:val="Predvolenpsmoodseku"/>
    <w:link w:val="Zarkazkladnhotextu"/>
    <w:semiHidden/>
    <w:rsid w:val="00CA7624"/>
    <w:rPr>
      <w:rFonts w:ascii="Times New Roman" w:eastAsia="Arial" w:hAnsi="Times New Roman" w:cs="Times New Roman"/>
      <w:sz w:val="24"/>
      <w:szCs w:val="20"/>
      <w:lang w:eastAsia="sk-SK"/>
    </w:rPr>
  </w:style>
  <w:style w:type="paragraph" w:styleId="Odsekzoznamu">
    <w:name w:val="List Paragraph"/>
    <w:basedOn w:val="Normlny"/>
    <w:uiPriority w:val="34"/>
    <w:qFormat/>
    <w:rsid w:val="007858C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olina.kabatova@mirri.gov.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kub.dolina@mirri.gov.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4" ma:contentTypeDescription="Create a new document." ma:contentTypeScope="" ma:versionID="8e962dba40445628f1c5b4f54e22807d">
  <xsd:schema xmlns:xsd="http://www.w3.org/2001/XMLSchema" xmlns:xs="http://www.w3.org/2001/XMLSchema" xmlns:p="http://schemas.microsoft.com/office/2006/metadata/properties" xmlns:ns2="d26c6947-7193-433e-9fee-b9383e5fa34c" xmlns:ns3="4e491ae2-bd53-4995-98ac-e251fc1d93db" targetNamespace="http://schemas.microsoft.com/office/2006/metadata/properties" ma:root="true" ma:fieldsID="fabb74d6aa14c965a5d5bd6b7d960d7e" ns2:_="" ns3:_="">
    <xsd:import namespace="d26c6947-7193-433e-9fee-b9383e5fa34c"/>
    <xsd:import namespace="4e491ae2-bd53-4995-98ac-e251fc1d9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074e46-be42-49cb-8029-13db79c297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1ae2-bd53-4995-98ac-e251fc1d93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9b0d3b-acb5-4b54-bf8f-581fcd62b9ea}" ma:internalName="TaxCatchAll" ma:showField="CatchAllData" ma:web="4e491ae2-bd53-4995-98ac-e251fc1d9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C11F-70CF-4FF7-A4EB-D1BD6FD81227}">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3109B4BD-3D19-4778-BFC8-A6DA87819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4e491ae2-bd53-4995-98ac-e251fc1d9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9AA61-9E3F-4405-B980-88EA94B4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3822</Words>
  <Characters>21790</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Kabátová, Karolína</cp:lastModifiedBy>
  <cp:revision>2</cp:revision>
  <dcterms:created xsi:type="dcterms:W3CDTF">2023-03-22T12:36:00Z</dcterms:created>
  <dcterms:modified xsi:type="dcterms:W3CDTF">2023-03-22T12:36:00Z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