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0" w:rsidRPr="005D0BF4" w:rsidRDefault="006D4CA7" w:rsidP="005D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0BF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3B2BE7" w:rsidRPr="005D0BF4" w:rsidRDefault="003B2BE7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CA7" w:rsidRPr="005D0BF4" w:rsidRDefault="006D4CA7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480275" w:rsidRP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rokovacom poriadku Národnej rady Slovenskej republiky Ministerstvo práce, sociálnych vecí a rodiny Slovenskej republiky (ďalej len ,,ministerstvo“)</w:t>
      </w:r>
      <w:r w:rsidR="006B64FC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906EAD" w:rsidRPr="005D0BF4">
        <w:rPr>
          <w:rFonts w:ascii="Times New Roman" w:hAnsi="Times New Roman" w:cs="Times New Roman"/>
          <w:sz w:val="24"/>
          <w:szCs w:val="24"/>
        </w:rPr>
        <w:t xml:space="preserve">ako ústredný orgán štátnej správy </w:t>
      </w:r>
      <w:r w:rsidR="00D300B2" w:rsidRPr="005D0BF4">
        <w:rPr>
          <w:rFonts w:ascii="Times New Roman" w:hAnsi="Times New Roman" w:cs="Times New Roman"/>
          <w:sz w:val="24"/>
          <w:szCs w:val="24"/>
        </w:rPr>
        <w:t>pre podporu sociálneho začlenenia fyzickej osoby s ťažkým zdravotným postihnutím do spoločnosti</w:t>
      </w:r>
      <w:r w:rsidR="00906EAD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 xml:space="preserve">predkladá na rokovanie vlády Slovenskej republiky návrh </w:t>
      </w:r>
      <w:r w:rsidR="00E1245B" w:rsidRPr="005D0BF4">
        <w:rPr>
          <w:rFonts w:ascii="Times New Roman" w:hAnsi="Times New Roman" w:cs="Times New Roman"/>
          <w:sz w:val="24"/>
          <w:szCs w:val="24"/>
        </w:rPr>
        <w:t>poslancov</w:t>
      </w:r>
      <w:r w:rsidR="00A632D8" w:rsidRPr="005D0BF4">
        <w:rPr>
          <w:rFonts w:ascii="Times New Roman" w:hAnsi="Times New Roman" w:cs="Times New Roman"/>
          <w:sz w:val="24"/>
          <w:szCs w:val="24"/>
        </w:rPr>
        <w:t xml:space="preserve"> Národnej </w:t>
      </w:r>
      <w:r w:rsidR="001B6B77" w:rsidRPr="005D0BF4">
        <w:rPr>
          <w:rFonts w:ascii="Times New Roman" w:hAnsi="Times New Roman" w:cs="Times New Roman"/>
          <w:sz w:val="24"/>
          <w:szCs w:val="24"/>
        </w:rPr>
        <w:t>rady Slovenskej republiky Jany Žitňanskej</w:t>
      </w:r>
      <w:r w:rsidR="005A2DA5" w:rsidRPr="005D0BF4">
        <w:rPr>
          <w:rFonts w:ascii="Times New Roman" w:hAnsi="Times New Roman" w:cs="Times New Roman"/>
          <w:sz w:val="24"/>
          <w:szCs w:val="24"/>
        </w:rPr>
        <w:t>, Vladimíry Marcinkovej</w:t>
      </w:r>
      <w:r w:rsidR="00E1245B" w:rsidRPr="005D0BF4">
        <w:rPr>
          <w:rFonts w:ascii="Times New Roman" w:hAnsi="Times New Roman" w:cs="Times New Roman"/>
          <w:sz w:val="24"/>
          <w:szCs w:val="24"/>
        </w:rPr>
        <w:t>, Lucie Drábikovej a Ondreja Dostála</w:t>
      </w:r>
      <w:r w:rsidR="001B6B77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>na vydanie zákona, ktorým sa</w:t>
      </w:r>
      <w:r w:rsidR="006B64FC" w:rsidRPr="005D0BF4">
        <w:rPr>
          <w:rFonts w:ascii="Times New Roman" w:hAnsi="Times New Roman" w:cs="Times New Roman"/>
          <w:sz w:val="24"/>
          <w:szCs w:val="24"/>
        </w:rPr>
        <w:t xml:space="preserve"> mení</w:t>
      </w:r>
      <w:r w:rsidR="00E1245B" w:rsidRPr="005D0BF4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6B64FC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>zákon č.</w:t>
      </w:r>
      <w:r w:rsidR="00D300B2" w:rsidRPr="005D0BF4">
        <w:rPr>
          <w:rFonts w:ascii="Times New Roman" w:hAnsi="Times New Roman" w:cs="Times New Roman"/>
          <w:sz w:val="24"/>
          <w:szCs w:val="24"/>
        </w:rPr>
        <w:t> </w:t>
      </w:r>
      <w:r w:rsidR="001B6B77" w:rsidRPr="005D0BF4">
        <w:rPr>
          <w:rFonts w:ascii="Times New Roman" w:hAnsi="Times New Roman" w:cs="Times New Roman"/>
          <w:sz w:val="24"/>
          <w:szCs w:val="24"/>
        </w:rPr>
        <w:t>447/2008</w:t>
      </w:r>
      <w:r w:rsidRPr="005D0BF4">
        <w:rPr>
          <w:rFonts w:ascii="Times New Roman" w:hAnsi="Times New Roman" w:cs="Times New Roman"/>
          <w:sz w:val="24"/>
          <w:szCs w:val="24"/>
        </w:rPr>
        <w:t xml:space="preserve"> Z. z. o</w:t>
      </w:r>
      <w:r w:rsidR="001B6B77" w:rsidRPr="005D0BF4">
        <w:rPr>
          <w:rFonts w:ascii="Times New Roman" w:hAnsi="Times New Roman" w:cs="Times New Roman"/>
          <w:sz w:val="24"/>
          <w:szCs w:val="24"/>
        </w:rPr>
        <w:t> peňažných príspevkoch na kompenzáciu ťažkého zdravotného postihnutia</w:t>
      </w:r>
      <w:r w:rsidR="005E2891" w:rsidRPr="005D0BF4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D527CA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E1245B" w:rsidRPr="005D0BF4">
        <w:rPr>
          <w:rFonts w:ascii="Times New Roman" w:hAnsi="Times New Roman" w:cs="Times New Roman"/>
          <w:sz w:val="24"/>
          <w:szCs w:val="24"/>
        </w:rPr>
        <w:t xml:space="preserve">a ktorým sa dopĺňa zákon č. 245/2008 Z. z. o výchove a vzdelávaní (školský zákon) a o zmene a doplnení niektorých zákonov v znení neskorších predpisov </w:t>
      </w:r>
      <w:r w:rsidRPr="005D0BF4">
        <w:rPr>
          <w:rFonts w:ascii="Times New Roman" w:hAnsi="Times New Roman" w:cs="Times New Roman"/>
          <w:sz w:val="24"/>
          <w:szCs w:val="24"/>
        </w:rPr>
        <w:t xml:space="preserve">(tlač </w:t>
      </w:r>
      <w:r w:rsidR="00E1245B" w:rsidRPr="005D0BF4">
        <w:rPr>
          <w:rFonts w:ascii="Times New Roman" w:hAnsi="Times New Roman" w:cs="Times New Roman"/>
          <w:bCs/>
          <w:sz w:val="24"/>
          <w:szCs w:val="24"/>
        </w:rPr>
        <w:t>1478</w:t>
      </w:r>
      <w:r w:rsidRPr="005D0BF4">
        <w:rPr>
          <w:rFonts w:ascii="Times New Roman" w:hAnsi="Times New Roman" w:cs="Times New Roman"/>
          <w:sz w:val="24"/>
          <w:szCs w:val="24"/>
        </w:rPr>
        <w:t>).</w:t>
      </w:r>
    </w:p>
    <w:p w:rsidR="003B2BE7" w:rsidRPr="005D0BF4" w:rsidRDefault="003B2BE7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CA7" w:rsidRPr="005D0BF4" w:rsidRDefault="006D4CA7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BF4">
        <w:rPr>
          <w:rFonts w:ascii="Times New Roman" w:hAnsi="Times New Roman" w:cs="Times New Roman"/>
          <w:bCs/>
          <w:sz w:val="24"/>
          <w:szCs w:val="24"/>
        </w:rPr>
        <w:t>Ministerstvo k</w:t>
      </w:r>
      <w:r w:rsidR="006B64FC" w:rsidRPr="005D0BF4">
        <w:rPr>
          <w:rFonts w:ascii="Times New Roman" w:hAnsi="Times New Roman" w:cs="Times New Roman"/>
          <w:bCs/>
          <w:sz w:val="24"/>
          <w:szCs w:val="24"/>
        </w:rPr>
        <w:t xml:space="preserve"> predloženému </w:t>
      </w:r>
      <w:r w:rsidRPr="005D0BF4">
        <w:rPr>
          <w:rFonts w:ascii="Times New Roman" w:hAnsi="Times New Roman" w:cs="Times New Roman"/>
          <w:bCs/>
          <w:sz w:val="24"/>
          <w:szCs w:val="24"/>
        </w:rPr>
        <w:t>poslaneckému návrhu uvádza nasledovné:</w:t>
      </w:r>
    </w:p>
    <w:p w:rsidR="003B2BE7" w:rsidRPr="005D0BF4" w:rsidRDefault="003B2BE7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A7" w:rsidRPr="005D0BF4" w:rsidRDefault="006D4CA7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BF4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:rsidR="003B2BE7" w:rsidRPr="005D0BF4" w:rsidRDefault="003B2BE7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74B" w:rsidRPr="005D0BF4" w:rsidRDefault="00B0047C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Predmetom návrhu zákona je</w:t>
      </w:r>
      <w:r w:rsidR="00C5328E" w:rsidRPr="005D0BF4">
        <w:rPr>
          <w:rFonts w:ascii="Times New Roman" w:hAnsi="Times New Roman" w:cs="Times New Roman"/>
          <w:sz w:val="24"/>
          <w:szCs w:val="24"/>
        </w:rPr>
        <w:t xml:space="preserve"> umožniť poskytovanie osobnej asistencie v školách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="00C5328E" w:rsidRPr="005D0BF4">
        <w:rPr>
          <w:rFonts w:ascii="Times New Roman" w:hAnsi="Times New Roman" w:cs="Times New Roman"/>
          <w:sz w:val="24"/>
          <w:szCs w:val="24"/>
        </w:rPr>
        <w:t>školských zariadeniach a tak zabezpečiť podporu detí, žiakov a študentov so zdravotným postihnutím</w:t>
      </w:r>
      <w:r w:rsidR="00B151F9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C5328E" w:rsidRPr="005D0BF4">
        <w:rPr>
          <w:rFonts w:ascii="Times New Roman" w:hAnsi="Times New Roman" w:cs="Times New Roman"/>
          <w:sz w:val="24"/>
          <w:szCs w:val="24"/>
        </w:rPr>
        <w:t>pri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 činnostiach</w:t>
      </w:r>
      <w:r w:rsidR="00413575" w:rsidRPr="005D0BF4">
        <w:rPr>
          <w:rFonts w:ascii="Times New Roman" w:hAnsi="Times New Roman" w:cs="Times New Roman"/>
          <w:sz w:val="24"/>
          <w:szCs w:val="24"/>
        </w:rPr>
        <w:t xml:space="preserve"> podľa prílohy č. 4 zákona č. 447/2008 Z. z. o peňažných príspevkoch na kompenzáciu ťažkého zdravotného postihnutia a o zmene a doplnení niektorých zákonov v znení neskorších predpisov</w:t>
      </w:r>
      <w:r w:rsidR="005E2891" w:rsidRPr="005D0BF4">
        <w:rPr>
          <w:rFonts w:ascii="Times New Roman" w:hAnsi="Times New Roman" w:cs="Times New Roman"/>
          <w:sz w:val="24"/>
          <w:szCs w:val="24"/>
        </w:rPr>
        <w:t xml:space="preserve"> (ďalej len „zákon č. 447/2008 Z. z.“)</w:t>
      </w:r>
      <w:r w:rsidR="00413575" w:rsidRPr="005D0BF4">
        <w:rPr>
          <w:rFonts w:ascii="Times New Roman" w:hAnsi="Times New Roman" w:cs="Times New Roman"/>
          <w:sz w:val="24"/>
          <w:szCs w:val="24"/>
        </w:rPr>
        <w:t xml:space="preserve">. 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5F34AD" w:rsidRPr="005D0BF4">
        <w:rPr>
          <w:rFonts w:ascii="Times New Roman" w:hAnsi="Times New Roman" w:cs="Times New Roman"/>
          <w:sz w:val="24"/>
          <w:szCs w:val="24"/>
        </w:rPr>
        <w:t xml:space="preserve">rozdielne úlohy 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asistenta učiteľa a osobného asistenta, </w:t>
      </w:r>
      <w:r w:rsidR="005F34AD" w:rsidRPr="005D0BF4">
        <w:rPr>
          <w:rFonts w:ascii="Times New Roman" w:hAnsi="Times New Roman" w:cs="Times New Roman"/>
          <w:sz w:val="24"/>
          <w:szCs w:val="24"/>
        </w:rPr>
        <w:t>ktoré sú</w:t>
      </w:r>
      <w:r w:rsidR="00D71743" w:rsidRPr="005D0BF4">
        <w:rPr>
          <w:rFonts w:ascii="Times New Roman" w:hAnsi="Times New Roman" w:cs="Times New Roman"/>
          <w:sz w:val="24"/>
          <w:szCs w:val="24"/>
        </w:rPr>
        <w:t xml:space="preserve"> podľa </w:t>
      </w:r>
      <w:r w:rsidR="006F074B" w:rsidRPr="005D0BF4">
        <w:rPr>
          <w:rFonts w:ascii="Times New Roman" w:hAnsi="Times New Roman" w:cs="Times New Roman"/>
          <w:sz w:val="24"/>
          <w:szCs w:val="24"/>
        </w:rPr>
        <w:t>predkladate</w:t>
      </w:r>
      <w:r w:rsidR="00D71743" w:rsidRPr="005D0BF4">
        <w:rPr>
          <w:rFonts w:ascii="Times New Roman" w:hAnsi="Times New Roman" w:cs="Times New Roman"/>
          <w:sz w:val="24"/>
          <w:szCs w:val="24"/>
        </w:rPr>
        <w:t>ľov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5F34AD" w:rsidRPr="005D0BF4">
        <w:rPr>
          <w:rFonts w:ascii="Times New Roman" w:hAnsi="Times New Roman" w:cs="Times New Roman"/>
          <w:sz w:val="24"/>
          <w:szCs w:val="24"/>
        </w:rPr>
        <w:t>nezameniteľné</w:t>
      </w:r>
      <w:r w:rsidR="005A2DA5" w:rsidRPr="005D0BF4">
        <w:rPr>
          <w:rFonts w:ascii="Times New Roman" w:hAnsi="Times New Roman" w:cs="Times New Roman"/>
          <w:sz w:val="24"/>
          <w:szCs w:val="24"/>
        </w:rPr>
        <w:t>,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D71743" w:rsidRPr="005D0BF4">
        <w:rPr>
          <w:rFonts w:ascii="Times New Roman" w:hAnsi="Times New Roman" w:cs="Times New Roman"/>
          <w:sz w:val="24"/>
          <w:szCs w:val="24"/>
        </w:rPr>
        <w:t>dochádza k situáciám, že deťom</w:t>
      </w:r>
      <w:r w:rsidR="005F7A96" w:rsidRPr="005D0BF4">
        <w:rPr>
          <w:rFonts w:ascii="Times New Roman" w:hAnsi="Times New Roman" w:cs="Times New Roman"/>
          <w:sz w:val="24"/>
          <w:szCs w:val="24"/>
        </w:rPr>
        <w:t>, žiakom/</w:t>
      </w:r>
      <w:r w:rsidR="00D71743" w:rsidRPr="005D0BF4">
        <w:rPr>
          <w:rFonts w:ascii="Times New Roman" w:hAnsi="Times New Roman" w:cs="Times New Roman"/>
          <w:sz w:val="24"/>
          <w:szCs w:val="24"/>
        </w:rPr>
        <w:t xml:space="preserve">študentom so zdravotným postihnutím nie je 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počas školského dňa </w:t>
      </w:r>
      <w:r w:rsidR="00D71743" w:rsidRPr="005D0BF4">
        <w:rPr>
          <w:rFonts w:ascii="Times New Roman" w:hAnsi="Times New Roman" w:cs="Times New Roman"/>
          <w:sz w:val="24"/>
          <w:szCs w:val="24"/>
        </w:rPr>
        <w:t xml:space="preserve">poskytnutá pomoc </w:t>
      </w:r>
      <w:r w:rsidR="006F074B" w:rsidRPr="005D0BF4">
        <w:rPr>
          <w:rFonts w:ascii="Times New Roman" w:hAnsi="Times New Roman" w:cs="Times New Roman"/>
          <w:sz w:val="24"/>
          <w:szCs w:val="24"/>
        </w:rPr>
        <w:t>pri s</w:t>
      </w:r>
      <w:r w:rsidR="00FE449D" w:rsidRPr="005D0BF4">
        <w:rPr>
          <w:rFonts w:ascii="Times New Roman" w:hAnsi="Times New Roman" w:cs="Times New Roman"/>
          <w:sz w:val="24"/>
          <w:szCs w:val="24"/>
        </w:rPr>
        <w:t>eba</w:t>
      </w:r>
      <w:r w:rsidR="006F074B" w:rsidRPr="005D0BF4">
        <w:rPr>
          <w:rFonts w:ascii="Times New Roman" w:hAnsi="Times New Roman" w:cs="Times New Roman"/>
          <w:sz w:val="24"/>
          <w:szCs w:val="24"/>
        </w:rPr>
        <w:t>obslužných úkonoch (napr. podávanie jedla, osobná hygiena).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296B79" w:rsidRPr="005D0BF4">
        <w:rPr>
          <w:rFonts w:ascii="Times New Roman" w:hAnsi="Times New Roman" w:cs="Times New Roman"/>
          <w:sz w:val="24"/>
          <w:szCs w:val="24"/>
        </w:rPr>
        <w:t>Keďže n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iektoré </w:t>
      </w:r>
      <w:r w:rsidR="00296B79" w:rsidRPr="005D0BF4">
        <w:rPr>
          <w:rFonts w:ascii="Times New Roman" w:hAnsi="Times New Roman" w:cs="Times New Roman"/>
          <w:sz w:val="24"/>
          <w:szCs w:val="24"/>
        </w:rPr>
        <w:t xml:space="preserve">sebaobslužné </w:t>
      </w:r>
      <w:r w:rsidR="00A420F0" w:rsidRPr="005D0BF4">
        <w:rPr>
          <w:rFonts w:ascii="Times New Roman" w:hAnsi="Times New Roman" w:cs="Times New Roman"/>
          <w:sz w:val="24"/>
          <w:szCs w:val="24"/>
        </w:rPr>
        <w:t>úkon</w:t>
      </w:r>
      <w:r w:rsidR="00296B79" w:rsidRPr="005D0BF4">
        <w:rPr>
          <w:rFonts w:ascii="Times New Roman" w:hAnsi="Times New Roman" w:cs="Times New Roman"/>
          <w:sz w:val="24"/>
          <w:szCs w:val="24"/>
        </w:rPr>
        <w:t>y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 zasahujú </w:t>
      </w:r>
      <w:r w:rsidR="00296B79" w:rsidRPr="005D0BF4">
        <w:rPr>
          <w:rFonts w:ascii="Times New Roman" w:hAnsi="Times New Roman" w:cs="Times New Roman"/>
          <w:sz w:val="24"/>
          <w:szCs w:val="24"/>
        </w:rPr>
        <w:t xml:space="preserve">aj 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do intímnej sféry </w:t>
      </w:r>
      <w:r w:rsidR="00FE449D" w:rsidRPr="005D0BF4">
        <w:rPr>
          <w:rFonts w:ascii="Times New Roman" w:hAnsi="Times New Roman" w:cs="Times New Roman"/>
          <w:sz w:val="24"/>
          <w:szCs w:val="24"/>
        </w:rPr>
        <w:t>dieťaťa, žiaka/</w:t>
      </w:r>
      <w:r w:rsidR="00296B79" w:rsidRPr="005D0BF4">
        <w:rPr>
          <w:rFonts w:ascii="Times New Roman" w:hAnsi="Times New Roman" w:cs="Times New Roman"/>
          <w:sz w:val="24"/>
          <w:szCs w:val="24"/>
        </w:rPr>
        <w:t xml:space="preserve">študenta so </w:t>
      </w:r>
      <w:r w:rsidR="00A420F0" w:rsidRPr="005D0BF4">
        <w:rPr>
          <w:rFonts w:ascii="Times New Roman" w:hAnsi="Times New Roman" w:cs="Times New Roman"/>
          <w:sz w:val="24"/>
          <w:szCs w:val="24"/>
        </w:rPr>
        <w:t>zdravotn</w:t>
      </w:r>
      <w:r w:rsidR="00296B79" w:rsidRPr="005D0BF4">
        <w:rPr>
          <w:rFonts w:ascii="Times New Roman" w:hAnsi="Times New Roman" w:cs="Times New Roman"/>
          <w:sz w:val="24"/>
          <w:szCs w:val="24"/>
        </w:rPr>
        <w:t>ým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 postihnut</w:t>
      </w:r>
      <w:r w:rsidR="00296B79" w:rsidRPr="005D0BF4">
        <w:rPr>
          <w:rFonts w:ascii="Times New Roman" w:hAnsi="Times New Roman" w:cs="Times New Roman"/>
          <w:sz w:val="24"/>
          <w:szCs w:val="24"/>
        </w:rPr>
        <w:t>ím,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 je vhodné,</w:t>
      </w:r>
      <w:r w:rsidR="006F074B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A420F0" w:rsidRPr="005D0BF4">
        <w:rPr>
          <w:rFonts w:ascii="Times New Roman" w:hAnsi="Times New Roman" w:cs="Times New Roman"/>
          <w:sz w:val="24"/>
          <w:szCs w:val="24"/>
        </w:rPr>
        <w:t>aby</w:t>
      </w:r>
      <w:r w:rsidR="00D71743" w:rsidRPr="005D0BF4">
        <w:rPr>
          <w:rFonts w:ascii="Times New Roman" w:hAnsi="Times New Roman" w:cs="Times New Roman"/>
          <w:sz w:val="24"/>
          <w:szCs w:val="24"/>
        </w:rPr>
        <w:t xml:space="preserve"> im ich vykonával osobný asistent, ktorému dôverujú a sú na neho zvyknutí. </w:t>
      </w:r>
      <w:r w:rsidR="006F074B" w:rsidRPr="005D0BF4">
        <w:rPr>
          <w:rFonts w:ascii="Times New Roman" w:hAnsi="Times New Roman" w:cs="Times New Roman"/>
          <w:sz w:val="24"/>
          <w:szCs w:val="24"/>
        </w:rPr>
        <w:t>Možnosť poskytovania osobnej asistencie v školách a školských zariadeniach má podľa predkladate</w:t>
      </w:r>
      <w:r w:rsidR="00A420F0" w:rsidRPr="005D0BF4">
        <w:rPr>
          <w:rFonts w:ascii="Times New Roman" w:hAnsi="Times New Roman" w:cs="Times New Roman"/>
          <w:sz w:val="24"/>
          <w:szCs w:val="24"/>
        </w:rPr>
        <w:t>ľov prispieť k lepšej integráci</w:t>
      </w:r>
      <w:r w:rsidR="005F34AD" w:rsidRPr="005D0BF4">
        <w:rPr>
          <w:rFonts w:ascii="Times New Roman" w:hAnsi="Times New Roman" w:cs="Times New Roman"/>
          <w:sz w:val="24"/>
          <w:szCs w:val="24"/>
        </w:rPr>
        <w:t>i</w:t>
      </w:r>
      <w:r w:rsidR="00A420F0" w:rsidRPr="005D0BF4">
        <w:rPr>
          <w:rFonts w:ascii="Times New Roman" w:hAnsi="Times New Roman" w:cs="Times New Roman"/>
          <w:sz w:val="24"/>
          <w:szCs w:val="24"/>
        </w:rPr>
        <w:t xml:space="preserve"> detí so zdravotným postihnutím do vzdelávacieho procesu. </w:t>
      </w:r>
    </w:p>
    <w:p w:rsidR="00A420F0" w:rsidRPr="005D0BF4" w:rsidRDefault="00A420F0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0F0" w:rsidRPr="005D0BF4" w:rsidRDefault="00A420F0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B151F9" w:rsidRPr="005D0BF4">
        <w:rPr>
          <w:rFonts w:ascii="Times New Roman" w:hAnsi="Times New Roman" w:cs="Times New Roman"/>
          <w:sz w:val="24"/>
          <w:szCs w:val="24"/>
        </w:rPr>
        <w:t xml:space="preserve">podľa predkladateľov </w:t>
      </w:r>
      <w:r w:rsidRPr="005D0BF4">
        <w:rPr>
          <w:rFonts w:ascii="Times New Roman" w:hAnsi="Times New Roman" w:cs="Times New Roman"/>
          <w:sz w:val="24"/>
          <w:szCs w:val="24"/>
        </w:rPr>
        <w:t>taktiež navrhuje vytvoriť legislatívne</w:t>
      </w:r>
      <w:r w:rsidR="00B151F9" w:rsidRPr="005D0BF4">
        <w:rPr>
          <w:rFonts w:ascii="Times New Roman" w:hAnsi="Times New Roman" w:cs="Times New Roman"/>
          <w:sz w:val="24"/>
          <w:szCs w:val="24"/>
        </w:rPr>
        <w:t xml:space="preserve"> podmienky pre</w:t>
      </w:r>
      <w:r w:rsidRPr="005D0BF4">
        <w:rPr>
          <w:rFonts w:ascii="Times New Roman" w:hAnsi="Times New Roman" w:cs="Times New Roman"/>
          <w:sz w:val="24"/>
          <w:szCs w:val="24"/>
        </w:rPr>
        <w:t xml:space="preserve"> pôsobenie osobných asistentov na školách a v školských zariadeniach. V tejto súvislosti budú školy a školské zariadenia povinné poskytnúť potrebnú </w:t>
      </w:r>
      <w:r w:rsidR="005D0BF4">
        <w:rPr>
          <w:rFonts w:ascii="Times New Roman" w:hAnsi="Times New Roman" w:cs="Times New Roman"/>
          <w:sz w:val="24"/>
          <w:szCs w:val="24"/>
        </w:rPr>
        <w:t>súčinnosť osobnému asistentovi.</w:t>
      </w:r>
    </w:p>
    <w:p w:rsidR="00A420F0" w:rsidRPr="005D0BF4" w:rsidRDefault="00A420F0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32" w:rsidRPr="005D0BF4" w:rsidRDefault="00CE7132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F4">
        <w:rPr>
          <w:rFonts w:ascii="Times New Roman" w:hAnsi="Times New Roman" w:cs="Times New Roman"/>
          <w:b/>
          <w:sz w:val="24"/>
          <w:szCs w:val="24"/>
        </w:rPr>
        <w:t>Stanovisko</w:t>
      </w:r>
    </w:p>
    <w:p w:rsidR="003162EF" w:rsidRPr="005D0BF4" w:rsidRDefault="003162EF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2EF" w:rsidRPr="005D0BF4" w:rsidRDefault="003162EF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Ministerstvo nesúhlasí s navrhovanou úpravou § 21 ods. 3 a 4 zákona </w:t>
      </w:r>
      <w:r w:rsidR="009E0C45" w:rsidRPr="005D0BF4">
        <w:rPr>
          <w:rFonts w:ascii="Times New Roman" w:hAnsi="Times New Roman" w:cs="Times New Roman"/>
          <w:sz w:val="24"/>
          <w:szCs w:val="24"/>
        </w:rPr>
        <w:t>č. 447/2008 Z. z.</w:t>
      </w:r>
      <w:r w:rsidRPr="005D0BF4">
        <w:rPr>
          <w:rFonts w:ascii="Times New Roman" w:hAnsi="Times New Roman" w:cs="Times New Roman"/>
          <w:sz w:val="24"/>
          <w:szCs w:val="24"/>
        </w:rPr>
        <w:t xml:space="preserve">, nakoľko ju považuje za nesystémovú. </w:t>
      </w:r>
    </w:p>
    <w:p w:rsidR="00C77BD7" w:rsidRPr="005D0BF4" w:rsidRDefault="00C77BD7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8D1" w:rsidRPr="005D0BF4" w:rsidRDefault="00C77BD7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Peňažné príspevky na kompenzáciu je možné</w:t>
      </w:r>
      <w:r w:rsidR="008E779B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>poskytnúť iba fyzickej osobe s ťažkým zdravotným postihnutím</w:t>
      </w:r>
      <w:r w:rsidR="009A0778" w:rsidRPr="005D0BF4">
        <w:rPr>
          <w:rFonts w:ascii="Times New Roman" w:hAnsi="Times New Roman" w:cs="Times New Roman"/>
          <w:sz w:val="24"/>
          <w:szCs w:val="24"/>
        </w:rPr>
        <w:t xml:space="preserve">. Podľa prílohy č. 3 zákona </w:t>
      </w:r>
      <w:r w:rsidR="005E2891" w:rsidRPr="005D0BF4">
        <w:rPr>
          <w:rFonts w:ascii="Times New Roman" w:hAnsi="Times New Roman" w:cs="Times New Roman"/>
          <w:sz w:val="24"/>
          <w:szCs w:val="24"/>
        </w:rPr>
        <w:t>č. 447/2008 Z. z.</w:t>
      </w:r>
      <w:r w:rsidR="009A0778" w:rsidRPr="005D0BF4">
        <w:rPr>
          <w:rFonts w:ascii="Times New Roman" w:hAnsi="Times New Roman" w:cs="Times New Roman"/>
          <w:sz w:val="24"/>
          <w:szCs w:val="24"/>
        </w:rPr>
        <w:t xml:space="preserve"> sa </w:t>
      </w:r>
      <w:r w:rsidRPr="005D0BF4">
        <w:rPr>
          <w:rFonts w:ascii="Times New Roman" w:hAnsi="Times New Roman" w:cs="Times New Roman"/>
          <w:sz w:val="24"/>
          <w:szCs w:val="24"/>
        </w:rPr>
        <w:t>za fyzickú osobu s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ťažkým zdravotn</w:t>
      </w:r>
      <w:r w:rsidR="008E779B" w:rsidRPr="005D0BF4">
        <w:rPr>
          <w:rFonts w:ascii="Times New Roman" w:hAnsi="Times New Roman" w:cs="Times New Roman"/>
          <w:sz w:val="24"/>
          <w:szCs w:val="24"/>
        </w:rPr>
        <w:t xml:space="preserve">ým postihnutím </w:t>
      </w:r>
      <w:r w:rsidRPr="005D0BF4">
        <w:rPr>
          <w:rFonts w:ascii="Times New Roman" w:hAnsi="Times New Roman" w:cs="Times New Roman"/>
          <w:sz w:val="24"/>
          <w:szCs w:val="24"/>
        </w:rPr>
        <w:t>považuje fyzická osoba, ktorej miera funkčnej poruchy je</w:t>
      </w:r>
      <w:r w:rsidR="009A0778" w:rsidRPr="005D0BF4">
        <w:rPr>
          <w:rFonts w:ascii="Times New Roman" w:hAnsi="Times New Roman" w:cs="Times New Roman"/>
          <w:sz w:val="24"/>
          <w:szCs w:val="24"/>
        </w:rPr>
        <w:t xml:space="preserve"> stanovená</w:t>
      </w:r>
      <w:r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9A0778" w:rsidRPr="005D0BF4">
        <w:rPr>
          <w:rFonts w:ascii="Times New Roman" w:hAnsi="Times New Roman" w:cs="Times New Roman"/>
          <w:sz w:val="24"/>
          <w:szCs w:val="24"/>
        </w:rPr>
        <w:t xml:space="preserve">najmenej na </w:t>
      </w:r>
      <w:r w:rsidRPr="005D0BF4">
        <w:rPr>
          <w:rFonts w:ascii="Times New Roman" w:hAnsi="Times New Roman" w:cs="Times New Roman"/>
          <w:sz w:val="24"/>
          <w:szCs w:val="24"/>
        </w:rPr>
        <w:t>50</w:t>
      </w:r>
      <w:r w:rsid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 xml:space="preserve">%. </w:t>
      </w:r>
      <w:r w:rsidR="003758D1" w:rsidRPr="005D0BF4">
        <w:rPr>
          <w:rFonts w:ascii="Times New Roman" w:hAnsi="Times New Roman" w:cs="Times New Roman"/>
          <w:sz w:val="24"/>
          <w:szCs w:val="24"/>
        </w:rPr>
        <w:t>Z uvedeného vyplýva, že nie vš</w:t>
      </w:r>
      <w:r w:rsidR="00FE449D" w:rsidRPr="005D0BF4">
        <w:rPr>
          <w:rFonts w:ascii="Times New Roman" w:hAnsi="Times New Roman" w:cs="Times New Roman"/>
          <w:sz w:val="24"/>
          <w:szCs w:val="24"/>
        </w:rPr>
        <w:t>etky deti, žiaci/</w:t>
      </w:r>
      <w:r w:rsidR="003758D1" w:rsidRPr="005D0BF4">
        <w:rPr>
          <w:rFonts w:ascii="Times New Roman" w:hAnsi="Times New Roman" w:cs="Times New Roman"/>
          <w:sz w:val="24"/>
          <w:szCs w:val="24"/>
        </w:rPr>
        <w:t>študenti so zdravotným postihnutím</w:t>
      </w:r>
      <w:r w:rsidR="00FA2BD6">
        <w:rPr>
          <w:rFonts w:ascii="Times New Roman" w:hAnsi="Times New Roman" w:cs="Times New Roman"/>
          <w:sz w:val="24"/>
          <w:szCs w:val="24"/>
        </w:rPr>
        <w:t>,</w:t>
      </w:r>
      <w:r w:rsidR="003758D1" w:rsidRPr="005D0BF4">
        <w:rPr>
          <w:rFonts w:ascii="Times New Roman" w:hAnsi="Times New Roman" w:cs="Times New Roman"/>
          <w:sz w:val="24"/>
          <w:szCs w:val="24"/>
        </w:rPr>
        <w:t xml:space="preserve"> by </w:t>
      </w:r>
      <w:r w:rsidR="00FB5C00" w:rsidRPr="005D0BF4">
        <w:rPr>
          <w:rFonts w:ascii="Times New Roman" w:hAnsi="Times New Roman" w:cs="Times New Roman"/>
          <w:sz w:val="24"/>
          <w:szCs w:val="24"/>
        </w:rPr>
        <w:t>sa automaticky považovali za fyzickú osobu s ťažkým zdravotným postihnutím.</w:t>
      </w:r>
    </w:p>
    <w:p w:rsidR="003758D1" w:rsidRPr="005D0BF4" w:rsidRDefault="003758D1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79B" w:rsidRPr="005D0BF4" w:rsidRDefault="009A0778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lastRenderedPageBreak/>
        <w:t>Poskytnutiu peňažného príspevku na kompenzáciu vždy predchádza individuálne posúdenie konkrétnej osoby</w:t>
      </w:r>
      <w:r w:rsidR="003758D1" w:rsidRPr="005D0BF4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5D0BF4">
        <w:rPr>
          <w:rFonts w:ascii="Times New Roman" w:hAnsi="Times New Roman" w:cs="Times New Roman"/>
          <w:sz w:val="24"/>
          <w:szCs w:val="24"/>
        </w:rPr>
        <w:t>zahŕňa lekársku aj sociálnu posudkovú činnosť</w:t>
      </w:r>
      <w:r w:rsidR="003758D1" w:rsidRPr="005D0BF4">
        <w:rPr>
          <w:rFonts w:ascii="Times New Roman" w:hAnsi="Times New Roman" w:cs="Times New Roman"/>
          <w:sz w:val="24"/>
          <w:szCs w:val="24"/>
        </w:rPr>
        <w:t>. Pri posudzovaní sociálnych dôsledkov ťažkého zdravotného postihnutia sa súčasne zohľadňuje znevýhodnenie, ktoré má fyzická osoba z dôvodu jej ťažkého zdravotného postihnutia v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="003758D1" w:rsidRPr="005D0BF4">
        <w:rPr>
          <w:rFonts w:ascii="Times New Roman" w:hAnsi="Times New Roman" w:cs="Times New Roman"/>
          <w:sz w:val="24"/>
          <w:szCs w:val="24"/>
        </w:rPr>
        <w:t xml:space="preserve">porovnaní s fyzickou osobou bez zdravotného postihnutia rovnakého veku, pohlavia a za rovnakých podmienok a ktoré nie je schopná z dôvodu ťažkého zdravotného postihnutia prekonať sama. </w:t>
      </w:r>
      <w:r w:rsidRPr="005D0BF4">
        <w:rPr>
          <w:rFonts w:ascii="Times New Roman" w:hAnsi="Times New Roman" w:cs="Times New Roman"/>
          <w:sz w:val="24"/>
          <w:szCs w:val="24"/>
        </w:rPr>
        <w:t>Práve na základe výsledkov zisťovania a posudzovania sociálnej situácie, v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rámci ktorej sa uplatňuje individuálny prístup pri posudzovaní potrieb fyzickej osoby</w:t>
      </w:r>
      <w:r w:rsidR="003758D1" w:rsidRPr="005D0BF4">
        <w:rPr>
          <w:rFonts w:ascii="Times New Roman" w:hAnsi="Times New Roman" w:cs="Times New Roman"/>
          <w:sz w:val="24"/>
          <w:szCs w:val="24"/>
        </w:rPr>
        <w:t>,</w:t>
      </w:r>
      <w:r w:rsidRPr="005D0BF4">
        <w:rPr>
          <w:rFonts w:ascii="Times New Roman" w:hAnsi="Times New Roman" w:cs="Times New Roman"/>
          <w:sz w:val="24"/>
          <w:szCs w:val="24"/>
        </w:rPr>
        <w:t xml:space="preserve"> môže príslušný orgán dospieť k záveru, že dve fyzické osoby s rovnakým ťažkým zdravotným postihnutím, ktoré požiadajú o ten istý peňažný príspevok, nemusia byť kompenzované rovnakými kompenzáciami, t.</w:t>
      </w:r>
      <w:r w:rsidR="003758D1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>j. rovnakým peňažným príspevkom.</w:t>
      </w:r>
    </w:p>
    <w:p w:rsidR="008E779B" w:rsidRPr="005D0BF4" w:rsidRDefault="008E779B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79B" w:rsidRPr="005D0BF4" w:rsidRDefault="008E779B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Peňažné príspevky na kompenzáciu </w:t>
      </w:r>
      <w:r w:rsidR="00184CEC" w:rsidRPr="005D0BF4">
        <w:rPr>
          <w:rFonts w:ascii="Times New Roman" w:hAnsi="Times New Roman" w:cs="Times New Roman"/>
          <w:sz w:val="24"/>
          <w:szCs w:val="24"/>
        </w:rPr>
        <w:t>nie sú nárokovateľné</w:t>
      </w:r>
      <w:r w:rsidR="007260CD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7260CD" w:rsidRPr="005D0BF4">
        <w:rPr>
          <w:rFonts w:ascii="Times New Roman" w:hAnsi="Times New Roman" w:cs="Times New Roman"/>
          <w:i/>
          <w:sz w:val="24"/>
          <w:szCs w:val="24"/>
        </w:rPr>
        <w:t>ex lege</w:t>
      </w:r>
      <w:r w:rsidR="00184CEC" w:rsidRPr="005D0BF4">
        <w:rPr>
          <w:rFonts w:ascii="Times New Roman" w:hAnsi="Times New Roman" w:cs="Times New Roman"/>
          <w:sz w:val="24"/>
          <w:szCs w:val="24"/>
        </w:rPr>
        <w:t xml:space="preserve">. </w:t>
      </w:r>
      <w:r w:rsidR="007260CD" w:rsidRPr="005D0BF4">
        <w:rPr>
          <w:rFonts w:ascii="Times New Roman" w:hAnsi="Times New Roman" w:cs="Times New Roman"/>
          <w:sz w:val="24"/>
          <w:szCs w:val="24"/>
        </w:rPr>
        <w:t>N</w:t>
      </w:r>
      <w:r w:rsidRPr="005D0BF4">
        <w:rPr>
          <w:rFonts w:ascii="Times New Roman" w:hAnsi="Times New Roman" w:cs="Times New Roman"/>
          <w:sz w:val="24"/>
          <w:szCs w:val="24"/>
        </w:rPr>
        <w:t xml:space="preserve">árok na ne vzniká až na základe právoplatného rozhodnutia. </w:t>
      </w:r>
    </w:p>
    <w:p w:rsidR="003162EF" w:rsidRPr="005D0BF4" w:rsidRDefault="003162EF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2EF" w:rsidRPr="005D0BF4" w:rsidRDefault="003162EF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Peňažný príspevok na osobnú asistenciu je len jednou z foriem riešenia odkázanosti fyzických osôb s ťažkým zdravotným postihnutím na pomoc inej osoby a je poskytovaný len časti detí, resp. žiakov/študentov s ťažkým zdravotným postihnutím. Odkázanosť na pomoc inej fyzickej osoby je riešená aj formou peňažného príspevku na opatrovanie, opatrovateľskou službou alebo poskytovaním sociálnych služieb v zariadení sociálnych služieb (niektoré deti dochádzajú do školy zo zariadení sociálnych služieb, ak je škola mimo priestorov zariadenia sociálnych služieb). </w:t>
      </w:r>
      <w:r w:rsidR="005A2DA5" w:rsidRPr="005D0BF4">
        <w:rPr>
          <w:rFonts w:ascii="Times New Roman" w:hAnsi="Times New Roman" w:cs="Times New Roman"/>
          <w:sz w:val="24"/>
          <w:szCs w:val="24"/>
        </w:rPr>
        <w:t>Z</w:t>
      </w:r>
      <w:r w:rsidRPr="005D0BF4">
        <w:rPr>
          <w:rFonts w:ascii="Times New Roman" w:hAnsi="Times New Roman" w:cs="Times New Roman"/>
          <w:sz w:val="24"/>
          <w:szCs w:val="24"/>
        </w:rPr>
        <w:t xml:space="preserve"> predloženého návrhu poslancov na úpravu zákona </w:t>
      </w:r>
      <w:r w:rsidR="005A2DA5" w:rsidRPr="005D0BF4">
        <w:rPr>
          <w:rFonts w:ascii="Times New Roman" w:hAnsi="Times New Roman" w:cs="Times New Roman"/>
          <w:sz w:val="24"/>
          <w:szCs w:val="24"/>
        </w:rPr>
        <w:t xml:space="preserve">č. 447/2008 Z. z. </w:t>
      </w:r>
      <w:r w:rsidRPr="005D0BF4">
        <w:rPr>
          <w:rFonts w:ascii="Times New Roman" w:hAnsi="Times New Roman" w:cs="Times New Roman"/>
          <w:sz w:val="24"/>
          <w:szCs w:val="24"/>
        </w:rPr>
        <w:t xml:space="preserve">nie je </w:t>
      </w:r>
      <w:r w:rsidR="00FB5C00" w:rsidRPr="005D0BF4">
        <w:rPr>
          <w:rFonts w:ascii="Times New Roman" w:hAnsi="Times New Roman" w:cs="Times New Roman"/>
          <w:sz w:val="24"/>
          <w:szCs w:val="24"/>
        </w:rPr>
        <w:t xml:space="preserve">však vôbec </w:t>
      </w:r>
      <w:r w:rsidRPr="005D0BF4">
        <w:rPr>
          <w:rFonts w:ascii="Times New Roman" w:hAnsi="Times New Roman" w:cs="Times New Roman"/>
          <w:sz w:val="24"/>
          <w:szCs w:val="24"/>
        </w:rPr>
        <w:t>zrejmé, akým spôsobom by bol</w:t>
      </w:r>
      <w:r w:rsidR="005F34AD" w:rsidRPr="005D0BF4">
        <w:rPr>
          <w:rFonts w:ascii="Times New Roman" w:hAnsi="Times New Roman" w:cs="Times New Roman"/>
          <w:sz w:val="24"/>
          <w:szCs w:val="24"/>
        </w:rPr>
        <w:t xml:space="preserve">a </w:t>
      </w:r>
      <w:r w:rsidR="00FE449D" w:rsidRPr="005D0BF4">
        <w:rPr>
          <w:rFonts w:ascii="Times New Roman" w:hAnsi="Times New Roman" w:cs="Times New Roman"/>
          <w:sz w:val="24"/>
          <w:szCs w:val="24"/>
        </w:rPr>
        <w:t xml:space="preserve">aj </w:t>
      </w:r>
      <w:r w:rsidR="005F34AD" w:rsidRPr="005D0BF4">
        <w:rPr>
          <w:rFonts w:ascii="Times New Roman" w:hAnsi="Times New Roman" w:cs="Times New Roman"/>
          <w:sz w:val="24"/>
          <w:szCs w:val="24"/>
        </w:rPr>
        <w:t xml:space="preserve">pre </w:t>
      </w:r>
      <w:r w:rsidR="005F7A96" w:rsidRPr="005D0BF4">
        <w:rPr>
          <w:rFonts w:ascii="Times New Roman" w:hAnsi="Times New Roman" w:cs="Times New Roman"/>
          <w:sz w:val="24"/>
          <w:szCs w:val="24"/>
        </w:rPr>
        <w:t>ostatné deti, žiakov/</w:t>
      </w:r>
      <w:r w:rsidR="00FB5C00" w:rsidRPr="005D0BF4">
        <w:rPr>
          <w:rFonts w:ascii="Times New Roman" w:hAnsi="Times New Roman" w:cs="Times New Roman"/>
          <w:sz w:val="24"/>
          <w:szCs w:val="24"/>
        </w:rPr>
        <w:t>študentov so</w:t>
      </w:r>
      <w:r w:rsidR="00FE449D" w:rsidRPr="005D0BF4">
        <w:rPr>
          <w:rFonts w:ascii="Times New Roman" w:hAnsi="Times New Roman" w:cs="Times New Roman"/>
          <w:sz w:val="24"/>
          <w:szCs w:val="24"/>
        </w:rPr>
        <w:t xml:space="preserve"> zdravotným postihnutím (prípadne </w:t>
      </w:r>
      <w:r w:rsidR="00FB5C00" w:rsidRPr="005D0BF4">
        <w:rPr>
          <w:rFonts w:ascii="Times New Roman" w:hAnsi="Times New Roman" w:cs="Times New Roman"/>
          <w:sz w:val="24"/>
          <w:szCs w:val="24"/>
        </w:rPr>
        <w:t>s ťažkým zdr</w:t>
      </w:r>
      <w:r w:rsidR="00FE449D" w:rsidRPr="005D0BF4">
        <w:rPr>
          <w:rFonts w:ascii="Times New Roman" w:hAnsi="Times New Roman" w:cs="Times New Roman"/>
          <w:sz w:val="24"/>
          <w:szCs w:val="24"/>
        </w:rPr>
        <w:t>avotným postihnutím)</w:t>
      </w:r>
      <w:r w:rsidR="00FB5C00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5F34AD" w:rsidRPr="005D0BF4">
        <w:rPr>
          <w:rFonts w:ascii="Times New Roman" w:hAnsi="Times New Roman" w:cs="Times New Roman"/>
          <w:sz w:val="24"/>
          <w:szCs w:val="24"/>
        </w:rPr>
        <w:t>zabezpečená porovnateľná pomoc</w:t>
      </w:r>
      <w:r w:rsidR="008E779B" w:rsidRPr="005D0BF4">
        <w:rPr>
          <w:rFonts w:ascii="Times New Roman" w:hAnsi="Times New Roman" w:cs="Times New Roman"/>
          <w:sz w:val="24"/>
          <w:szCs w:val="24"/>
        </w:rPr>
        <w:t xml:space="preserve"> pri sebaobslužných</w:t>
      </w:r>
      <w:r w:rsidR="00FA2BD6">
        <w:rPr>
          <w:rFonts w:ascii="Times New Roman" w:hAnsi="Times New Roman" w:cs="Times New Roman"/>
          <w:sz w:val="24"/>
          <w:szCs w:val="24"/>
        </w:rPr>
        <w:t xml:space="preserve"> úkonoch</w:t>
      </w:r>
      <w:r w:rsidR="008E779B" w:rsidRPr="005D0BF4">
        <w:rPr>
          <w:rFonts w:ascii="Times New Roman" w:hAnsi="Times New Roman" w:cs="Times New Roman"/>
          <w:sz w:val="24"/>
          <w:szCs w:val="24"/>
        </w:rPr>
        <w:t xml:space="preserve"> počas školského dňa.</w:t>
      </w:r>
      <w:r w:rsidR="005F34AD" w:rsidRPr="005D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EF" w:rsidRPr="005D0BF4" w:rsidRDefault="003162EF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891" w:rsidRPr="005D0BF4" w:rsidRDefault="00365693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Z návrhu zákona nie je zrejmé, či bolo cieľom predkladateľov umožniť poskytovanie osobnej asistencie vo všetkých školských zariadeniach, alebo len v tých, v ktorých je zabezpečovaná záujmová činnosť. Z textu návrhu zákona vyplýva, že výkon osobnej asistencie </w:t>
      </w:r>
      <w:r w:rsidR="0077513E" w:rsidRPr="005D0BF4">
        <w:rPr>
          <w:rFonts w:ascii="Times New Roman" w:hAnsi="Times New Roman" w:cs="Times New Roman"/>
          <w:sz w:val="24"/>
          <w:szCs w:val="24"/>
        </w:rPr>
        <w:t xml:space="preserve">má byť umožnený </w:t>
      </w:r>
      <w:r w:rsidR="00FA2BD6">
        <w:rPr>
          <w:rFonts w:ascii="Times New Roman" w:hAnsi="Times New Roman" w:cs="Times New Roman"/>
          <w:sz w:val="24"/>
          <w:szCs w:val="24"/>
        </w:rPr>
        <w:t xml:space="preserve">aj </w:t>
      </w:r>
      <w:r w:rsidRPr="005D0BF4">
        <w:rPr>
          <w:rFonts w:ascii="Times New Roman" w:hAnsi="Times New Roman" w:cs="Times New Roman"/>
          <w:sz w:val="24"/>
          <w:szCs w:val="24"/>
        </w:rPr>
        <w:t>počas záujmovej činnosti. Na druhej strane, dôvodová správa uvádza, že cieľom predloženej novely zákona</w:t>
      </w:r>
      <w:r w:rsidR="0077513E" w:rsidRPr="005D0BF4">
        <w:rPr>
          <w:rFonts w:ascii="Times New Roman" w:hAnsi="Times New Roman" w:cs="Times New Roman"/>
          <w:sz w:val="24"/>
          <w:szCs w:val="24"/>
        </w:rPr>
        <w:t xml:space="preserve"> č. 447/2008 Z. z.</w:t>
      </w:r>
      <w:r w:rsidRPr="005D0BF4">
        <w:rPr>
          <w:rFonts w:ascii="Times New Roman" w:hAnsi="Times New Roman" w:cs="Times New Roman"/>
          <w:sz w:val="24"/>
          <w:szCs w:val="24"/>
        </w:rPr>
        <w:t xml:space="preserve"> je umožniť poskytovanie osobnej asistencie v školách a školských zariadeniach. V tejto súvislosti je potrebné poukázať na skutočnosť, že záujmová činnosť je zabezpečovaná len v školskom klube detí a centre voľného času, pričom v týchto školských zariadeniach je zabezpečovaná aj výchovno-vzdelávacia činnosť, rekreačná činnosť</w:t>
      </w:r>
      <w:r w:rsidR="005F7A96" w:rsidRPr="005D0BF4">
        <w:rPr>
          <w:rFonts w:ascii="Times New Roman" w:hAnsi="Times New Roman" w:cs="Times New Roman"/>
          <w:sz w:val="24"/>
          <w:szCs w:val="24"/>
        </w:rPr>
        <w:t xml:space="preserve"> alebo</w:t>
      </w:r>
      <w:r w:rsidRPr="005D0BF4">
        <w:rPr>
          <w:rFonts w:ascii="Times New Roman" w:hAnsi="Times New Roman" w:cs="Times New Roman"/>
          <w:sz w:val="24"/>
          <w:szCs w:val="24"/>
        </w:rPr>
        <w:t xml:space="preserve"> činnosť zameran</w:t>
      </w:r>
      <w:r w:rsidR="005F7A96" w:rsidRPr="005D0BF4">
        <w:rPr>
          <w:rFonts w:ascii="Times New Roman" w:hAnsi="Times New Roman" w:cs="Times New Roman"/>
          <w:sz w:val="24"/>
          <w:szCs w:val="24"/>
        </w:rPr>
        <w:t>á</w:t>
      </w:r>
      <w:r w:rsidRPr="005D0BF4">
        <w:rPr>
          <w:rFonts w:ascii="Times New Roman" w:hAnsi="Times New Roman" w:cs="Times New Roman"/>
          <w:sz w:val="24"/>
          <w:szCs w:val="24"/>
        </w:rPr>
        <w:t xml:space="preserve"> na prípravu detí na vyučovanie a pod.</w:t>
      </w:r>
      <w:r w:rsidR="005E2891" w:rsidRPr="005D0BF4">
        <w:rPr>
          <w:rFonts w:ascii="Times New Roman" w:hAnsi="Times New Roman" w:cs="Times New Roman"/>
          <w:sz w:val="24"/>
          <w:szCs w:val="24"/>
        </w:rPr>
        <w:t xml:space="preserve"> Ak by bol umožnený výkon osobnej asistencie iba v školských zariadeniach, ktoré zabezpečujú záujmovú činnosť, bolo by vylúčené aby osobný asistent poskytoval dieťaťu </w:t>
      </w:r>
      <w:r w:rsidR="005D0BF4">
        <w:rPr>
          <w:rFonts w:ascii="Times New Roman" w:hAnsi="Times New Roman" w:cs="Times New Roman"/>
          <w:sz w:val="24"/>
          <w:szCs w:val="24"/>
        </w:rPr>
        <w:t>pomoc napr. v školskej jedálni.</w:t>
      </w:r>
    </w:p>
    <w:p w:rsidR="003162EF" w:rsidRPr="005D0BF4" w:rsidRDefault="003162EF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7F1" w:rsidRPr="005D0BF4" w:rsidRDefault="003162EF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Zastávame názor, že zabezpečiť vzdelávanie detí, resp. žiakov/študentov so špeciálnymi výchovno-vzdelávacími potrebami, vrátane vytvorenia vyhovujúcich podmienok v školách a zabezpečenia pomoci pri prekonávaní bariér, ktoré plynú zo zdravotného postihnutia dieťa</w:t>
      </w:r>
      <w:r w:rsidR="00FE449D" w:rsidRPr="005D0BF4">
        <w:rPr>
          <w:rFonts w:ascii="Times New Roman" w:hAnsi="Times New Roman" w:cs="Times New Roman"/>
          <w:sz w:val="24"/>
          <w:szCs w:val="24"/>
        </w:rPr>
        <w:t>ťa, resp. žiaka/študenta</w:t>
      </w:r>
      <w:r w:rsidRPr="005D0BF4">
        <w:rPr>
          <w:rFonts w:ascii="Times New Roman" w:hAnsi="Times New Roman" w:cs="Times New Roman"/>
          <w:sz w:val="24"/>
          <w:szCs w:val="24"/>
        </w:rPr>
        <w:t xml:space="preserve"> spadá do kompetencie rezortu školstva. Povinná školská dochádzka končí vo veku 16 rokov dieťaťa, t. j. v čase kedy žiak obvykle navštevuje strednú školu. So zabezpečením podmienok pre vykonávanie výchovnovzdelávacieho procesu súvisí napr. aj stanovenie kritérií pre osoby, ktoré sa tohto procesu môžu zúčastňovať. Aj s ohľadom na tieto skutočnosti boli nastavené podmienky poskytovania peňažného príspevku na osob</w:t>
      </w:r>
      <w:r w:rsidR="006F67F1" w:rsidRPr="005D0BF4">
        <w:rPr>
          <w:rFonts w:ascii="Times New Roman" w:hAnsi="Times New Roman" w:cs="Times New Roman"/>
          <w:sz w:val="24"/>
          <w:szCs w:val="24"/>
        </w:rPr>
        <w:t xml:space="preserve">nú asistenciu v tom zmysle, že </w:t>
      </w:r>
      <w:r w:rsidRPr="005D0BF4">
        <w:rPr>
          <w:rFonts w:ascii="Times New Roman" w:hAnsi="Times New Roman" w:cs="Times New Roman"/>
          <w:sz w:val="24"/>
          <w:szCs w:val="24"/>
        </w:rPr>
        <w:t>pri posudzovaní rozsahu osobnej asistencie nie je možné zohľadniť hodiny, počas ktorých fyzická osoba s ťažkým zdravotným postihnutím navštevuje školu,</w:t>
      </w:r>
      <w:r w:rsidR="006F67F1" w:rsidRPr="005D0BF4">
        <w:rPr>
          <w:rFonts w:ascii="Times New Roman" w:hAnsi="Times New Roman" w:cs="Times New Roman"/>
          <w:sz w:val="24"/>
          <w:szCs w:val="24"/>
        </w:rPr>
        <w:t xml:space="preserve"> s výnimkou vysokej školy.</w:t>
      </w:r>
    </w:p>
    <w:p w:rsidR="003162EF" w:rsidRPr="005D0BF4" w:rsidRDefault="003162EF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513" w:rsidRPr="005D0BF4" w:rsidRDefault="003162EF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Predkladatelia v dôvodovej správe uvádzajú, že predložený návrh bude mať negatívny vplyv na rozpočet verejnej správy, ktorý však nie je možné vopred </w:t>
      </w:r>
      <w:r w:rsidR="00E00DC9" w:rsidRPr="005D0BF4">
        <w:rPr>
          <w:rFonts w:ascii="Times New Roman" w:hAnsi="Times New Roman" w:cs="Times New Roman"/>
          <w:sz w:val="24"/>
          <w:szCs w:val="24"/>
        </w:rPr>
        <w:t xml:space="preserve">presne </w:t>
      </w:r>
      <w:r w:rsidRPr="005D0BF4">
        <w:rPr>
          <w:rFonts w:ascii="Times New Roman" w:hAnsi="Times New Roman" w:cs="Times New Roman"/>
          <w:sz w:val="24"/>
          <w:szCs w:val="24"/>
        </w:rPr>
        <w:t xml:space="preserve">vyčísliť, nakoľko nie je možné predpokladať, koľko osôb túto možnosť reálne využije. </w:t>
      </w:r>
    </w:p>
    <w:p w:rsidR="00EC7513" w:rsidRPr="005D0BF4" w:rsidRDefault="00EC7513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FE3" w:rsidRDefault="00E00DC9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Odhadované</w:t>
      </w:r>
      <w:r w:rsidRPr="005D0BF4">
        <w:rPr>
          <w:rFonts w:ascii="Times New Roman" w:hAnsi="Times New Roman" w:cs="Times New Roman"/>
          <w:bCs/>
          <w:sz w:val="24"/>
          <w:szCs w:val="24"/>
        </w:rPr>
        <w:t xml:space="preserve"> dopady</w:t>
      </w:r>
      <w:r w:rsidRPr="005D0BF4">
        <w:rPr>
          <w:rFonts w:ascii="Times New Roman" w:hAnsi="Times New Roman" w:cs="Times New Roman"/>
          <w:sz w:val="24"/>
          <w:szCs w:val="24"/>
        </w:rPr>
        <w:t xml:space="preserve"> na štátny rozpočet sú uvedené v nasledovných tabuľkách:</w:t>
      </w:r>
    </w:p>
    <w:p w:rsidR="005D0BF4" w:rsidRPr="005D0BF4" w:rsidRDefault="005D0BF4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1422"/>
        <w:gridCol w:w="1576"/>
        <w:gridCol w:w="1576"/>
        <w:gridCol w:w="1576"/>
      </w:tblGrid>
      <w:tr w:rsidR="007260CD" w:rsidRPr="005D0BF4" w:rsidTr="00947EA2">
        <w:trPr>
          <w:trHeight w:val="280"/>
        </w:trPr>
        <w:tc>
          <w:tcPr>
            <w:tcW w:w="893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0CD" w:rsidRPr="005D0BF4" w:rsidRDefault="007260CD" w:rsidP="005D0BF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0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Aktuálny počet poberateľov, ktorí aktívne čerpajú OA a odhadovaný celkový dopad na štátny rozpočet</w:t>
            </w:r>
          </w:p>
          <w:p w:rsidR="007260CD" w:rsidRDefault="007260CD" w:rsidP="005D0BF4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v prípade, že by súčasný počet poberateľov požiadal o osobnú asistenciu do škôl (predpokladaný denný rozsah 8 hodín)</w:t>
            </w:r>
          </w:p>
          <w:p w:rsidR="005D0BF4" w:rsidRPr="005D0BF4" w:rsidRDefault="005D0BF4" w:rsidP="005D0BF4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aktívnych poberateľov OA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1.9.-31.12.2023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mesiace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2024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2025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2026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3-5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6-16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16-19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19-2</w:t>
            </w:r>
            <w:r w:rsid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Celkový počet aktuálnych aktívnych poberateľov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1 474</w:t>
            </w:r>
          </w:p>
        </w:tc>
      </w:tr>
      <w:tr w:rsidR="00947EA2" w:rsidRPr="009650C5" w:rsidTr="00947EA2">
        <w:trPr>
          <w:trHeight w:val="748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EA2" w:rsidRPr="009650C5" w:rsidTr="00947EA2">
        <w:trPr>
          <w:trHeight w:val="748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Finančný dopad v € spolu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       </w:t>
            </w: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2 887 799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    </w:t>
            </w: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11 044 858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     </w:t>
            </w: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12 472 992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13 669 286</w:t>
            </w:r>
          </w:p>
        </w:tc>
      </w:tr>
      <w:tr w:rsidR="00947EA2" w:rsidRPr="005D0BF4" w:rsidTr="00947EA2">
        <w:trPr>
          <w:trHeight w:val="280"/>
        </w:trPr>
        <w:tc>
          <w:tcPr>
            <w:tcW w:w="27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poberateľov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1F7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osôb</w:t>
            </w:r>
            <w:r w:rsid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ktor</w:t>
            </w:r>
            <w:r w:rsid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majú priznanú osobnú asistenciu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1.9.-31.12.2023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mesiace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  <w:p w:rsidR="00947EA2" w:rsidRPr="009650C5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Celkový počet poberateľov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1 845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7EA2" w:rsidRPr="009650C5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Finančný dopad v € spolu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3 566 627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13 363 258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15 115 968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9650C5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17 109 792</w:t>
            </w:r>
          </w:p>
        </w:tc>
      </w:tr>
      <w:tr w:rsidR="00947EA2" w:rsidRPr="005D0BF4" w:rsidTr="00947EA2">
        <w:trPr>
          <w:trHeight w:val="280"/>
        </w:trPr>
        <w:tc>
          <w:tcPr>
            <w:tcW w:w="27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A2" w:rsidRPr="005D0BF4" w:rsidTr="00947EA2">
        <w:trPr>
          <w:trHeight w:val="280"/>
        </w:trPr>
        <w:tc>
          <w:tcPr>
            <w:tcW w:w="27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5D0BF4" w:rsidRDefault="00947EA2" w:rsidP="005D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osôb s ŤZP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osôb s ŤZP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osôb s ŤZP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 osôb s ŤZP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1F7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 osôb</w:t>
            </w:r>
            <w:r w:rsid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ktoré sú posúdené ako ŤZP podľa zákona 447/2008 Z.</w:t>
            </w:r>
            <w:r w:rsid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1.9.-31.12.2023</w:t>
            </w:r>
          </w:p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mesiace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  <w:p w:rsidR="00947EA2" w:rsidRPr="001F7F5D" w:rsidRDefault="00947EA2" w:rsidP="005D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mesiacov (školský rok)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17 680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16-19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5 620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10320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Celkový počet poberateľov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35 155</w:t>
            </w:r>
          </w:p>
        </w:tc>
      </w:tr>
      <w:tr w:rsidR="00947EA2" w:rsidRPr="001F7F5D" w:rsidTr="00947EA2">
        <w:trPr>
          <w:trHeight w:val="666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7EA2" w:rsidRPr="001F7F5D" w:rsidTr="00947EA2">
        <w:trPr>
          <w:trHeight w:val="28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Finančný dopad v € spolu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83 736 802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321 144 768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323 741 376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EA2" w:rsidRPr="001F7F5D" w:rsidRDefault="00947EA2" w:rsidP="005D0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326 013 408</w:t>
            </w:r>
          </w:p>
        </w:tc>
      </w:tr>
    </w:tbl>
    <w:p w:rsidR="009D3FE3" w:rsidRPr="005D0BF4" w:rsidRDefault="009D3FE3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DC9" w:rsidRPr="005D0BF4" w:rsidRDefault="00E00DC9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Je dôvodné predpokladať, že ak by bol osobný asistent prítomný počas celej doby vyučovania v škole, pričom by za celý deň vykonal pre dieťa s ťažkým zdravotným </w:t>
      </w:r>
      <w:r w:rsidRPr="005D0BF4">
        <w:rPr>
          <w:rFonts w:ascii="Times New Roman" w:hAnsi="Times New Roman" w:cs="Times New Roman"/>
          <w:b/>
          <w:bCs/>
          <w:sz w:val="24"/>
          <w:szCs w:val="24"/>
        </w:rPr>
        <w:t>postihnutím jeden až dva sebaobslužné úkony</w:t>
      </w:r>
      <w:r w:rsidRPr="005D0BF4">
        <w:rPr>
          <w:rFonts w:ascii="Times New Roman" w:hAnsi="Times New Roman" w:cs="Times New Roman"/>
          <w:sz w:val="24"/>
          <w:szCs w:val="24"/>
        </w:rPr>
        <w:t xml:space="preserve"> (t.j. úkony, ktoré zasahujú do intímnej sféry </w:t>
      </w:r>
      <w:r w:rsidR="00E03C7C" w:rsidRPr="005D0BF4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5D0BF4">
        <w:rPr>
          <w:rFonts w:ascii="Times New Roman" w:hAnsi="Times New Roman" w:cs="Times New Roman"/>
          <w:sz w:val="24"/>
          <w:szCs w:val="24"/>
        </w:rPr>
        <w:t xml:space="preserve">osoby s ťažkým zdravotným postihnutím, ako napr. pomoc pri vyprázdňovaní), bolo by mu potrebné </w:t>
      </w:r>
      <w:r w:rsidRPr="005D0BF4">
        <w:rPr>
          <w:rFonts w:ascii="Times New Roman" w:hAnsi="Times New Roman" w:cs="Times New Roman"/>
          <w:b/>
          <w:bCs/>
          <w:sz w:val="24"/>
          <w:szCs w:val="24"/>
        </w:rPr>
        <w:t>preplatiť všetky hodiny osobnej asistencie</w:t>
      </w:r>
      <w:r w:rsidRPr="005D0BF4">
        <w:rPr>
          <w:rFonts w:ascii="Times New Roman" w:hAnsi="Times New Roman" w:cs="Times New Roman"/>
          <w:sz w:val="24"/>
          <w:szCs w:val="24"/>
        </w:rPr>
        <w:t>, ktoré by bol k dispozícií dieťaťu</w:t>
      </w:r>
      <w:r w:rsidR="00E03C7C" w:rsidRPr="005D0BF4">
        <w:rPr>
          <w:rFonts w:ascii="Times New Roman" w:hAnsi="Times New Roman" w:cs="Times New Roman"/>
          <w:sz w:val="24"/>
          <w:szCs w:val="24"/>
        </w:rPr>
        <w:t>, resp. žiakovi/študentovi</w:t>
      </w:r>
      <w:r w:rsidRPr="005D0BF4">
        <w:rPr>
          <w:rFonts w:ascii="Times New Roman" w:hAnsi="Times New Roman" w:cs="Times New Roman"/>
          <w:sz w:val="24"/>
          <w:szCs w:val="24"/>
        </w:rPr>
        <w:t xml:space="preserve"> s ťažkým zdravotným postihnutím, aj napriek tomu, že by de facto nevykonával žiadnu činnosť osobnej asistencie. </w:t>
      </w:r>
      <w:r w:rsidRPr="005D0BF4">
        <w:rPr>
          <w:rFonts w:ascii="Times New Roman" w:hAnsi="Times New Roman" w:cs="Times New Roman"/>
          <w:b/>
          <w:bCs/>
          <w:sz w:val="24"/>
          <w:szCs w:val="24"/>
        </w:rPr>
        <w:t>V takomto prípade, ak by bol osobný asistent prítomný v škole cca 5 až 8 hodín denne,  predstavovalo by to výšku peňažného príspevku na osobnú asistenciu cca 552.-EUR až 883,2.-EUR mesačne.</w:t>
      </w:r>
      <w:r w:rsidR="000A0EAF" w:rsidRPr="005D0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 xml:space="preserve">Ak bude činnosti, na ktoré možno poskytnúť </w:t>
      </w:r>
      <w:r w:rsidR="00E03C7C" w:rsidRPr="005D0BF4">
        <w:rPr>
          <w:rFonts w:ascii="Times New Roman" w:hAnsi="Times New Roman" w:cs="Times New Roman"/>
          <w:bCs/>
          <w:sz w:val="24"/>
          <w:szCs w:val="24"/>
        </w:rPr>
        <w:t xml:space="preserve">peňažný 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 xml:space="preserve">príspevok na osobnú asistenciu vykonávať napr. rodič, 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>(v</w:t>
      </w:r>
      <w:r w:rsidR="005D0BF4">
        <w:rPr>
          <w:rFonts w:ascii="Times New Roman" w:hAnsi="Times New Roman" w:cs="Times New Roman"/>
          <w:bCs/>
          <w:sz w:val="24"/>
          <w:szCs w:val="24"/>
        </w:rPr>
        <w:t> 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 xml:space="preserve">súčasnosti môže 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>vykonávať osobnú asistenciu najviac štyri hodiny denne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>)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>, je možné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 xml:space="preserve"> predpokladať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>, že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 xml:space="preserve"> ročný rozsah hodín osobnej asistencie určený v komplexnom posudku si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 xml:space="preserve"> vyčerpá 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 xml:space="preserve">oveľa skôr (t. j. 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>už počas školského vyučovania</w:t>
      </w:r>
      <w:r w:rsidR="001844A6" w:rsidRPr="005D0BF4">
        <w:rPr>
          <w:rFonts w:ascii="Times New Roman" w:hAnsi="Times New Roman" w:cs="Times New Roman"/>
          <w:bCs/>
          <w:sz w:val="24"/>
          <w:szCs w:val="24"/>
        </w:rPr>
        <w:t>)</w:t>
      </w:r>
      <w:r w:rsidR="000A0EAF" w:rsidRPr="005D0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49D" w:rsidRPr="005D0BF4" w:rsidRDefault="00FE449D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DC9" w:rsidRPr="005D0BF4" w:rsidRDefault="00E00DC9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Je potrebné tiež poukázať na úmysel zákonodarcu pri tvorbe zákona č. 447/2008 Z. z. o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peňažných príspevkoch na kompenzáciu ťažkého zdravotného postihnutia a o zmene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 xml:space="preserve">doplnení niektorých zákonov v znení neskorších predpisov. </w:t>
      </w:r>
    </w:p>
    <w:p w:rsidR="00FE449D" w:rsidRPr="005D0BF4" w:rsidRDefault="00FE449D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DC9" w:rsidRPr="005D0BF4" w:rsidRDefault="00E00DC9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Účelom osobnej asistencie je aktivizácia, podpora sociálneho začlenenia fyzickej osoby s ťažkým zdravotným postihnutím a podpora jej nezávislosti a možnosti rozhodovať sa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ovplyvňovať plnenie rodinných rolí, vykonávanie pracovných aktivít, vzdelávacích aktivít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 xml:space="preserve">voľnočasových aktivít. </w:t>
      </w:r>
      <w:r w:rsidR="001844A6" w:rsidRPr="005D0BF4">
        <w:rPr>
          <w:rFonts w:ascii="Times New Roman" w:hAnsi="Times New Roman" w:cs="Times New Roman"/>
          <w:sz w:val="24"/>
          <w:szCs w:val="24"/>
        </w:rPr>
        <w:t>Rozsah osobnej asistencie sa určuje podľa činností uvedených v prílohe č. 4 zákona č. 447/2008 Z. z., ktoré si nemôže fyzická osoba s ťažkým zdravotným postihnutím vykonávať sama a počtu hodín, ktoré sú potrebné na ich vykonanie.</w:t>
      </w:r>
      <w:r w:rsidRPr="005D0BF4">
        <w:rPr>
          <w:rFonts w:ascii="Times New Roman" w:hAnsi="Times New Roman" w:cs="Times New Roman"/>
          <w:sz w:val="24"/>
          <w:szCs w:val="24"/>
        </w:rPr>
        <w:t xml:space="preserve"> Výpočet hodín osobnej asistencie musí zodpovedať individuálnym požiadavkám fyzickej osoby s ťažkým zdravotným postihnutím. </w:t>
      </w:r>
    </w:p>
    <w:p w:rsidR="00FE449D" w:rsidRPr="005D0BF4" w:rsidRDefault="00FE449D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49D" w:rsidRPr="005D0BF4" w:rsidRDefault="00E00DC9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Existuje </w:t>
      </w:r>
      <w:r w:rsidR="008F3BEA" w:rsidRPr="005D0BF4">
        <w:rPr>
          <w:rFonts w:ascii="Times New Roman" w:hAnsi="Times New Roman" w:cs="Times New Roman"/>
          <w:sz w:val="24"/>
          <w:szCs w:val="24"/>
        </w:rPr>
        <w:t>reálny predpoklad</w:t>
      </w:r>
      <w:r w:rsidRPr="005D0BF4">
        <w:rPr>
          <w:rFonts w:ascii="Times New Roman" w:hAnsi="Times New Roman" w:cs="Times New Roman"/>
          <w:sz w:val="24"/>
          <w:szCs w:val="24"/>
        </w:rPr>
        <w:t>, že by došlo k</w:t>
      </w:r>
      <w:r w:rsidR="001844A6" w:rsidRPr="005D0BF4">
        <w:rPr>
          <w:rFonts w:ascii="Times New Roman" w:hAnsi="Times New Roman" w:cs="Times New Roman"/>
          <w:sz w:val="24"/>
          <w:szCs w:val="24"/>
        </w:rPr>
        <w:t xml:space="preserve"> novému </w:t>
      </w:r>
      <w:r w:rsidRPr="005D0BF4">
        <w:rPr>
          <w:rFonts w:ascii="Times New Roman" w:hAnsi="Times New Roman" w:cs="Times New Roman"/>
          <w:sz w:val="24"/>
          <w:szCs w:val="24"/>
        </w:rPr>
        <w:t>preposudzovaniu detí, resp. žiakov/študentov s ťažkým zdravotným postihnutím. Uvedené by predstavovalo neprimeranú administratívnu záťaž nielen pre rodičov</w:t>
      </w:r>
      <w:r w:rsidR="00FE449D" w:rsidRPr="005D0BF4">
        <w:rPr>
          <w:rFonts w:ascii="Times New Roman" w:hAnsi="Times New Roman" w:cs="Times New Roman"/>
          <w:sz w:val="24"/>
          <w:szCs w:val="24"/>
        </w:rPr>
        <w:t xml:space="preserve"> (napr. podať písomnú žiadosť na príslušnom úrade práce, sociálnych vecí a rodiny, predložiť doklad preukazujúci časový rozsah školského vyučovania alebo časový rozsah v školskom zariadení pre daný školský rok, ako aj plniť si oznamovaciu povinnosť v prípade akejkoľvek zmeny v skutočnostiach rozhodujúcich na poskytovanie peňažného príspevku na osobnú asistenciu)</w:t>
      </w:r>
      <w:r w:rsidRPr="005D0BF4">
        <w:rPr>
          <w:rFonts w:ascii="Times New Roman" w:hAnsi="Times New Roman" w:cs="Times New Roman"/>
          <w:sz w:val="24"/>
          <w:szCs w:val="24"/>
        </w:rPr>
        <w:t xml:space="preserve">, ale aj </w:t>
      </w:r>
      <w:r w:rsidR="00FE449D" w:rsidRPr="005D0BF4">
        <w:rPr>
          <w:rFonts w:ascii="Times New Roman" w:hAnsi="Times New Roman" w:cs="Times New Roman"/>
          <w:sz w:val="24"/>
          <w:szCs w:val="24"/>
        </w:rPr>
        <w:t xml:space="preserve">pre </w:t>
      </w:r>
      <w:r w:rsidRPr="005D0BF4">
        <w:rPr>
          <w:rFonts w:ascii="Times New Roman" w:hAnsi="Times New Roman" w:cs="Times New Roman"/>
          <w:sz w:val="24"/>
          <w:szCs w:val="24"/>
        </w:rPr>
        <w:t>zamestnancov úradov práce sociálnych vecí a rodiny a</w:t>
      </w:r>
      <w:r w:rsidR="00FE449D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 xml:space="preserve">posudkových lekárov, ktorých počet je v súčasnosti poddimenzovaný. V roku 2024 by novela zákona mala odhadovaný dopad na štátny rozpočet </w:t>
      </w:r>
      <w:r w:rsidRPr="005D0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321 144 768.-EUR</w:t>
      </w:r>
    </w:p>
    <w:p w:rsidR="006F67F1" w:rsidRPr="005D0BF4" w:rsidRDefault="006F67F1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7F1" w:rsidRPr="005D0BF4" w:rsidRDefault="00336DDA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Nad rámec svojej vecnej pôsobnosti zastáva ministerstvo názor, že navrhovaná </w:t>
      </w:r>
      <w:r w:rsidR="006F67F1" w:rsidRPr="005D0BF4">
        <w:rPr>
          <w:rFonts w:ascii="Times New Roman" w:hAnsi="Times New Roman" w:cs="Times New Roman"/>
          <w:sz w:val="24"/>
          <w:szCs w:val="24"/>
        </w:rPr>
        <w:t xml:space="preserve">úprava zákona č. 245/2008 Z. z. o výchove a vzdelávaní (školský zákon) a o zmene a doplnení niektorých zákonov v znení </w:t>
      </w:r>
      <w:r w:rsidRPr="005D0BF4">
        <w:rPr>
          <w:rFonts w:ascii="Times New Roman" w:hAnsi="Times New Roman" w:cs="Times New Roman"/>
          <w:sz w:val="24"/>
          <w:szCs w:val="24"/>
        </w:rPr>
        <w:t xml:space="preserve">neskorších predpisov </w:t>
      </w:r>
      <w:r w:rsidR="0077513E" w:rsidRPr="005D0BF4">
        <w:rPr>
          <w:rFonts w:ascii="Times New Roman" w:hAnsi="Times New Roman" w:cs="Times New Roman"/>
          <w:sz w:val="24"/>
          <w:szCs w:val="24"/>
        </w:rPr>
        <w:t xml:space="preserve">je </w:t>
      </w:r>
      <w:r w:rsidR="006F67F1" w:rsidRPr="005D0BF4">
        <w:rPr>
          <w:rFonts w:ascii="Times New Roman" w:hAnsi="Times New Roman" w:cs="Times New Roman"/>
          <w:sz w:val="24"/>
          <w:szCs w:val="24"/>
        </w:rPr>
        <w:t xml:space="preserve">nepostačujúca, nakoľko sa obmedzuje len na povinnosť školy a školského zariadenia poskytnúť osobnému asistentovi potrebnú </w:t>
      </w:r>
      <w:r w:rsidR="006F67F1" w:rsidRPr="005D0BF4">
        <w:rPr>
          <w:rFonts w:ascii="Times New Roman" w:hAnsi="Times New Roman" w:cs="Times New Roman"/>
          <w:sz w:val="24"/>
          <w:szCs w:val="24"/>
        </w:rPr>
        <w:lastRenderedPageBreak/>
        <w:t xml:space="preserve">súčinnosť. </w:t>
      </w:r>
      <w:r w:rsidRPr="005D0BF4">
        <w:rPr>
          <w:rFonts w:ascii="Times New Roman" w:hAnsi="Times New Roman" w:cs="Times New Roman"/>
          <w:sz w:val="24"/>
          <w:szCs w:val="24"/>
        </w:rPr>
        <w:t xml:space="preserve">Ako príklad možno uviesť, že návrh zákona sa nezaoberá </w:t>
      </w:r>
      <w:r w:rsidR="0077513E" w:rsidRPr="005D0BF4">
        <w:rPr>
          <w:rFonts w:ascii="Times New Roman" w:hAnsi="Times New Roman" w:cs="Times New Roman"/>
          <w:sz w:val="24"/>
          <w:szCs w:val="24"/>
        </w:rPr>
        <w:t>ustanovením umožnenia</w:t>
      </w:r>
      <w:r w:rsidRPr="005D0BF4">
        <w:rPr>
          <w:rFonts w:ascii="Times New Roman" w:hAnsi="Times New Roman" w:cs="Times New Roman"/>
          <w:sz w:val="24"/>
          <w:szCs w:val="24"/>
        </w:rPr>
        <w:t xml:space="preserve"> prítomnosti osobného asistenta v škole alebo</w:t>
      </w:r>
      <w:r w:rsidR="00175E21">
        <w:rPr>
          <w:rFonts w:ascii="Times New Roman" w:hAnsi="Times New Roman" w:cs="Times New Roman"/>
          <w:sz w:val="24"/>
          <w:szCs w:val="24"/>
        </w:rPr>
        <w:t xml:space="preserve"> v</w:t>
      </w:r>
      <w:r w:rsidRPr="005D0BF4">
        <w:rPr>
          <w:rFonts w:ascii="Times New Roman" w:hAnsi="Times New Roman" w:cs="Times New Roman"/>
          <w:sz w:val="24"/>
          <w:szCs w:val="24"/>
        </w:rPr>
        <w:t xml:space="preserve"> školskom zariadení a zároveň neustanovuje právo dieťa</w:t>
      </w:r>
      <w:r w:rsidR="00365693" w:rsidRPr="005D0BF4">
        <w:rPr>
          <w:rFonts w:ascii="Times New Roman" w:hAnsi="Times New Roman" w:cs="Times New Roman"/>
          <w:sz w:val="24"/>
          <w:szCs w:val="24"/>
        </w:rPr>
        <w:t>ť</w:t>
      </w:r>
      <w:r w:rsidR="0077513E" w:rsidRPr="005D0BF4">
        <w:rPr>
          <w:rFonts w:ascii="Times New Roman" w:hAnsi="Times New Roman" w:cs="Times New Roman"/>
          <w:sz w:val="24"/>
          <w:szCs w:val="24"/>
        </w:rPr>
        <w:t>a alebo žiaka</w:t>
      </w:r>
      <w:r w:rsidR="00365693" w:rsidRPr="005D0BF4">
        <w:rPr>
          <w:rFonts w:ascii="Times New Roman" w:hAnsi="Times New Roman" w:cs="Times New Roman"/>
          <w:sz w:val="24"/>
          <w:szCs w:val="24"/>
        </w:rPr>
        <w:t xml:space="preserve">, na to aby mu bola poskytovaná pomoc </w:t>
      </w:r>
      <w:r w:rsidRPr="005D0BF4">
        <w:rPr>
          <w:rFonts w:ascii="Times New Roman" w:hAnsi="Times New Roman" w:cs="Times New Roman"/>
          <w:sz w:val="24"/>
          <w:szCs w:val="24"/>
        </w:rPr>
        <w:t>os</w:t>
      </w:r>
      <w:r w:rsidR="00365693" w:rsidRPr="005D0BF4">
        <w:rPr>
          <w:rFonts w:ascii="Times New Roman" w:hAnsi="Times New Roman" w:cs="Times New Roman"/>
          <w:sz w:val="24"/>
          <w:szCs w:val="24"/>
        </w:rPr>
        <w:t xml:space="preserve">obným </w:t>
      </w:r>
      <w:r w:rsidRPr="005D0BF4">
        <w:rPr>
          <w:rFonts w:ascii="Times New Roman" w:hAnsi="Times New Roman" w:cs="Times New Roman"/>
          <w:sz w:val="24"/>
          <w:szCs w:val="24"/>
        </w:rPr>
        <w:t>a</w:t>
      </w:r>
      <w:r w:rsidR="00365693" w:rsidRPr="005D0BF4">
        <w:rPr>
          <w:rFonts w:ascii="Times New Roman" w:hAnsi="Times New Roman" w:cs="Times New Roman"/>
          <w:sz w:val="24"/>
          <w:szCs w:val="24"/>
        </w:rPr>
        <w:t xml:space="preserve">sistentom </w:t>
      </w:r>
      <w:r w:rsidRPr="005D0BF4">
        <w:rPr>
          <w:rFonts w:ascii="Times New Roman" w:hAnsi="Times New Roman" w:cs="Times New Roman"/>
          <w:sz w:val="24"/>
          <w:szCs w:val="24"/>
        </w:rPr>
        <w:t xml:space="preserve">v priestoroch školy a školského zariadenia. Zaradenie navrhovaného ustanovenia § 145a nie je podľa názoru </w:t>
      </w:r>
      <w:r w:rsidR="0077513E" w:rsidRPr="005D0BF4">
        <w:rPr>
          <w:rFonts w:ascii="Times New Roman" w:hAnsi="Times New Roman" w:cs="Times New Roman"/>
          <w:sz w:val="24"/>
          <w:szCs w:val="24"/>
        </w:rPr>
        <w:t>ministerstva</w:t>
      </w:r>
      <w:r w:rsidRPr="005D0BF4">
        <w:rPr>
          <w:rFonts w:ascii="Times New Roman" w:hAnsi="Times New Roman" w:cs="Times New Roman"/>
          <w:sz w:val="24"/>
          <w:szCs w:val="24"/>
        </w:rPr>
        <w:t xml:space="preserve"> vhodné z hľadiska systematiky zákona č. 245/2008 Z. z. o výchove a vzdelávaní (školský zákon) a o zmene a doplnení niektorých zákonov v znení neskorších predpisov.</w:t>
      </w:r>
    </w:p>
    <w:p w:rsidR="00A76D81" w:rsidRPr="005D0BF4" w:rsidRDefault="00A76D81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F22" w:rsidRPr="005D0BF4" w:rsidRDefault="007F0F22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Zároveň uvádzame, že v súčasnosti sa v legislatívnom procese nachádza materiál Ministerstva školstva, vedy, výskumu a športu Slovenskej republiky „Návrh zákona, ktorým sa mení a dopĺňa zákon č. 245/2008 Z. z. o výchove a vzdelávaní (školský zákon) a o zmene a doplnení niektorých zákonov v znení neskorších predpisov“, ktorým sa plnia niektoré ciele Plánu obnovy a odolnosti SR schváleného uznesením vlády SR č. 221 z 28. apríla 2021 (komponent 6, ciele reforiem 1, 2 a 3). Jedným z cieľov je aj </w:t>
      </w:r>
      <w:r w:rsidRPr="005D0BF4">
        <w:rPr>
          <w:rFonts w:ascii="Times New Roman" w:hAnsi="Times New Roman" w:cs="Times New Roman"/>
          <w:b/>
          <w:sz w:val="24"/>
          <w:szCs w:val="24"/>
        </w:rPr>
        <w:t>„</w:t>
      </w:r>
      <w:r w:rsidRPr="005D0BF4">
        <w:rPr>
          <w:rFonts w:ascii="Times New Roman" w:hAnsi="Times New Roman" w:cs="Times New Roman"/>
          <w:b/>
          <w:i/>
          <w:sz w:val="24"/>
          <w:szCs w:val="24"/>
        </w:rPr>
        <w:t>Definícia konceptu špeciálnych výchovno-vzdelávacích potrieb detí a žiakov a vypracovanie modelu nárokovateľných podporných opatrení vo výchove a vzdelávaní, vrátane systému ich financovania“</w:t>
      </w:r>
      <w:r w:rsidRPr="005D0BF4">
        <w:rPr>
          <w:rFonts w:ascii="Times New Roman" w:hAnsi="Times New Roman" w:cs="Times New Roman"/>
          <w:b/>
          <w:sz w:val="24"/>
          <w:szCs w:val="24"/>
        </w:rPr>
        <w:t>.</w:t>
      </w:r>
      <w:r w:rsidRPr="005D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22" w:rsidRPr="005D0BF4" w:rsidRDefault="007F0F22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F22" w:rsidRPr="005D0BF4" w:rsidRDefault="007F0F22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Predmetným návrhom sa zavádza systém podporných opatrení, ktoré budú poskytované školou alebo školským zariadením dieťaťu so špeciálnymi výchovno-vzdelávacími potrebami alebo žiakovi so špeciálnymi výchovno-vzdelávacími potrebami potrebné na jeho plnohodnotné zapájanie sa do výchovy a vzdelávania, rozvíjanie kompetencií a plnohodnotné zaradenie sa v škole alebo v školskom zariadení. Zoznam podporných opatrení zahŕňa tie opatrenia, ktoré sú zamerané na poskytnutie podporného opatrenia priamo vo výchovno-vzdelávacom procese pre deti a žiakov so špeciálnymi výchovno-vzdelávacími potrebami a ktoré môžu súvisieť aj s ďalšími personálnymi a materiálno-technickými požiadavkami. Jedným z podporných opatrení je aj </w:t>
      </w:r>
      <w:r w:rsidRPr="005D0BF4">
        <w:rPr>
          <w:rFonts w:ascii="Times New Roman" w:hAnsi="Times New Roman" w:cs="Times New Roman"/>
          <w:b/>
          <w:sz w:val="24"/>
          <w:szCs w:val="24"/>
        </w:rPr>
        <w:t>„</w:t>
      </w:r>
      <w:r w:rsidRPr="005D0BF4">
        <w:rPr>
          <w:rFonts w:ascii="Times New Roman" w:hAnsi="Times New Roman" w:cs="Times New Roman"/>
          <w:b/>
          <w:i/>
          <w:sz w:val="24"/>
          <w:szCs w:val="24"/>
        </w:rPr>
        <w:t>zabezpečenie sebaobslužných úkonov v čase výchovno-vzdelávacieho procesu (poskytovanie bude zabezpečovať škola alebo školské zariadenie)“</w:t>
      </w:r>
      <w:r w:rsidRPr="005D0BF4">
        <w:rPr>
          <w:rFonts w:ascii="Times New Roman" w:hAnsi="Times New Roman" w:cs="Times New Roman"/>
          <w:sz w:val="24"/>
          <w:szCs w:val="24"/>
        </w:rPr>
        <w:t>. V mesiaci apríl 2023 bude návrh novely zákona č. 245/2008 Z. z. o výchove a vzdelávaní (školský zákon) a o zmene a doplnení niektorých zákonov v znení neskorších predpisov predložený na prerokovanie výborom Národnej rady Slovenskej republiky. Predpokladaná účinnosť návrhu zákona je 1. september 2023 (aj s ohľadom na začiatok školského roka).</w:t>
      </w:r>
    </w:p>
    <w:p w:rsidR="007F0F22" w:rsidRPr="005D0BF4" w:rsidRDefault="007F0F22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F22" w:rsidRDefault="007F0F22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Pre úplnosť informácie uvádzame, že podobné návrhy (týkajúce sa zmeny zákona č.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447/2008 Z. z. - § 21 ods. 3 a 4) boli Národnej rade Slovenskej republiky predložené na rokovanie aj v minulosti (napr. v roku 2015, 2017, 2019) a neboli podporené ani zo strany ministerstva.</w:t>
      </w:r>
    </w:p>
    <w:p w:rsidR="002223F6" w:rsidRDefault="002223F6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F6" w:rsidRPr="00C270BB" w:rsidRDefault="002223F6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>Ministerstvo prerokovalo svoje stanovisko k poslaneckému návrhu zákona v 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31 Legislatívnych pravidiel vlády Slovenskej republiky v pripomienkovom konaní.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rámci pripomienkového konania bol</w:t>
      </w:r>
      <w:r w:rsidR="000376E0">
        <w:rPr>
          <w:rFonts w:ascii="Times New Roman" w:hAnsi="Times New Roman" w:cs="Times New Roman"/>
          <w:sz w:val="24"/>
          <w:szCs w:val="24"/>
        </w:rPr>
        <w:t>i</w:t>
      </w:r>
      <w:r w:rsidRPr="00C270BB">
        <w:rPr>
          <w:rFonts w:ascii="Times New Roman" w:hAnsi="Times New Roman" w:cs="Times New Roman"/>
          <w:sz w:val="24"/>
          <w:szCs w:val="24"/>
        </w:rPr>
        <w:t xml:space="preserve"> Ministerstvom financií Slovenskej republiky </w:t>
      </w:r>
      <w:r w:rsidR="000376E0">
        <w:rPr>
          <w:rFonts w:ascii="Times New Roman" w:hAnsi="Times New Roman" w:cs="Times New Roman"/>
          <w:sz w:val="24"/>
          <w:szCs w:val="24"/>
        </w:rPr>
        <w:t xml:space="preserve">a Ministerstvom školstva, vedy výskumu a športu Slovenskej republiky </w:t>
      </w:r>
      <w:r w:rsidRPr="00C270BB">
        <w:rPr>
          <w:rFonts w:ascii="Times New Roman" w:hAnsi="Times New Roman" w:cs="Times New Roman"/>
          <w:sz w:val="24"/>
          <w:szCs w:val="24"/>
        </w:rPr>
        <w:t>uplatnen</w:t>
      </w:r>
      <w:r w:rsidR="000376E0">
        <w:rPr>
          <w:rFonts w:ascii="Times New Roman" w:hAnsi="Times New Roman" w:cs="Times New Roman"/>
          <w:sz w:val="24"/>
          <w:szCs w:val="24"/>
        </w:rPr>
        <w:t>é nasledovné</w:t>
      </w:r>
      <w:r w:rsidRPr="00C270BB">
        <w:rPr>
          <w:rFonts w:ascii="Times New Roman" w:hAnsi="Times New Roman" w:cs="Times New Roman"/>
          <w:sz w:val="24"/>
          <w:szCs w:val="24"/>
        </w:rPr>
        <w:t xml:space="preserve"> zásadn</w:t>
      </w:r>
      <w:r w:rsidR="000376E0">
        <w:rPr>
          <w:rFonts w:ascii="Times New Roman" w:hAnsi="Times New Roman" w:cs="Times New Roman"/>
          <w:sz w:val="24"/>
          <w:szCs w:val="24"/>
        </w:rPr>
        <w:t>é</w:t>
      </w:r>
      <w:r w:rsidRPr="00C270BB">
        <w:rPr>
          <w:rFonts w:ascii="Times New Roman" w:hAnsi="Times New Roman" w:cs="Times New Roman"/>
          <w:sz w:val="24"/>
          <w:szCs w:val="24"/>
        </w:rPr>
        <w:t xml:space="preserve"> pripomienk</w:t>
      </w:r>
      <w:r w:rsidR="000376E0">
        <w:rPr>
          <w:rFonts w:ascii="Times New Roman" w:hAnsi="Times New Roman" w:cs="Times New Roman"/>
          <w:sz w:val="24"/>
          <w:szCs w:val="24"/>
        </w:rPr>
        <w:t>y</w:t>
      </w:r>
      <w:r w:rsidRPr="00C270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3F6" w:rsidRDefault="002223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6E0" w:rsidRPr="000376E0" w:rsidRDefault="000376E0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6E0">
        <w:rPr>
          <w:rFonts w:ascii="Times New Roman" w:hAnsi="Times New Roman" w:cs="Times New Roman"/>
          <w:sz w:val="24"/>
          <w:szCs w:val="24"/>
        </w:rPr>
        <w:t>Pripomienka Ministerstva financií Slovenskej republiky:</w:t>
      </w:r>
    </w:p>
    <w:p w:rsidR="00134035" w:rsidRDefault="00134035" w:rsidP="001340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3F6" w:rsidRPr="00C270BB" w:rsidRDefault="002223F6" w:rsidP="001340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0BB">
        <w:rPr>
          <w:rFonts w:ascii="Times New Roman" w:hAnsi="Times New Roman" w:cs="Times New Roman"/>
          <w:i/>
          <w:sz w:val="24"/>
          <w:szCs w:val="24"/>
        </w:rPr>
        <w:t>„</w:t>
      </w:r>
      <w:r w:rsidRPr="002223F6">
        <w:rPr>
          <w:rFonts w:ascii="Times New Roman" w:hAnsi="Times New Roman" w:cs="Times New Roman"/>
          <w:i/>
          <w:sz w:val="24"/>
          <w:szCs w:val="24"/>
        </w:rPr>
        <w:t xml:space="preserve">V predloženom návrhu zákona sa navrhuje umožniť poskytovanie osobnej asistencie </w:t>
      </w:r>
      <w:r w:rsidR="0013403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223F6">
        <w:rPr>
          <w:rFonts w:ascii="Times New Roman" w:hAnsi="Times New Roman" w:cs="Times New Roman"/>
          <w:i/>
          <w:sz w:val="24"/>
          <w:szCs w:val="24"/>
        </w:rPr>
        <w:t xml:space="preserve">v školách a školských zariadeniach. Touto zmenou sa rozšíri možnosť poskytovania individuálnej pomoci pre deti v materských školách, pre žiakov na základných školách a pre študentov na stredných školách, ktorú im neposkytuje asistent učiteľa, keďže jeho činnosť je diametrálne odlišná od úkonov osobnej asistencie. Ministerstvo práce, sociálnych vecí a rodiny </w:t>
      </w:r>
      <w:r w:rsidRPr="002223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SR v predkladacej správe uvádza, že finančný vplyv návrhu je v roku 2023 v sume 83 736 802 eur, v roku 2024 v sume 321 144 768 eur, v roku 2025 v sume 323 741 376 eur a v roku 2026 </w:t>
      </w:r>
      <w:r w:rsidR="00134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223F6">
        <w:rPr>
          <w:rFonts w:ascii="Times New Roman" w:hAnsi="Times New Roman" w:cs="Times New Roman"/>
          <w:i/>
          <w:sz w:val="24"/>
          <w:szCs w:val="24"/>
        </w:rPr>
        <w:t>v sume 326 013 408 eur. Ministerstvo práce, sociálnych vecí a rodiny SR ďalej uvádza, že uvedený návrh by predstavoval neprimeranú administratívnu záťaž pre zamestnancov úradov práce a posudkových lekárov, ktorých počet je v súčasnosti poddimenzovaný. V súlade s § 33 ods. 1 zákona č. 523/2004 Z. z. o rozpočtových pravidlách verejnej správy a o zmene a doplnení niektorých zákonov v znení neskorších predpisov je potrebné v predkladacej správe doplniť aj návrh na úhradu zvýšených výdavkov na jednotlivé rozpočtové roky.</w:t>
      </w:r>
      <w:r w:rsidRPr="00C270BB">
        <w:rPr>
          <w:rFonts w:ascii="Times New Roman" w:hAnsi="Times New Roman" w:cs="Times New Roman"/>
          <w:i/>
          <w:sz w:val="24"/>
          <w:szCs w:val="24"/>
        </w:rPr>
        <w:t>“.</w:t>
      </w:r>
    </w:p>
    <w:p w:rsidR="00134035" w:rsidRDefault="00134035" w:rsidP="00E93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F6" w:rsidRDefault="002223F6" w:rsidP="00E93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BB">
        <w:rPr>
          <w:rFonts w:ascii="Times New Roman" w:hAnsi="Times New Roman" w:cs="Times New Roman"/>
          <w:sz w:val="24"/>
          <w:szCs w:val="24"/>
        </w:rPr>
        <w:t xml:space="preserve">Ministerstvo k pripomienke </w:t>
      </w:r>
      <w:r w:rsidR="000376E0">
        <w:rPr>
          <w:rFonts w:ascii="Times New Roman" w:hAnsi="Times New Roman" w:cs="Times New Roman"/>
          <w:sz w:val="24"/>
          <w:szCs w:val="24"/>
        </w:rPr>
        <w:t xml:space="preserve">Ministerstva financií Slovenskej republiky </w:t>
      </w:r>
      <w:r w:rsidRPr="00C270BB">
        <w:rPr>
          <w:rFonts w:ascii="Times New Roman" w:hAnsi="Times New Roman" w:cs="Times New Roman"/>
          <w:sz w:val="24"/>
          <w:szCs w:val="24"/>
        </w:rPr>
        <w:t>uvádza, že nie je navrhovateľom predmetnej právnej úpravy, preto nemá kompetenciu doplniť predkladaciu správu o údaje predpokladané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0BB">
        <w:rPr>
          <w:rFonts w:ascii="Times New Roman" w:hAnsi="Times New Roman" w:cs="Times New Roman"/>
          <w:sz w:val="24"/>
          <w:szCs w:val="24"/>
        </w:rPr>
        <w:t>§ 33 ods. 1 zákona č. 523/2004 Z. z.</w:t>
      </w:r>
      <w:r w:rsidR="00014A24">
        <w:rPr>
          <w:rFonts w:ascii="Times New Roman" w:hAnsi="Times New Roman" w:cs="Times New Roman"/>
          <w:sz w:val="24"/>
          <w:szCs w:val="24"/>
        </w:rPr>
        <w:t xml:space="preserve"> o </w:t>
      </w:r>
      <w:r w:rsidR="00014A24" w:rsidRPr="00014A24">
        <w:rPr>
          <w:rFonts w:ascii="Times New Roman" w:hAnsi="Times New Roman" w:cs="Times New Roman"/>
          <w:sz w:val="24"/>
          <w:szCs w:val="24"/>
        </w:rPr>
        <w:t>rozpočtových pravidlách verejnej správy a o zmene a doplnení niektorých zákonov v znení neskorších predpisov</w:t>
      </w:r>
      <w:r w:rsidR="00014A24">
        <w:rPr>
          <w:rFonts w:ascii="Times New Roman" w:hAnsi="Times New Roman" w:cs="Times New Roman"/>
          <w:sz w:val="24"/>
          <w:szCs w:val="24"/>
        </w:rPr>
        <w:t xml:space="preserve">. </w:t>
      </w:r>
      <w:r w:rsidRPr="00C2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Ministerstvo dodáva, že</w:t>
      </w:r>
      <w:r w:rsidRPr="002223F6">
        <w:rPr>
          <w:rFonts w:ascii="Times New Roman" w:hAnsi="Times New Roman" w:cs="Times New Roman"/>
          <w:sz w:val="24"/>
          <w:szCs w:val="24"/>
        </w:rPr>
        <w:t xml:space="preserve"> </w:t>
      </w:r>
      <w:r w:rsidR="007E1F48">
        <w:rPr>
          <w:rFonts w:ascii="Times New Roman" w:hAnsi="Times New Roman" w:cs="Times New Roman"/>
          <w:sz w:val="24"/>
          <w:szCs w:val="24"/>
        </w:rPr>
        <w:t xml:space="preserve">aj z dôvodu, že navrhovateľ zákona neuviedol, </w:t>
      </w:r>
      <w:r w:rsidRPr="002223F6">
        <w:rPr>
          <w:rFonts w:ascii="Times New Roman" w:hAnsi="Times New Roman" w:cs="Times New Roman"/>
          <w:sz w:val="24"/>
          <w:szCs w:val="24"/>
        </w:rPr>
        <w:t>akým spôsobom by mohli byť pokryté finančné dopady predloženého návrhu zákona</w:t>
      </w:r>
      <w:r w:rsidR="007E1F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odporúča</w:t>
      </w:r>
      <w:r w:rsidRPr="002223F6">
        <w:rPr>
          <w:rFonts w:ascii="Times New Roman" w:hAnsi="Times New Roman" w:cs="Times New Roman"/>
          <w:sz w:val="24"/>
          <w:szCs w:val="24"/>
        </w:rPr>
        <w:t xml:space="preserve"> vláde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2223F6">
        <w:rPr>
          <w:rFonts w:ascii="Times New Roman" w:hAnsi="Times New Roman" w:cs="Times New Roman"/>
          <w:sz w:val="24"/>
          <w:szCs w:val="24"/>
        </w:rPr>
        <w:t xml:space="preserve"> vysloviť s predmetným návrhom zákona nesúhlas.</w:t>
      </w:r>
    </w:p>
    <w:p w:rsidR="00913392" w:rsidRPr="00C270BB" w:rsidRDefault="00913392" w:rsidP="00E93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6E0" w:rsidRDefault="000376E0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Ministerstva školstva, vedy, výskumu a športu Slovenskej republiky:</w:t>
      </w:r>
    </w:p>
    <w:p w:rsidR="000376E0" w:rsidRDefault="000376E0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6E0" w:rsidRPr="00AB4484" w:rsidRDefault="000376E0" w:rsidP="00913392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484">
        <w:rPr>
          <w:rFonts w:ascii="Times New Roman" w:hAnsi="Times New Roman" w:cs="Times New Roman"/>
          <w:sz w:val="24"/>
          <w:szCs w:val="24"/>
        </w:rPr>
        <w:t>„</w:t>
      </w:r>
      <w:r w:rsidRPr="00AB4484">
        <w:rPr>
          <w:rFonts w:ascii="Times New Roman" w:hAnsi="Times New Roman" w:cs="Times New Roman"/>
          <w:i/>
          <w:sz w:val="24"/>
          <w:szCs w:val="24"/>
        </w:rPr>
        <w:t>Slová „školského vyučovania alebo záujmovej činnosti“ žiadame nahradiť slovami „výchovno-vzdelávacieho procesu a ostatných činností v škole alebo školskom zariadení“.</w:t>
      </w:r>
    </w:p>
    <w:p w:rsidR="000376E0" w:rsidRPr="000376E0" w:rsidRDefault="000376E0" w:rsidP="00A153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E0">
        <w:rPr>
          <w:rFonts w:ascii="Times New Roman" w:hAnsi="Times New Roman" w:cs="Times New Roman"/>
          <w:i/>
          <w:sz w:val="24"/>
          <w:szCs w:val="24"/>
        </w:rPr>
        <w:t>Túto pripomienku považujeme za zásadnú.</w:t>
      </w:r>
    </w:p>
    <w:p w:rsidR="000376E0" w:rsidRPr="000376E0" w:rsidRDefault="000376E0" w:rsidP="000376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6E0" w:rsidRPr="000376E0" w:rsidRDefault="000376E0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E0">
        <w:rPr>
          <w:rFonts w:ascii="Times New Roman" w:hAnsi="Times New Roman" w:cs="Times New Roman"/>
          <w:i/>
          <w:sz w:val="24"/>
          <w:szCs w:val="24"/>
        </w:rPr>
        <w:t>Odôvodnenie:</w:t>
      </w:r>
    </w:p>
    <w:p w:rsidR="000376E0" w:rsidRPr="000376E0" w:rsidRDefault="000376E0" w:rsidP="00913392">
      <w:pPr>
        <w:spacing w:after="0" w:line="240" w:lineRule="auto"/>
        <w:ind w:left="567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E0">
        <w:rPr>
          <w:rFonts w:ascii="Times New Roman" w:hAnsi="Times New Roman" w:cs="Times New Roman"/>
          <w:i/>
          <w:sz w:val="24"/>
          <w:szCs w:val="24"/>
        </w:rPr>
        <w:t>Úprava zahŕňa aj ďalšie situácie, pri ktorých je v škole potrebná osobná asistencia žiakovi alebo dieťaťu s ťažkým zdravotným postihnutím ako aj umožňuje poskytovanie osobnej asistencie v školských zariadeniach, ktoré nevykonávajú záujmovú činnosť (napr. školské jedálne).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7F0F22" w:rsidRDefault="007F0F22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AF3" w:rsidRDefault="000376E0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predmetnej pripomienke ministerstvo uvádza, že </w:t>
      </w:r>
      <w:r w:rsidR="002C4AF3">
        <w:rPr>
          <w:rFonts w:ascii="Times New Roman" w:hAnsi="Times New Roman" w:cs="Times New Roman"/>
          <w:sz w:val="24"/>
          <w:szCs w:val="24"/>
        </w:rPr>
        <w:t xml:space="preserve">pripomienku obdobného charakteru odporúča uplatniť vláde Slovenskej republiky, s tým rozdielom, že nekonkretizuje, že má ísť o výkon osobnej asistencie počas výchovno-vzdelávacieho procesu a ostatných činností v škole alebo školskom zariadení. </w:t>
      </w:r>
      <w:r w:rsidR="0077302E">
        <w:rPr>
          <w:rFonts w:ascii="Times New Roman" w:hAnsi="Times New Roman" w:cs="Times New Roman"/>
          <w:sz w:val="24"/>
          <w:szCs w:val="24"/>
        </w:rPr>
        <w:t>F</w:t>
      </w:r>
      <w:r w:rsidR="002C4AF3">
        <w:rPr>
          <w:rFonts w:ascii="Times New Roman" w:hAnsi="Times New Roman" w:cs="Times New Roman"/>
          <w:sz w:val="24"/>
          <w:szCs w:val="24"/>
        </w:rPr>
        <w:t>ormulácia navrhovaná ministerstvom</w:t>
      </w:r>
      <w:r w:rsidR="0077302E">
        <w:rPr>
          <w:rFonts w:ascii="Times New Roman" w:hAnsi="Times New Roman" w:cs="Times New Roman"/>
          <w:sz w:val="24"/>
          <w:szCs w:val="24"/>
        </w:rPr>
        <w:t xml:space="preserve"> je postačujúca</w:t>
      </w:r>
      <w:r w:rsidR="002C4AF3">
        <w:rPr>
          <w:rFonts w:ascii="Times New Roman" w:hAnsi="Times New Roman" w:cs="Times New Roman"/>
          <w:sz w:val="24"/>
          <w:szCs w:val="24"/>
        </w:rPr>
        <w:t>,</w:t>
      </w:r>
      <w:r w:rsidR="0077302E">
        <w:rPr>
          <w:rFonts w:ascii="Times New Roman" w:hAnsi="Times New Roman" w:cs="Times New Roman"/>
          <w:sz w:val="24"/>
          <w:szCs w:val="24"/>
        </w:rPr>
        <w:t xml:space="preserve"> nakoľko</w:t>
      </w:r>
      <w:r w:rsidR="002C4AF3">
        <w:rPr>
          <w:rFonts w:ascii="Times New Roman" w:hAnsi="Times New Roman" w:cs="Times New Roman"/>
          <w:sz w:val="24"/>
          <w:szCs w:val="24"/>
        </w:rPr>
        <w:t xml:space="preserve"> umožňuje výkon osobnej asistencie v škole a školskom zariadení, bez ohľadu na činnosti, resp. procesy ktoré sa v nich uskutočňujú. </w:t>
      </w:r>
    </w:p>
    <w:p w:rsidR="00AB4484" w:rsidRDefault="00AB4484" w:rsidP="0003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02E" w:rsidRDefault="00A66560" w:rsidP="00913392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B4484" w:rsidRPr="00A66560">
        <w:rPr>
          <w:rFonts w:ascii="Times New Roman" w:hAnsi="Times New Roman" w:cs="Times New Roman"/>
          <w:i/>
          <w:sz w:val="24"/>
          <w:szCs w:val="24"/>
        </w:rPr>
        <w:t xml:space="preserve">Žiadame zohľadniť aj deti a žiakov, ktorým sa neposkytuje celoročne poskytovaná sociálna služba. Zároveň žiadame upraviť prílohu č. 4 zákona č. 447/2008 Z. z. V tejto súvislosti žiadame spresniť, pri ktorých činnostiach má škola alebo školské zariadenie poskytovať osobnému asistentovi súčinnosť, či má byť osobný asistent pri dieťati počas celej výchovno- vzdelávacej činnosti. </w:t>
      </w:r>
    </w:p>
    <w:p w:rsidR="00AB4484" w:rsidRPr="00A66560" w:rsidRDefault="00AB4484" w:rsidP="00A15321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560">
        <w:rPr>
          <w:rFonts w:ascii="Times New Roman" w:hAnsi="Times New Roman" w:cs="Times New Roman"/>
          <w:i/>
          <w:sz w:val="24"/>
          <w:szCs w:val="24"/>
        </w:rPr>
        <w:t>Túto pripomienku považujeme za zásadnú.</w:t>
      </w:r>
    </w:p>
    <w:p w:rsidR="00AB4484" w:rsidRPr="00A66560" w:rsidRDefault="00AB4484" w:rsidP="00AB4484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6560" w:rsidRPr="00A66560" w:rsidRDefault="00AB4484" w:rsidP="0091339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560">
        <w:rPr>
          <w:rFonts w:ascii="Times New Roman" w:hAnsi="Times New Roman" w:cs="Times New Roman"/>
          <w:i/>
          <w:sz w:val="24"/>
          <w:szCs w:val="24"/>
        </w:rPr>
        <w:t xml:space="preserve">Odôvodnenie: </w:t>
      </w:r>
    </w:p>
    <w:p w:rsidR="00AB4484" w:rsidRPr="00AB4484" w:rsidRDefault="00AB4484" w:rsidP="00A15321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6560">
        <w:rPr>
          <w:rFonts w:ascii="Times New Roman" w:hAnsi="Times New Roman" w:cs="Times New Roman"/>
          <w:i/>
          <w:sz w:val="24"/>
          <w:szCs w:val="24"/>
        </w:rPr>
        <w:t xml:space="preserve">Podľa predloženého návrhu by sa osobná asistencia týkala len fyzickej osoby s ťažkým zdravotným postihnutím, ktorej sa poskytuje celoročná pobytová sociálna služba. Netýkala by sa osobnej asistencie poskytovanej iným fyzickým osobám s ťažkým zdravotným postihnutím, t. j. detí a žiakov, ktoré sú napr. v domácom prostredí. Zároveň návrh v súvislosti s výkonom osobnej asistencie v škole primerane neupravuje prílohu č. </w:t>
      </w:r>
      <w:r w:rsidRPr="00A66560">
        <w:rPr>
          <w:rFonts w:ascii="Times New Roman" w:hAnsi="Times New Roman" w:cs="Times New Roman"/>
          <w:i/>
          <w:sz w:val="24"/>
          <w:szCs w:val="24"/>
        </w:rPr>
        <w:lastRenderedPageBreak/>
        <w:t>4 zákona č. 447/2008 Z. z. - zoznam činností na účely určenia rozsahu potrebnej osobnej asistencie.</w:t>
      </w:r>
      <w:r w:rsidR="00A66560">
        <w:rPr>
          <w:rFonts w:ascii="Times New Roman" w:hAnsi="Times New Roman" w:cs="Times New Roman"/>
          <w:sz w:val="24"/>
          <w:szCs w:val="24"/>
        </w:rPr>
        <w:t>“</w:t>
      </w:r>
    </w:p>
    <w:p w:rsidR="00AB4484" w:rsidRDefault="00AB4484" w:rsidP="0003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261" w:rsidRDefault="008349E1" w:rsidP="00913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961">
        <w:rPr>
          <w:rFonts w:ascii="Times New Roman" w:hAnsi="Times New Roman" w:cs="Times New Roman"/>
          <w:sz w:val="24"/>
          <w:szCs w:val="24"/>
        </w:rPr>
        <w:t>K predmetnej pripomienke ministerstvo uvádza, že cieľom návrhu novely zákona</w:t>
      </w:r>
      <w:r w:rsidR="00AD2F18" w:rsidRPr="006D7961">
        <w:rPr>
          <w:rFonts w:ascii="Times New Roman" w:hAnsi="Times New Roman" w:cs="Times New Roman"/>
          <w:sz w:val="24"/>
          <w:szCs w:val="24"/>
        </w:rPr>
        <w:t xml:space="preserve"> </w:t>
      </w:r>
      <w:r w:rsidR="009133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08D" w:rsidRPr="006D7961">
        <w:rPr>
          <w:rFonts w:ascii="Times New Roman" w:hAnsi="Times New Roman" w:cs="Times New Roman"/>
          <w:sz w:val="24"/>
          <w:szCs w:val="24"/>
        </w:rPr>
        <w:t xml:space="preserve">č. 447/2008 Z. z. </w:t>
      </w:r>
      <w:r w:rsidR="00AD2F18" w:rsidRPr="006D7961">
        <w:rPr>
          <w:rFonts w:ascii="Times New Roman" w:hAnsi="Times New Roman" w:cs="Times New Roman"/>
          <w:sz w:val="24"/>
          <w:szCs w:val="24"/>
        </w:rPr>
        <w:t xml:space="preserve">je </w:t>
      </w:r>
      <w:r w:rsidR="007F7EE6" w:rsidRPr="006D7961">
        <w:rPr>
          <w:rFonts w:ascii="Times New Roman" w:hAnsi="Times New Roman" w:cs="Times New Roman"/>
          <w:sz w:val="24"/>
          <w:szCs w:val="24"/>
        </w:rPr>
        <w:t xml:space="preserve">vo všeobecnosti </w:t>
      </w:r>
      <w:r w:rsidR="0037408D" w:rsidRPr="006D7961">
        <w:rPr>
          <w:rFonts w:ascii="Times New Roman" w:hAnsi="Times New Roman" w:cs="Times New Roman"/>
          <w:sz w:val="24"/>
          <w:szCs w:val="24"/>
        </w:rPr>
        <w:t xml:space="preserve">úprava podmienok poskytovania peňažného príspevku na osobnú asistenciu za účelom </w:t>
      </w:r>
      <w:r w:rsidR="00AD2F18" w:rsidRPr="006D7961">
        <w:rPr>
          <w:rFonts w:ascii="Times New Roman" w:hAnsi="Times New Roman" w:cs="Times New Roman"/>
          <w:sz w:val="24"/>
          <w:szCs w:val="24"/>
        </w:rPr>
        <w:t>možnosti vykonávania osobnej asistencie aj v materských, základných a stredných školách</w:t>
      </w:r>
      <w:r w:rsidR="00E16A32">
        <w:rPr>
          <w:rFonts w:ascii="Times New Roman" w:hAnsi="Times New Roman" w:cs="Times New Roman"/>
          <w:sz w:val="24"/>
          <w:szCs w:val="24"/>
        </w:rPr>
        <w:t xml:space="preserve"> a školských zariadeniach</w:t>
      </w:r>
      <w:r w:rsidR="007F7EE6" w:rsidRPr="006D7961">
        <w:rPr>
          <w:rFonts w:ascii="Times New Roman" w:hAnsi="Times New Roman" w:cs="Times New Roman"/>
          <w:sz w:val="24"/>
          <w:szCs w:val="24"/>
        </w:rPr>
        <w:t>. Ministerstvo zároveň dodáva, že</w:t>
      </w:r>
      <w:r w:rsidR="00A15321">
        <w:rPr>
          <w:rFonts w:ascii="Times New Roman" w:hAnsi="Times New Roman" w:cs="Times New Roman"/>
          <w:sz w:val="24"/>
          <w:szCs w:val="24"/>
        </w:rPr>
        <w:t xml:space="preserve"> </w:t>
      </w:r>
      <w:r w:rsidR="0037408D" w:rsidRPr="006D7961">
        <w:rPr>
          <w:rFonts w:ascii="Times New Roman" w:hAnsi="Times New Roman" w:cs="Times New Roman"/>
          <w:sz w:val="24"/>
          <w:szCs w:val="24"/>
        </w:rPr>
        <w:t xml:space="preserve">navrhovaná úprava sa </w:t>
      </w:r>
      <w:r w:rsidR="00AD2F18" w:rsidRPr="006D7961">
        <w:rPr>
          <w:rFonts w:ascii="Times New Roman" w:hAnsi="Times New Roman" w:cs="Times New Roman"/>
          <w:sz w:val="24"/>
          <w:szCs w:val="24"/>
        </w:rPr>
        <w:t>netýka len fyzických osôb s ťažkým zdravotným postihnutím, ktorým sa poskytuje celoročná sociálna služba.</w:t>
      </w:r>
      <w:r w:rsidR="002D71F6">
        <w:rPr>
          <w:rFonts w:ascii="Times New Roman" w:hAnsi="Times New Roman" w:cs="Times New Roman"/>
          <w:sz w:val="24"/>
          <w:szCs w:val="24"/>
        </w:rPr>
        <w:t xml:space="preserve"> V tejto súvislosti je potrebné poukázať na to, že úpravami § 21 ods. 3 písm. a) druhého bodu a § 21 ods. 4 sa navrhuje umožniť vykonávanie osobnej asistencie v škole alebo školskom zariadení aj v prípade detí, ktoré sú napr. v domácom prostredí, resp. detí pre ktoré sú vykonávané opatrenia v zariadení sociálnoprávnej ochrany detí a sociálnej kurately pobytovou formou na základe rozhodnutia súdu. </w:t>
      </w:r>
      <w:r w:rsidR="00576E15">
        <w:rPr>
          <w:rFonts w:ascii="Times New Roman" w:hAnsi="Times New Roman" w:cs="Times New Roman"/>
          <w:sz w:val="24"/>
          <w:szCs w:val="24"/>
        </w:rPr>
        <w:t xml:space="preserve">K časti pripomienky, </w:t>
      </w:r>
      <w:r w:rsidR="00A153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4261">
        <w:rPr>
          <w:rFonts w:ascii="Times New Roman" w:hAnsi="Times New Roman" w:cs="Times New Roman"/>
          <w:sz w:val="24"/>
          <w:szCs w:val="24"/>
        </w:rPr>
        <w:t>v ktorej</w:t>
      </w:r>
      <w:r w:rsidR="00576E15">
        <w:rPr>
          <w:rFonts w:ascii="Times New Roman" w:hAnsi="Times New Roman" w:cs="Times New Roman"/>
          <w:sz w:val="24"/>
          <w:szCs w:val="24"/>
        </w:rPr>
        <w:t xml:space="preserve"> pripomienkujúci subjekt žiada o spresnenie prílohy č. 4 zákona č. 447/2008 Z. z. ministerstvo uvádza, že nepovažuje za potrebné upravovať </w:t>
      </w:r>
      <w:r w:rsidR="00AD4261">
        <w:rPr>
          <w:rFonts w:ascii="Times New Roman" w:hAnsi="Times New Roman" w:cs="Times New Roman"/>
          <w:sz w:val="24"/>
          <w:szCs w:val="24"/>
        </w:rPr>
        <w:t xml:space="preserve">predmetnú </w:t>
      </w:r>
      <w:r w:rsidR="00576E15">
        <w:rPr>
          <w:rFonts w:ascii="Times New Roman" w:hAnsi="Times New Roman" w:cs="Times New Roman"/>
          <w:sz w:val="24"/>
          <w:szCs w:val="24"/>
        </w:rPr>
        <w:t>prílohu a ustanoviť v</w:t>
      </w:r>
      <w:r w:rsidR="00AD4261">
        <w:rPr>
          <w:rFonts w:ascii="Times New Roman" w:hAnsi="Times New Roman" w:cs="Times New Roman"/>
          <w:sz w:val="24"/>
          <w:szCs w:val="24"/>
        </w:rPr>
        <w:t> </w:t>
      </w:r>
      <w:r w:rsidR="00576E15">
        <w:rPr>
          <w:rFonts w:ascii="Times New Roman" w:hAnsi="Times New Roman" w:cs="Times New Roman"/>
          <w:sz w:val="24"/>
          <w:szCs w:val="24"/>
        </w:rPr>
        <w:t>nej</w:t>
      </w:r>
      <w:r w:rsidR="00AD4261">
        <w:rPr>
          <w:rFonts w:ascii="Times New Roman" w:hAnsi="Times New Roman" w:cs="Times New Roman"/>
          <w:sz w:val="24"/>
          <w:szCs w:val="24"/>
        </w:rPr>
        <w:t>,</w:t>
      </w:r>
      <w:r w:rsidR="00576E15">
        <w:rPr>
          <w:rFonts w:ascii="Times New Roman" w:hAnsi="Times New Roman" w:cs="Times New Roman"/>
          <w:sz w:val="24"/>
          <w:szCs w:val="24"/>
        </w:rPr>
        <w:t xml:space="preserve"> pri ktorých činnostiach má škola alebo školské zariadenie poskytovať osobnému asistentovi súčinnos</w:t>
      </w:r>
      <w:r w:rsidR="00AD4261">
        <w:rPr>
          <w:rFonts w:ascii="Times New Roman" w:hAnsi="Times New Roman" w:cs="Times New Roman"/>
          <w:sz w:val="24"/>
          <w:szCs w:val="24"/>
        </w:rPr>
        <w:t>ť</w:t>
      </w:r>
      <w:r w:rsidR="00576E15">
        <w:rPr>
          <w:rFonts w:ascii="Times New Roman" w:hAnsi="Times New Roman" w:cs="Times New Roman"/>
          <w:sz w:val="24"/>
          <w:szCs w:val="24"/>
        </w:rPr>
        <w:t xml:space="preserve">. </w:t>
      </w:r>
      <w:r w:rsidR="00576BEB">
        <w:rPr>
          <w:rFonts w:ascii="Times New Roman" w:hAnsi="Times New Roman" w:cs="Times New Roman"/>
          <w:sz w:val="24"/>
          <w:szCs w:val="24"/>
        </w:rPr>
        <w:t xml:space="preserve">Postavenie školy a školského zariadenia a úlohy pedagogických zamestnancov v rámci výchovno-vzdelávacieho procesu vyplývajú </w:t>
      </w:r>
      <w:r w:rsidR="00576E15">
        <w:rPr>
          <w:rFonts w:ascii="Times New Roman" w:hAnsi="Times New Roman" w:cs="Times New Roman"/>
          <w:sz w:val="24"/>
          <w:szCs w:val="24"/>
        </w:rPr>
        <w:t xml:space="preserve"> zo školského zákona, resp. zo súvisiacich právnych predpisov.</w:t>
      </w:r>
      <w:r w:rsidR="00AD4261">
        <w:rPr>
          <w:rFonts w:ascii="Times New Roman" w:hAnsi="Times New Roman" w:cs="Times New Roman"/>
          <w:sz w:val="24"/>
          <w:szCs w:val="24"/>
        </w:rPr>
        <w:t xml:space="preserve"> </w:t>
      </w:r>
      <w:r w:rsidR="00576BEB">
        <w:rPr>
          <w:rFonts w:ascii="Times New Roman" w:hAnsi="Times New Roman" w:cs="Times New Roman"/>
          <w:sz w:val="24"/>
          <w:szCs w:val="24"/>
        </w:rPr>
        <w:t xml:space="preserve">Znenie prílohy č. 4 zákona č. 447/2008 Z. z považuje ministerstvo aj v kontexte navrhovanej právnej úpravy za dostatočné. </w:t>
      </w:r>
    </w:p>
    <w:p w:rsidR="000376E0" w:rsidRPr="005D0BF4" w:rsidRDefault="000376E0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6D3" w:rsidRPr="005D0BF4" w:rsidRDefault="006426D3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D3B7D" w:rsidRPr="005D0BF4">
        <w:rPr>
          <w:rFonts w:ascii="Times New Roman" w:hAnsi="Times New Roman" w:cs="Times New Roman"/>
          <w:sz w:val="24"/>
          <w:szCs w:val="24"/>
        </w:rPr>
        <w:t xml:space="preserve">súčasne </w:t>
      </w:r>
      <w:r w:rsidRPr="005D0BF4">
        <w:rPr>
          <w:rFonts w:ascii="Times New Roman" w:hAnsi="Times New Roman" w:cs="Times New Roman"/>
          <w:sz w:val="24"/>
          <w:szCs w:val="24"/>
        </w:rPr>
        <w:t>odporúča vláde Slovenskej republiky</w:t>
      </w:r>
      <w:r w:rsidR="00BD3B7D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5D0BF4">
        <w:rPr>
          <w:rFonts w:ascii="Times New Roman" w:hAnsi="Times New Roman" w:cs="Times New Roman"/>
          <w:sz w:val="24"/>
          <w:szCs w:val="24"/>
        </w:rPr>
        <w:t>uplatniť nasl</w:t>
      </w:r>
      <w:r w:rsidR="00BD3B7D" w:rsidRPr="005D0BF4">
        <w:rPr>
          <w:rFonts w:ascii="Times New Roman" w:hAnsi="Times New Roman" w:cs="Times New Roman"/>
          <w:sz w:val="24"/>
          <w:szCs w:val="24"/>
        </w:rPr>
        <w:t>edujúce</w:t>
      </w:r>
      <w:r w:rsidR="008F631E" w:rsidRPr="005D0BF4">
        <w:rPr>
          <w:rFonts w:ascii="Times New Roman" w:hAnsi="Times New Roman" w:cs="Times New Roman"/>
          <w:sz w:val="24"/>
          <w:szCs w:val="24"/>
        </w:rPr>
        <w:t xml:space="preserve"> legislatívno</w:t>
      </w:r>
      <w:r w:rsidR="00BD3B7D" w:rsidRPr="005D0BF4">
        <w:rPr>
          <w:rFonts w:ascii="Times New Roman" w:hAnsi="Times New Roman" w:cs="Times New Roman"/>
          <w:sz w:val="24"/>
          <w:szCs w:val="24"/>
        </w:rPr>
        <w:t>-</w:t>
      </w:r>
      <w:r w:rsidR="008F631E" w:rsidRPr="005D0BF4">
        <w:rPr>
          <w:rFonts w:ascii="Times New Roman" w:hAnsi="Times New Roman" w:cs="Times New Roman"/>
          <w:sz w:val="24"/>
          <w:szCs w:val="24"/>
        </w:rPr>
        <w:t>technické</w:t>
      </w:r>
      <w:r w:rsidRPr="005D0BF4">
        <w:rPr>
          <w:rFonts w:ascii="Times New Roman" w:hAnsi="Times New Roman" w:cs="Times New Roman"/>
          <w:sz w:val="24"/>
          <w:szCs w:val="24"/>
        </w:rPr>
        <w:t xml:space="preserve"> pripomienk</w:t>
      </w:r>
      <w:r w:rsidR="008F631E" w:rsidRPr="005D0BF4">
        <w:rPr>
          <w:rFonts w:ascii="Times New Roman" w:hAnsi="Times New Roman" w:cs="Times New Roman"/>
          <w:sz w:val="24"/>
          <w:szCs w:val="24"/>
        </w:rPr>
        <w:t>y</w:t>
      </w:r>
      <w:r w:rsidRPr="005D0BF4">
        <w:rPr>
          <w:rFonts w:ascii="Times New Roman" w:hAnsi="Times New Roman" w:cs="Times New Roman"/>
          <w:sz w:val="24"/>
          <w:szCs w:val="24"/>
        </w:rPr>
        <w:t>.</w:t>
      </w:r>
    </w:p>
    <w:p w:rsidR="005D0BF4" w:rsidRDefault="005D0BF4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1F9" w:rsidRPr="005D0BF4" w:rsidRDefault="00B151F9" w:rsidP="005D0BF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V názve návrhu zákona sa vypúšťajú slová „a dopĺňa“.</w:t>
      </w:r>
    </w:p>
    <w:p w:rsidR="00B151F9" w:rsidRPr="005D0BF4" w:rsidRDefault="00B151F9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1F9" w:rsidRPr="005D0BF4" w:rsidRDefault="00B151F9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Odôvodnenie:</w:t>
      </w:r>
    </w:p>
    <w:p w:rsidR="00B151F9" w:rsidRPr="005D0BF4" w:rsidRDefault="00B151F9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Legislatívno-technická pripomienka, ktorou sa precizuje názov návrhu zákona.</w:t>
      </w:r>
    </w:p>
    <w:p w:rsidR="00B151F9" w:rsidRPr="005D0BF4" w:rsidRDefault="00B151F9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C20" w:rsidRPr="005D0BF4" w:rsidRDefault="009F6F43" w:rsidP="005D0BF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 xml:space="preserve">V úvodnej vete k čl. I sa </w:t>
      </w:r>
      <w:r w:rsidR="00502C20" w:rsidRPr="005D0BF4">
        <w:rPr>
          <w:rFonts w:ascii="Times New Roman" w:hAnsi="Times New Roman" w:cs="Times New Roman"/>
          <w:sz w:val="24"/>
          <w:szCs w:val="24"/>
        </w:rPr>
        <w:t>za slovami „zákona č. 400/2022 Z. z.“ slovo „a“ nahrádza čiarkou a za slová „zákona č. 401/2022 Z. z.“ sa vkladajú slová „a zákona č. 96/2023 Z. z.“</w:t>
      </w:r>
      <w:r w:rsidR="00B151F9" w:rsidRPr="005D0BF4">
        <w:rPr>
          <w:rFonts w:ascii="Times New Roman" w:hAnsi="Times New Roman" w:cs="Times New Roman"/>
          <w:sz w:val="24"/>
          <w:szCs w:val="24"/>
        </w:rPr>
        <w:t xml:space="preserve"> a vypúšťajú sa slová „a dopĺňa“</w:t>
      </w:r>
      <w:r w:rsidR="00502C20" w:rsidRPr="005D0BF4">
        <w:rPr>
          <w:rFonts w:ascii="Times New Roman" w:hAnsi="Times New Roman" w:cs="Times New Roman"/>
          <w:sz w:val="24"/>
          <w:szCs w:val="24"/>
        </w:rPr>
        <w:t>.</w:t>
      </w:r>
    </w:p>
    <w:p w:rsidR="003B2BE7" w:rsidRPr="005D0BF4" w:rsidRDefault="003B2BE7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F43" w:rsidRPr="005D0BF4" w:rsidRDefault="009F6F43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Odôvodnenie:</w:t>
      </w:r>
    </w:p>
    <w:p w:rsidR="009F6F43" w:rsidRPr="005D0BF4" w:rsidRDefault="009F6F43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Legislatívno</w:t>
      </w:r>
      <w:r w:rsidR="00BD3B7D" w:rsidRPr="005D0BF4">
        <w:rPr>
          <w:rFonts w:ascii="Times New Roman" w:hAnsi="Times New Roman" w:cs="Times New Roman"/>
          <w:i/>
          <w:sz w:val="24"/>
          <w:szCs w:val="24"/>
        </w:rPr>
        <w:t>-</w:t>
      </w:r>
      <w:r w:rsidRPr="005D0BF4">
        <w:rPr>
          <w:rFonts w:ascii="Times New Roman" w:hAnsi="Times New Roman" w:cs="Times New Roman"/>
          <w:i/>
          <w:sz w:val="24"/>
          <w:szCs w:val="24"/>
        </w:rPr>
        <w:t>technická pripomienka, ktorou sa precizuje znenie úvodnej vety k čl. I.</w:t>
      </w:r>
    </w:p>
    <w:p w:rsidR="009F6F43" w:rsidRPr="005D0BF4" w:rsidRDefault="009F6F43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59A" w:rsidRPr="005D0BF4" w:rsidRDefault="008F37FB" w:rsidP="005D0BF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V čl. I</w:t>
      </w:r>
      <w:r w:rsidR="0001659A" w:rsidRP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bod</w:t>
      </w:r>
      <w:r w:rsidR="0001659A" w:rsidRPr="005D0BF4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B151F9" w:rsidRPr="005D0BF4" w:rsidRDefault="00612E7E" w:rsidP="005D0BF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„</w:t>
      </w:r>
      <w:r w:rsidR="0001659A" w:rsidRPr="005D0BF4">
        <w:rPr>
          <w:rFonts w:ascii="Times New Roman" w:hAnsi="Times New Roman" w:cs="Times New Roman"/>
          <w:sz w:val="24"/>
          <w:szCs w:val="24"/>
        </w:rPr>
        <w:t>1</w:t>
      </w:r>
      <w:r w:rsidR="00B151F9" w:rsidRPr="005D0BF4">
        <w:rPr>
          <w:rFonts w:ascii="Times New Roman" w:hAnsi="Times New Roman" w:cs="Times New Roman"/>
          <w:sz w:val="24"/>
          <w:szCs w:val="24"/>
        </w:rPr>
        <w:t xml:space="preserve">. V § 21 odsek 3 znie: </w:t>
      </w:r>
    </w:p>
    <w:p w:rsidR="00B151F9" w:rsidRPr="005D0BF4" w:rsidRDefault="00B151F9" w:rsidP="005D0BF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„(3) Do rozsahu hodín osobnej asistencie sa nezapočítavajú hodiny osobnej asistencie, počas ktorých sa fyzickej osobe s ťažkým zdravotným postihnutím poskytuje ambulantná forma sociálnej služby v zariadení sociálnych služieb alebo týždenná pobytová sociálna služba. Fyzickej osobe s ťažkým zdravotným postihnutím, ktorej sa poskytuje celoročná pobytová sociálna služba, možno poskytnúť osobnú asistenciu na jej sprevádzanie do školy a</w:t>
      </w:r>
      <w:r w:rsidR="00185771">
        <w:rPr>
          <w:rFonts w:ascii="Times New Roman" w:hAnsi="Times New Roman" w:cs="Times New Roman"/>
          <w:sz w:val="24"/>
          <w:szCs w:val="24"/>
        </w:rPr>
        <w:t>lebo do</w:t>
      </w:r>
      <w:r w:rsidRPr="005D0BF4">
        <w:rPr>
          <w:rFonts w:ascii="Times New Roman" w:hAnsi="Times New Roman" w:cs="Times New Roman"/>
          <w:sz w:val="24"/>
          <w:szCs w:val="24"/>
        </w:rPr>
        <w:t xml:space="preserve"> školského zariadenia, zo školy a</w:t>
      </w:r>
      <w:r w:rsidR="00185771">
        <w:rPr>
          <w:rFonts w:ascii="Times New Roman" w:hAnsi="Times New Roman" w:cs="Times New Roman"/>
          <w:sz w:val="24"/>
          <w:szCs w:val="24"/>
        </w:rPr>
        <w:t>lebo zo</w:t>
      </w:r>
      <w:r w:rsidRPr="005D0BF4">
        <w:rPr>
          <w:rFonts w:ascii="Times New Roman" w:hAnsi="Times New Roman" w:cs="Times New Roman"/>
          <w:sz w:val="24"/>
          <w:szCs w:val="24"/>
        </w:rPr>
        <w:t xml:space="preserve"> školského zariadenia a</w:t>
      </w:r>
      <w:r w:rsidR="00D869DA">
        <w:rPr>
          <w:rFonts w:ascii="Times New Roman" w:hAnsi="Times New Roman" w:cs="Times New Roman"/>
          <w:sz w:val="24"/>
          <w:szCs w:val="24"/>
        </w:rPr>
        <w:t xml:space="preserve"> na vykonávanie úkonov osobnej asistencie </w:t>
      </w:r>
      <w:r w:rsidRPr="005D0BF4">
        <w:rPr>
          <w:rFonts w:ascii="Times New Roman" w:hAnsi="Times New Roman" w:cs="Times New Roman"/>
          <w:sz w:val="24"/>
          <w:szCs w:val="24"/>
        </w:rPr>
        <w:t xml:space="preserve">v škole </w:t>
      </w:r>
      <w:r w:rsidR="005A6469" w:rsidRPr="005D0BF4">
        <w:rPr>
          <w:rFonts w:ascii="Times New Roman" w:hAnsi="Times New Roman" w:cs="Times New Roman"/>
          <w:sz w:val="24"/>
          <w:szCs w:val="24"/>
        </w:rPr>
        <w:t>a</w:t>
      </w:r>
      <w:r w:rsidR="00185771">
        <w:rPr>
          <w:rFonts w:ascii="Times New Roman" w:hAnsi="Times New Roman" w:cs="Times New Roman"/>
          <w:sz w:val="24"/>
          <w:szCs w:val="24"/>
        </w:rPr>
        <w:t>lebo v</w:t>
      </w:r>
      <w:r w:rsidRPr="005D0BF4">
        <w:rPr>
          <w:rFonts w:ascii="Times New Roman" w:hAnsi="Times New Roman" w:cs="Times New Roman"/>
          <w:sz w:val="24"/>
          <w:szCs w:val="24"/>
        </w:rPr>
        <w:t xml:space="preserve"> školskom zariadení, ak </w:t>
      </w:r>
      <w:r w:rsidR="005A6469" w:rsidRPr="005D0BF4">
        <w:rPr>
          <w:rFonts w:ascii="Times New Roman" w:hAnsi="Times New Roman" w:cs="Times New Roman"/>
          <w:sz w:val="24"/>
          <w:szCs w:val="24"/>
        </w:rPr>
        <w:t xml:space="preserve">je </w:t>
      </w:r>
      <w:r w:rsidRPr="005D0BF4">
        <w:rPr>
          <w:rFonts w:ascii="Times New Roman" w:hAnsi="Times New Roman" w:cs="Times New Roman"/>
          <w:sz w:val="24"/>
          <w:szCs w:val="24"/>
        </w:rPr>
        <w:t>škola</w:t>
      </w:r>
      <w:r w:rsidR="005A6469" w:rsidRPr="005D0BF4">
        <w:rPr>
          <w:rFonts w:ascii="Times New Roman" w:hAnsi="Times New Roman" w:cs="Times New Roman"/>
          <w:sz w:val="24"/>
          <w:szCs w:val="24"/>
        </w:rPr>
        <w:t xml:space="preserve"> alebo školské zariadenie</w:t>
      </w:r>
      <w:r w:rsidRPr="005D0BF4">
        <w:rPr>
          <w:rFonts w:ascii="Times New Roman" w:hAnsi="Times New Roman" w:cs="Times New Roman"/>
          <w:sz w:val="24"/>
          <w:szCs w:val="24"/>
        </w:rPr>
        <w:t xml:space="preserve"> mimo priestorov zariadenia sociálnych služieb.</w:t>
      </w:r>
      <w:r w:rsidRPr="005D0BF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5D0BF4">
        <w:rPr>
          <w:rFonts w:ascii="Times New Roman" w:hAnsi="Times New Roman" w:cs="Times New Roman"/>
          <w:sz w:val="24"/>
          <w:szCs w:val="24"/>
        </w:rPr>
        <w:t xml:space="preserve">) Ak sú pre fyzickú osobu s ťažkým zdravotným postihnutím vykonávané opatrenia alebo jej je poskytovaná starostlivosť v zariadení sociálnoprávnej ochrany detí a sociálnej </w:t>
      </w:r>
      <w:r w:rsidRPr="005D0BF4">
        <w:rPr>
          <w:rFonts w:ascii="Times New Roman" w:hAnsi="Times New Roman" w:cs="Times New Roman"/>
          <w:sz w:val="24"/>
          <w:szCs w:val="24"/>
        </w:rPr>
        <w:lastRenderedPageBreak/>
        <w:t>kurately,</w:t>
      </w:r>
      <w:r w:rsidRPr="005D0BF4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5D0BF4">
        <w:rPr>
          <w:rFonts w:ascii="Times New Roman" w:hAnsi="Times New Roman" w:cs="Times New Roman"/>
          <w:sz w:val="24"/>
          <w:szCs w:val="24"/>
        </w:rPr>
        <w:t>) možno do rozsahu hodín osobnej asistencie započítať len hodiny osobnej asistencie pre fyzickú osobu s ťažkým zdravotným postihnutím,</w:t>
      </w:r>
    </w:p>
    <w:p w:rsidR="00B151F9" w:rsidRPr="005D0BF4" w:rsidRDefault="00B151F9" w:rsidP="005D0BF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pre ktorú sú vykonávané opatrenia v zariadení sociálnoprávnej ochrany detí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Pr="005D0BF4">
        <w:rPr>
          <w:rFonts w:ascii="Times New Roman" w:hAnsi="Times New Roman" w:cs="Times New Roman"/>
          <w:sz w:val="24"/>
          <w:szCs w:val="24"/>
        </w:rPr>
        <w:t>sociálnej kurately pobytovou formou na základe rozhodnutia súdu, a to</w:t>
      </w:r>
    </w:p>
    <w:p w:rsidR="00B151F9" w:rsidRPr="005D0BF4" w:rsidRDefault="00B151F9" w:rsidP="005D0B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v domácom prostredí zamestnanca tohto zariadenia,</w:t>
      </w:r>
    </w:p>
    <w:p w:rsidR="00B151F9" w:rsidRPr="005D0BF4" w:rsidRDefault="00B151F9" w:rsidP="005D0B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na sprevádzanie do školy</w:t>
      </w:r>
      <w:r w:rsidR="00855B7F">
        <w:rPr>
          <w:rFonts w:ascii="Times New Roman" w:hAnsi="Times New Roman" w:cs="Times New Roman"/>
          <w:sz w:val="24"/>
          <w:szCs w:val="24"/>
        </w:rPr>
        <w:t xml:space="preserve"> </w:t>
      </w:r>
      <w:r w:rsidR="00855B7F" w:rsidRPr="005D0BF4">
        <w:rPr>
          <w:rFonts w:ascii="Times New Roman" w:hAnsi="Times New Roman" w:cs="Times New Roman"/>
          <w:sz w:val="24"/>
          <w:szCs w:val="24"/>
        </w:rPr>
        <w:t>a</w:t>
      </w:r>
      <w:r w:rsidR="00855B7F">
        <w:rPr>
          <w:rFonts w:ascii="Times New Roman" w:hAnsi="Times New Roman" w:cs="Times New Roman"/>
          <w:sz w:val="24"/>
          <w:szCs w:val="24"/>
        </w:rPr>
        <w:t>lebo do</w:t>
      </w:r>
      <w:r w:rsidR="00855B7F" w:rsidRPr="005D0BF4">
        <w:rPr>
          <w:rFonts w:ascii="Times New Roman" w:hAnsi="Times New Roman" w:cs="Times New Roman"/>
          <w:sz w:val="24"/>
          <w:szCs w:val="24"/>
        </w:rPr>
        <w:t xml:space="preserve"> školského zariadenia</w:t>
      </w:r>
      <w:r w:rsidRPr="005D0BF4">
        <w:rPr>
          <w:rFonts w:ascii="Times New Roman" w:hAnsi="Times New Roman" w:cs="Times New Roman"/>
          <w:sz w:val="24"/>
          <w:szCs w:val="24"/>
        </w:rPr>
        <w:t xml:space="preserve">, zo školy </w:t>
      </w:r>
      <w:r w:rsidR="00855B7F" w:rsidRPr="005D0BF4">
        <w:rPr>
          <w:rFonts w:ascii="Times New Roman" w:hAnsi="Times New Roman" w:cs="Times New Roman"/>
          <w:sz w:val="24"/>
          <w:szCs w:val="24"/>
        </w:rPr>
        <w:t>a</w:t>
      </w:r>
      <w:r w:rsidR="00855B7F">
        <w:rPr>
          <w:rFonts w:ascii="Times New Roman" w:hAnsi="Times New Roman" w:cs="Times New Roman"/>
          <w:sz w:val="24"/>
          <w:szCs w:val="24"/>
        </w:rPr>
        <w:t>lebo zo</w:t>
      </w:r>
      <w:r w:rsidR="00855B7F" w:rsidRPr="005D0BF4">
        <w:rPr>
          <w:rFonts w:ascii="Times New Roman" w:hAnsi="Times New Roman" w:cs="Times New Roman"/>
          <w:sz w:val="24"/>
          <w:szCs w:val="24"/>
        </w:rPr>
        <w:t xml:space="preserve"> školského zariadenia </w:t>
      </w:r>
      <w:r w:rsidRPr="005D0BF4">
        <w:rPr>
          <w:rFonts w:ascii="Times New Roman" w:hAnsi="Times New Roman" w:cs="Times New Roman"/>
          <w:sz w:val="24"/>
          <w:szCs w:val="24"/>
        </w:rPr>
        <w:t xml:space="preserve">a </w:t>
      </w:r>
      <w:r w:rsidR="00855B7F">
        <w:rPr>
          <w:rFonts w:ascii="Times New Roman" w:hAnsi="Times New Roman" w:cs="Times New Roman"/>
          <w:sz w:val="24"/>
          <w:szCs w:val="24"/>
        </w:rPr>
        <w:t xml:space="preserve">na vykonávanie úkonov osobnej asistencie </w:t>
      </w:r>
      <w:r w:rsidRPr="005D0BF4">
        <w:rPr>
          <w:rFonts w:ascii="Times New Roman" w:hAnsi="Times New Roman" w:cs="Times New Roman"/>
          <w:sz w:val="24"/>
          <w:szCs w:val="24"/>
        </w:rPr>
        <w:t xml:space="preserve">v škole alebo </w:t>
      </w:r>
      <w:r w:rsidR="00855B7F">
        <w:rPr>
          <w:rFonts w:ascii="Times New Roman" w:hAnsi="Times New Roman" w:cs="Times New Roman"/>
          <w:sz w:val="24"/>
          <w:szCs w:val="24"/>
        </w:rPr>
        <w:t xml:space="preserve">v </w:t>
      </w:r>
      <w:r w:rsidRPr="005D0BF4">
        <w:rPr>
          <w:rFonts w:ascii="Times New Roman" w:hAnsi="Times New Roman" w:cs="Times New Roman"/>
          <w:sz w:val="24"/>
          <w:szCs w:val="24"/>
        </w:rPr>
        <w:t>školskom zariadení, ak</w:t>
      </w:r>
      <w:r w:rsidR="002F043A" w:rsidRPr="005D0BF4">
        <w:rPr>
          <w:rFonts w:ascii="Times New Roman" w:hAnsi="Times New Roman" w:cs="Times New Roman"/>
          <w:sz w:val="24"/>
          <w:szCs w:val="24"/>
        </w:rPr>
        <w:t xml:space="preserve"> je</w:t>
      </w:r>
      <w:r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5A6469" w:rsidRPr="005D0BF4">
        <w:rPr>
          <w:rFonts w:ascii="Times New Roman" w:hAnsi="Times New Roman" w:cs="Times New Roman"/>
          <w:sz w:val="24"/>
          <w:szCs w:val="24"/>
        </w:rPr>
        <w:t xml:space="preserve">škola alebo školské zariadenie </w:t>
      </w:r>
      <w:r w:rsidRPr="005D0BF4">
        <w:rPr>
          <w:rFonts w:ascii="Times New Roman" w:hAnsi="Times New Roman" w:cs="Times New Roman"/>
          <w:sz w:val="24"/>
          <w:szCs w:val="24"/>
        </w:rPr>
        <w:t>mimo priestorov tohto zariadenia,</w:t>
      </w:r>
    </w:p>
    <w:p w:rsidR="00B151F9" w:rsidRPr="005D0BF4" w:rsidRDefault="00B151F9" w:rsidP="005D0BF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4">
        <w:rPr>
          <w:rFonts w:ascii="Times New Roman" w:hAnsi="Times New Roman" w:cs="Times New Roman"/>
          <w:sz w:val="24"/>
          <w:szCs w:val="24"/>
        </w:rPr>
        <w:t>ktorej sa poskytuje starostlivosť po skončení výkonu rozhodnutia súdu dovŕšením plnoletosti v zariadení sociálnoprávnej ochrany detí a sociálnej kurately.“.“.</w:t>
      </w:r>
    </w:p>
    <w:p w:rsidR="00B151F9" w:rsidRPr="005D0BF4" w:rsidRDefault="00B151F9" w:rsidP="005D0BF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7FB" w:rsidRPr="005D0BF4" w:rsidRDefault="008F37FB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Odôvodnenie:</w:t>
      </w:r>
    </w:p>
    <w:p w:rsidR="0001659A" w:rsidRPr="005D0BF4" w:rsidRDefault="00B151F9" w:rsidP="005D0BF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F4">
        <w:rPr>
          <w:rFonts w:ascii="Times New Roman" w:hAnsi="Times New Roman" w:cs="Times New Roman"/>
          <w:i/>
          <w:sz w:val="24"/>
          <w:szCs w:val="24"/>
        </w:rPr>
        <w:t>Z dôvodovej správy k návrhu zákona vyplýva, že jeho cieľom je umožnenie poskytovania osobnej asistencie v škole a v školskom zariadení vo všeobecnosti, teda nielen počas vyučovania, resp. pri výkone záujmovej činnosti, tak ako to predkladatelia vyjadrili v samotnom návrhu zákona.</w:t>
      </w:r>
      <w:r w:rsidR="005A2DA5" w:rsidRPr="005D0BF4">
        <w:rPr>
          <w:rFonts w:ascii="Times New Roman" w:hAnsi="Times New Roman" w:cs="Times New Roman"/>
          <w:i/>
          <w:sz w:val="24"/>
          <w:szCs w:val="24"/>
        </w:rPr>
        <w:t xml:space="preserve"> Vzhľadom k tomu, že záujmová činnosť je zabezpečovaná iba v niektorých školských zariadeniach, navrhuje sa rozšírenie možnosti poskytovania osobnej asistencie aj na ostatné školské zariadenia.</w:t>
      </w:r>
      <w:r w:rsidRPr="005D0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EF" w:rsidRPr="005D0BF4">
        <w:rPr>
          <w:rFonts w:ascii="Times New Roman" w:hAnsi="Times New Roman" w:cs="Times New Roman"/>
          <w:i/>
          <w:sz w:val="24"/>
          <w:szCs w:val="24"/>
        </w:rPr>
        <w:t xml:space="preserve">Pripomienkou sa zároveň zosúlaďuje text návrhu zákona s úpravou obsiahnutom v zákone č. 245/2008 Z. z. o výchove a vzdelávaní (školský zákon) a o zmene a doplnení niektorých zákonov v znení neskorších predpisov. Zároveň sa navrhuje zosúladiť druhú vetu predmetného ustanovenia s písmenom a) druhým bodom. </w:t>
      </w:r>
    </w:p>
    <w:p w:rsidR="008F37FB" w:rsidRPr="005D0BF4" w:rsidRDefault="008F37FB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32" w:rsidRPr="005D0BF4" w:rsidRDefault="00CE7132" w:rsidP="005D0BF4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F4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4B42E5" w:rsidRPr="005D0BF4" w:rsidRDefault="004B42E5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2EF" w:rsidRPr="005D0BF4" w:rsidRDefault="009E7D6B" w:rsidP="005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uvedené,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62EF" w:rsidRPr="005D0BF4">
        <w:rPr>
          <w:rFonts w:ascii="Times New Roman" w:hAnsi="Times New Roman" w:cs="Times New Roman"/>
          <w:sz w:val="24"/>
          <w:szCs w:val="24"/>
        </w:rPr>
        <w:t>inisterstvo odporúča vláde Slovenskej republiky vysloviť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návrhom poslancov Národnej rady Slovenskej republiky Jany </w:t>
      </w:r>
      <w:r w:rsidR="005A6469" w:rsidRPr="005D0BF4">
        <w:rPr>
          <w:rFonts w:ascii="Times New Roman" w:hAnsi="Times New Roman" w:cs="Times New Roman"/>
          <w:sz w:val="24"/>
          <w:szCs w:val="24"/>
        </w:rPr>
        <w:t>Žitňanskej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, Vladimíry </w:t>
      </w:r>
      <w:r w:rsidR="005A6469" w:rsidRPr="005D0BF4">
        <w:rPr>
          <w:rFonts w:ascii="Times New Roman" w:hAnsi="Times New Roman" w:cs="Times New Roman"/>
          <w:sz w:val="24"/>
          <w:szCs w:val="24"/>
        </w:rPr>
        <w:t>Marcinkovej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, Lucie </w:t>
      </w:r>
      <w:r w:rsidR="005A6469" w:rsidRPr="005D0BF4">
        <w:rPr>
          <w:rFonts w:ascii="Times New Roman" w:hAnsi="Times New Roman" w:cs="Times New Roman"/>
          <w:sz w:val="24"/>
          <w:szCs w:val="24"/>
        </w:rPr>
        <w:t>Drábikovej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 a Ondreja </w:t>
      </w:r>
      <w:r w:rsidR="005A6469" w:rsidRPr="005D0BF4">
        <w:rPr>
          <w:rFonts w:ascii="Times New Roman" w:hAnsi="Times New Roman" w:cs="Times New Roman"/>
          <w:sz w:val="24"/>
          <w:szCs w:val="24"/>
        </w:rPr>
        <w:t>Dostála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 na vydanie zákona, ktorým sa mení a dopĺňa zákon č. 447/2008 Z. z. o peňažných príspevkoch na kompenzáciu ťažkého zdravotného postihnutia a o zmene a doplnení niektorých zákonov v znení neskorších predpisov a ktorým sa dopĺňa zákon č. 245/2008 Z. z. o výchove a</w:t>
      </w:r>
      <w:r w:rsidR="005D0BF4">
        <w:rPr>
          <w:rFonts w:ascii="Times New Roman" w:hAnsi="Times New Roman" w:cs="Times New Roman"/>
          <w:sz w:val="24"/>
          <w:szCs w:val="24"/>
        </w:rPr>
        <w:t> </w:t>
      </w:r>
      <w:r w:rsidR="003162EF" w:rsidRPr="005D0BF4">
        <w:rPr>
          <w:rFonts w:ascii="Times New Roman" w:hAnsi="Times New Roman" w:cs="Times New Roman"/>
          <w:sz w:val="24"/>
          <w:szCs w:val="24"/>
        </w:rPr>
        <w:t>vzdelávaní (školský zákon) a o zmene a doplnení niektorých zákonov v znení neskorších predpisov</w:t>
      </w:r>
      <w:r w:rsidR="007F0F22" w:rsidRPr="005D0BF4">
        <w:rPr>
          <w:rFonts w:ascii="Times New Roman" w:hAnsi="Times New Roman" w:cs="Times New Roman"/>
          <w:sz w:val="24"/>
          <w:szCs w:val="24"/>
        </w:rPr>
        <w:t xml:space="preserve"> </w:t>
      </w:r>
      <w:r w:rsidR="00204C39" w:rsidRPr="005D0BF4">
        <w:rPr>
          <w:rFonts w:ascii="Times New Roman" w:hAnsi="Times New Roman" w:cs="Times New Roman"/>
          <w:sz w:val="24"/>
          <w:szCs w:val="24"/>
        </w:rPr>
        <w:t xml:space="preserve">(tlač 1478) </w:t>
      </w:r>
      <w:r w:rsidR="007F0F22" w:rsidRPr="005D0BF4">
        <w:rPr>
          <w:rFonts w:ascii="Times New Roman" w:hAnsi="Times New Roman" w:cs="Times New Roman"/>
          <w:b/>
          <w:sz w:val="24"/>
          <w:szCs w:val="24"/>
        </w:rPr>
        <w:t>nesúhlas</w:t>
      </w:r>
      <w:r w:rsidR="003162EF" w:rsidRPr="005D0BF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162EF" w:rsidRPr="005D0B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B2" w:rsidRDefault="00935CB2" w:rsidP="008F37FB">
      <w:pPr>
        <w:spacing w:after="0" w:line="240" w:lineRule="auto"/>
      </w:pPr>
      <w:r>
        <w:separator/>
      </w:r>
    </w:p>
  </w:endnote>
  <w:endnote w:type="continuationSeparator" w:id="0">
    <w:p w:rsidR="00935CB2" w:rsidRDefault="00935CB2" w:rsidP="008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08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60CD" w:rsidRPr="008F37FB" w:rsidRDefault="007260CD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37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37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37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29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37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60CD" w:rsidRDefault="007260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B2" w:rsidRDefault="00935CB2" w:rsidP="008F37FB">
      <w:pPr>
        <w:spacing w:after="0" w:line="240" w:lineRule="auto"/>
      </w:pPr>
      <w:r>
        <w:separator/>
      </w:r>
    </w:p>
  </w:footnote>
  <w:footnote w:type="continuationSeparator" w:id="0">
    <w:p w:rsidR="00935CB2" w:rsidRDefault="00935CB2" w:rsidP="008F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757"/>
    <w:multiLevelType w:val="hybridMultilevel"/>
    <w:tmpl w:val="2AA2F2D4"/>
    <w:lvl w:ilvl="0" w:tplc="2D8826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88485B"/>
    <w:multiLevelType w:val="hybridMultilevel"/>
    <w:tmpl w:val="B38EF192"/>
    <w:lvl w:ilvl="0" w:tplc="BBC86B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E15B50"/>
    <w:multiLevelType w:val="hybridMultilevel"/>
    <w:tmpl w:val="2EA6EDEA"/>
    <w:lvl w:ilvl="0" w:tplc="D4A6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2316F0"/>
    <w:multiLevelType w:val="hybridMultilevel"/>
    <w:tmpl w:val="515C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9B6"/>
    <w:multiLevelType w:val="hybridMultilevel"/>
    <w:tmpl w:val="7D383304"/>
    <w:lvl w:ilvl="0" w:tplc="4844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B1817"/>
    <w:multiLevelType w:val="hybridMultilevel"/>
    <w:tmpl w:val="3CEA5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435B"/>
    <w:multiLevelType w:val="hybridMultilevel"/>
    <w:tmpl w:val="AFA61164"/>
    <w:lvl w:ilvl="0" w:tplc="1B04C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8D4296"/>
    <w:multiLevelType w:val="hybridMultilevel"/>
    <w:tmpl w:val="4C969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8B65A4"/>
    <w:multiLevelType w:val="hybridMultilevel"/>
    <w:tmpl w:val="A71EA204"/>
    <w:lvl w:ilvl="0" w:tplc="42D693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1B60B5F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A66698"/>
    <w:multiLevelType w:val="hybridMultilevel"/>
    <w:tmpl w:val="2AA2F2D4"/>
    <w:lvl w:ilvl="0" w:tplc="2D8826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05C72"/>
    <w:rsid w:val="00014A24"/>
    <w:rsid w:val="0001659A"/>
    <w:rsid w:val="000376E0"/>
    <w:rsid w:val="00050199"/>
    <w:rsid w:val="00071AF5"/>
    <w:rsid w:val="00074364"/>
    <w:rsid w:val="000A0EAF"/>
    <w:rsid w:val="000B17FF"/>
    <w:rsid w:val="000B4479"/>
    <w:rsid w:val="000C2799"/>
    <w:rsid w:val="000C4D11"/>
    <w:rsid w:val="00100A91"/>
    <w:rsid w:val="00101C2E"/>
    <w:rsid w:val="001072EC"/>
    <w:rsid w:val="00112DEE"/>
    <w:rsid w:val="00114481"/>
    <w:rsid w:val="001156F8"/>
    <w:rsid w:val="00117A5F"/>
    <w:rsid w:val="00120D05"/>
    <w:rsid w:val="00134035"/>
    <w:rsid w:val="0013517E"/>
    <w:rsid w:val="001415E7"/>
    <w:rsid w:val="00175E21"/>
    <w:rsid w:val="001844A6"/>
    <w:rsid w:val="00184CEC"/>
    <w:rsid w:val="00185771"/>
    <w:rsid w:val="00193343"/>
    <w:rsid w:val="001A0277"/>
    <w:rsid w:val="001B6B77"/>
    <w:rsid w:val="001C2020"/>
    <w:rsid w:val="001D7288"/>
    <w:rsid w:val="001F7F5D"/>
    <w:rsid w:val="00204C39"/>
    <w:rsid w:val="0020593D"/>
    <w:rsid w:val="002223F6"/>
    <w:rsid w:val="00233DEE"/>
    <w:rsid w:val="0024558E"/>
    <w:rsid w:val="00272230"/>
    <w:rsid w:val="00284215"/>
    <w:rsid w:val="00296B79"/>
    <w:rsid w:val="00297ECF"/>
    <w:rsid w:val="002A6BFE"/>
    <w:rsid w:val="002C4AF3"/>
    <w:rsid w:val="002D71F6"/>
    <w:rsid w:val="002D7DC4"/>
    <w:rsid w:val="002E060E"/>
    <w:rsid w:val="002E5582"/>
    <w:rsid w:val="002E60C0"/>
    <w:rsid w:val="002F043A"/>
    <w:rsid w:val="003053CA"/>
    <w:rsid w:val="00316097"/>
    <w:rsid w:val="003162EF"/>
    <w:rsid w:val="00316B36"/>
    <w:rsid w:val="003246B2"/>
    <w:rsid w:val="0033491C"/>
    <w:rsid w:val="00336DDA"/>
    <w:rsid w:val="00346C55"/>
    <w:rsid w:val="00361F95"/>
    <w:rsid w:val="00365693"/>
    <w:rsid w:val="003714FC"/>
    <w:rsid w:val="0037408D"/>
    <w:rsid w:val="003758D1"/>
    <w:rsid w:val="003947CA"/>
    <w:rsid w:val="003A016C"/>
    <w:rsid w:val="003A61DB"/>
    <w:rsid w:val="003B2BE7"/>
    <w:rsid w:val="003C4094"/>
    <w:rsid w:val="003D46FD"/>
    <w:rsid w:val="003D4895"/>
    <w:rsid w:val="003E07D0"/>
    <w:rsid w:val="003F2B0A"/>
    <w:rsid w:val="00401FF3"/>
    <w:rsid w:val="00404CFC"/>
    <w:rsid w:val="00413575"/>
    <w:rsid w:val="00433950"/>
    <w:rsid w:val="00437E6A"/>
    <w:rsid w:val="00443972"/>
    <w:rsid w:val="00445417"/>
    <w:rsid w:val="0045316A"/>
    <w:rsid w:val="004613D7"/>
    <w:rsid w:val="00480275"/>
    <w:rsid w:val="004B42E5"/>
    <w:rsid w:val="004D3C5B"/>
    <w:rsid w:val="00502C20"/>
    <w:rsid w:val="00502CF1"/>
    <w:rsid w:val="005066D7"/>
    <w:rsid w:val="005226D0"/>
    <w:rsid w:val="005261BD"/>
    <w:rsid w:val="0053355A"/>
    <w:rsid w:val="00543870"/>
    <w:rsid w:val="0055023E"/>
    <w:rsid w:val="00553319"/>
    <w:rsid w:val="00576BEB"/>
    <w:rsid w:val="00576E15"/>
    <w:rsid w:val="005A1112"/>
    <w:rsid w:val="005A2DA5"/>
    <w:rsid w:val="005A6469"/>
    <w:rsid w:val="005B55DB"/>
    <w:rsid w:val="005B5982"/>
    <w:rsid w:val="005B74BE"/>
    <w:rsid w:val="005D0BF4"/>
    <w:rsid w:val="005E2891"/>
    <w:rsid w:val="005F34AD"/>
    <w:rsid w:val="005F7A96"/>
    <w:rsid w:val="00611B63"/>
    <w:rsid w:val="00612E7E"/>
    <w:rsid w:val="0062171F"/>
    <w:rsid w:val="006426D3"/>
    <w:rsid w:val="00643EA3"/>
    <w:rsid w:val="006524D3"/>
    <w:rsid w:val="0068671E"/>
    <w:rsid w:val="006B64FC"/>
    <w:rsid w:val="006D4CA7"/>
    <w:rsid w:val="006D7961"/>
    <w:rsid w:val="006E1A46"/>
    <w:rsid w:val="006F074B"/>
    <w:rsid w:val="006F3180"/>
    <w:rsid w:val="006F67F1"/>
    <w:rsid w:val="006F7072"/>
    <w:rsid w:val="007260CD"/>
    <w:rsid w:val="007535BC"/>
    <w:rsid w:val="0077302E"/>
    <w:rsid w:val="0077513E"/>
    <w:rsid w:val="00776FE5"/>
    <w:rsid w:val="007854A4"/>
    <w:rsid w:val="00785CBE"/>
    <w:rsid w:val="00790FC9"/>
    <w:rsid w:val="007D2E53"/>
    <w:rsid w:val="007E1F48"/>
    <w:rsid w:val="007F0F22"/>
    <w:rsid w:val="007F2646"/>
    <w:rsid w:val="007F7EE6"/>
    <w:rsid w:val="00831D33"/>
    <w:rsid w:val="008349E1"/>
    <w:rsid w:val="00850D79"/>
    <w:rsid w:val="00855B7F"/>
    <w:rsid w:val="0086100D"/>
    <w:rsid w:val="00863661"/>
    <w:rsid w:val="00874BAB"/>
    <w:rsid w:val="00884AA3"/>
    <w:rsid w:val="008C0DDB"/>
    <w:rsid w:val="008D669D"/>
    <w:rsid w:val="008E509F"/>
    <w:rsid w:val="008E779B"/>
    <w:rsid w:val="008F37FB"/>
    <w:rsid w:val="008F3BEA"/>
    <w:rsid w:val="008F631E"/>
    <w:rsid w:val="00906EAD"/>
    <w:rsid w:val="009104C4"/>
    <w:rsid w:val="00913392"/>
    <w:rsid w:val="00935CB2"/>
    <w:rsid w:val="009403FE"/>
    <w:rsid w:val="00947EA2"/>
    <w:rsid w:val="00964885"/>
    <w:rsid w:val="009650C5"/>
    <w:rsid w:val="009652C1"/>
    <w:rsid w:val="00974292"/>
    <w:rsid w:val="00987596"/>
    <w:rsid w:val="00991280"/>
    <w:rsid w:val="009952D8"/>
    <w:rsid w:val="009A0778"/>
    <w:rsid w:val="009D3BF7"/>
    <w:rsid w:val="009D3FE3"/>
    <w:rsid w:val="009E0C45"/>
    <w:rsid w:val="009E7D6B"/>
    <w:rsid w:val="009F3DCE"/>
    <w:rsid w:val="009F4495"/>
    <w:rsid w:val="009F6F43"/>
    <w:rsid w:val="00A15321"/>
    <w:rsid w:val="00A420F0"/>
    <w:rsid w:val="00A632D8"/>
    <w:rsid w:val="00A66560"/>
    <w:rsid w:val="00A67821"/>
    <w:rsid w:val="00A76D81"/>
    <w:rsid w:val="00AB0DF1"/>
    <w:rsid w:val="00AB3F87"/>
    <w:rsid w:val="00AB4484"/>
    <w:rsid w:val="00AD083C"/>
    <w:rsid w:val="00AD2F18"/>
    <w:rsid w:val="00AD4261"/>
    <w:rsid w:val="00B0047C"/>
    <w:rsid w:val="00B151F9"/>
    <w:rsid w:val="00B17418"/>
    <w:rsid w:val="00B246B4"/>
    <w:rsid w:val="00B272DD"/>
    <w:rsid w:val="00B403D1"/>
    <w:rsid w:val="00B44443"/>
    <w:rsid w:val="00B726E7"/>
    <w:rsid w:val="00B7558F"/>
    <w:rsid w:val="00B85686"/>
    <w:rsid w:val="00BA66EE"/>
    <w:rsid w:val="00BB49E7"/>
    <w:rsid w:val="00BD3B7D"/>
    <w:rsid w:val="00BF219E"/>
    <w:rsid w:val="00BF56AB"/>
    <w:rsid w:val="00C5328E"/>
    <w:rsid w:val="00C53FB7"/>
    <w:rsid w:val="00C54249"/>
    <w:rsid w:val="00C5687F"/>
    <w:rsid w:val="00C75F0E"/>
    <w:rsid w:val="00C77BD7"/>
    <w:rsid w:val="00C84F4C"/>
    <w:rsid w:val="00C9695D"/>
    <w:rsid w:val="00C97CE2"/>
    <w:rsid w:val="00CB2B0F"/>
    <w:rsid w:val="00CB5F5E"/>
    <w:rsid w:val="00CC238E"/>
    <w:rsid w:val="00CC6FD2"/>
    <w:rsid w:val="00CD11BF"/>
    <w:rsid w:val="00CD243B"/>
    <w:rsid w:val="00CD48F4"/>
    <w:rsid w:val="00CD59E2"/>
    <w:rsid w:val="00CE189B"/>
    <w:rsid w:val="00CE7132"/>
    <w:rsid w:val="00CE7C00"/>
    <w:rsid w:val="00CF4A2E"/>
    <w:rsid w:val="00D01C61"/>
    <w:rsid w:val="00D22906"/>
    <w:rsid w:val="00D300B2"/>
    <w:rsid w:val="00D33982"/>
    <w:rsid w:val="00D3549D"/>
    <w:rsid w:val="00D462AD"/>
    <w:rsid w:val="00D465F8"/>
    <w:rsid w:val="00D527CA"/>
    <w:rsid w:val="00D71743"/>
    <w:rsid w:val="00D77A1D"/>
    <w:rsid w:val="00D869DA"/>
    <w:rsid w:val="00D91B06"/>
    <w:rsid w:val="00DC5586"/>
    <w:rsid w:val="00E00DC9"/>
    <w:rsid w:val="00E03C7C"/>
    <w:rsid w:val="00E0675E"/>
    <w:rsid w:val="00E1245B"/>
    <w:rsid w:val="00E16A32"/>
    <w:rsid w:val="00E20A37"/>
    <w:rsid w:val="00E25F77"/>
    <w:rsid w:val="00E262A3"/>
    <w:rsid w:val="00E27053"/>
    <w:rsid w:val="00E34642"/>
    <w:rsid w:val="00E93894"/>
    <w:rsid w:val="00E96ACA"/>
    <w:rsid w:val="00EA399D"/>
    <w:rsid w:val="00EB3DEF"/>
    <w:rsid w:val="00EC7513"/>
    <w:rsid w:val="00ED3C75"/>
    <w:rsid w:val="00EE452F"/>
    <w:rsid w:val="00F0225A"/>
    <w:rsid w:val="00F03047"/>
    <w:rsid w:val="00F42EBB"/>
    <w:rsid w:val="00F612FF"/>
    <w:rsid w:val="00F63662"/>
    <w:rsid w:val="00FA2BD6"/>
    <w:rsid w:val="00FB5C00"/>
    <w:rsid w:val="00FC048E"/>
    <w:rsid w:val="00FC489C"/>
    <w:rsid w:val="00FE449D"/>
    <w:rsid w:val="00FF11B0"/>
    <w:rsid w:val="00FF791D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8DA50-25C3-4679-BC8F-95A9B64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unhideWhenUsed/>
    <w:qFormat/>
    <w:rsid w:val="00CE7C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7F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F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7FB"/>
    <w:rPr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8F3BEA"/>
    <w:pPr>
      <w:spacing w:after="0" w:line="240" w:lineRule="auto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E2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69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536AB-CF74-42AD-856A-7AA754C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Paucinova Renata</dc:creator>
  <cp:lastModifiedBy>Cebuľáková Monika</cp:lastModifiedBy>
  <cp:revision>2</cp:revision>
  <cp:lastPrinted>2022-10-05T11:31:00Z</cp:lastPrinted>
  <dcterms:created xsi:type="dcterms:W3CDTF">2023-04-27T11:11:00Z</dcterms:created>
  <dcterms:modified xsi:type="dcterms:W3CDTF">2023-04-27T11:11:00Z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