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A918BC" w:rsidRDefault="00927118" w:rsidP="00927118">
      <w:pPr>
        <w:adjustRightInd w:val="0"/>
        <w:spacing w:after="0" w:line="240" w:lineRule="auto"/>
        <w:jc w:val="center"/>
        <w:rPr>
          <w:rFonts w:ascii="Times New Roman" w:hAnsi="Times New Roman"/>
          <w:b/>
          <w:caps/>
          <w:sz w:val="28"/>
          <w:szCs w:val="28"/>
        </w:rPr>
      </w:pPr>
      <w:r w:rsidRPr="00A918BC">
        <w:rPr>
          <w:rFonts w:ascii="Times New Roman" w:hAnsi="Times New Roman"/>
          <w:b/>
          <w:caps/>
          <w:sz w:val="28"/>
          <w:szCs w:val="28"/>
        </w:rPr>
        <w:t>Vyhodnotenie medzirezortného pripomienkového konania</w:t>
      </w:r>
    </w:p>
    <w:p w:rsidR="00927118" w:rsidRPr="00A918BC" w:rsidRDefault="00927118" w:rsidP="00927118">
      <w:pPr>
        <w:jc w:val="center"/>
        <w:rPr>
          <w:rFonts w:ascii="Times New Roman" w:hAnsi="Times New Roman"/>
        </w:rPr>
      </w:pPr>
    </w:p>
    <w:p w:rsidR="00CE7A7E" w:rsidRPr="00A918BC" w:rsidRDefault="00EE5B98" w:rsidP="00EE5B98">
      <w:pPr>
        <w:jc w:val="center"/>
        <w:divId w:val="471094732"/>
        <w:rPr>
          <w:rFonts w:ascii="Times New Roman" w:hAnsi="Times New Roman"/>
          <w:sz w:val="24"/>
          <w:szCs w:val="24"/>
        </w:rPr>
      </w:pPr>
      <w:r w:rsidRPr="00EE5B98">
        <w:rPr>
          <w:rFonts w:ascii="Times New Roman" w:hAnsi="Times New Roman"/>
          <w:sz w:val="24"/>
          <w:szCs w:val="24"/>
        </w:rPr>
        <w:t>Návrh</w:t>
      </w:r>
      <w:r>
        <w:rPr>
          <w:rFonts w:ascii="Times New Roman" w:hAnsi="Times New Roman"/>
          <w:sz w:val="24"/>
          <w:szCs w:val="24"/>
        </w:rPr>
        <w:t xml:space="preserve"> </w:t>
      </w:r>
      <w:r w:rsidRPr="00EE5B98">
        <w:rPr>
          <w:rFonts w:ascii="Times New Roman" w:hAnsi="Times New Roman"/>
          <w:sz w:val="24"/>
          <w:szCs w:val="24"/>
        </w:rPr>
        <w:t>na uzavretie Zmluvy medzi Slovenskou republikou a Azerbajdžanskou republikou o zamedzení dvojitého zdanenia a zabránení daňovým únikom v oblasti daní z príjmov</w:t>
      </w:r>
    </w:p>
    <w:p w:rsidR="00927118" w:rsidRPr="00A918BC" w:rsidRDefault="00927118" w:rsidP="00CE47A6">
      <w:pPr>
        <w:rPr>
          <w:rFonts w:ascii="Times New Roman" w:hAnsi="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AA14E6" w:rsidTr="00B76589">
        <w:tc>
          <w:tcPr>
            <w:tcW w:w="7797" w:type="dxa"/>
            <w:tcBorders>
              <w:top w:val="nil"/>
              <w:left w:val="nil"/>
              <w:bottom w:val="nil"/>
              <w:right w:val="nil"/>
            </w:tcBorders>
          </w:tcPr>
          <w:p w:rsidR="00927118" w:rsidRPr="00AF3EA0" w:rsidRDefault="00927118" w:rsidP="00E165A9">
            <w:pPr>
              <w:spacing w:after="0" w:line="240" w:lineRule="auto"/>
              <w:rPr>
                <w:rFonts w:ascii="Times New Roman" w:hAnsi="Times New Roman"/>
                <w:sz w:val="24"/>
                <w:szCs w:val="24"/>
              </w:rPr>
            </w:pPr>
            <w:r w:rsidRPr="00AF3EA0">
              <w:rPr>
                <w:rFonts w:ascii="Times New Roman" w:hAnsi="Times New Roman"/>
                <w:sz w:val="24"/>
                <w:szCs w:val="24"/>
              </w:rPr>
              <w:t>Spôsob pripomienkového konania</w:t>
            </w:r>
          </w:p>
        </w:tc>
        <w:tc>
          <w:tcPr>
            <w:tcW w:w="7801" w:type="dxa"/>
            <w:tcBorders>
              <w:top w:val="nil"/>
              <w:left w:val="nil"/>
              <w:bottom w:val="nil"/>
              <w:right w:val="nil"/>
            </w:tcBorders>
          </w:tcPr>
          <w:p w:rsidR="00927118" w:rsidRPr="00AF3EA0" w:rsidRDefault="00AF3EA0" w:rsidP="00E165A9">
            <w:pPr>
              <w:spacing w:after="0" w:line="240" w:lineRule="auto"/>
              <w:rPr>
                <w:rFonts w:ascii="Times New Roman" w:hAnsi="Times New Roman"/>
                <w:sz w:val="24"/>
                <w:szCs w:val="24"/>
              </w:rPr>
            </w:pPr>
            <w:r w:rsidRPr="00AF3EA0">
              <w:rPr>
                <w:rFonts w:ascii="Times New Roman" w:hAnsi="Times New Roman"/>
                <w:sz w:val="24"/>
                <w:szCs w:val="24"/>
              </w:rPr>
              <w:t>bežné</w:t>
            </w:r>
            <w:r w:rsidR="00927118" w:rsidRPr="00AF3EA0">
              <w:rPr>
                <w:rFonts w:ascii="Times New Roman" w:hAnsi="Times New Roman"/>
                <w:sz w:val="24"/>
                <w:szCs w:val="24"/>
              </w:rPr>
              <w:t> </w:t>
            </w:r>
          </w:p>
        </w:tc>
      </w:tr>
      <w:tr w:rsidR="00A251BF" w:rsidRPr="00A8215B" w:rsidTr="00195BF3">
        <w:tc>
          <w:tcPr>
            <w:tcW w:w="7797" w:type="dxa"/>
            <w:tcBorders>
              <w:top w:val="nil"/>
              <w:left w:val="nil"/>
              <w:bottom w:val="nil"/>
              <w:right w:val="nil"/>
            </w:tcBorders>
            <w:shd w:val="clear" w:color="auto" w:fill="auto"/>
          </w:tcPr>
          <w:p w:rsidR="00A251BF" w:rsidRPr="00CA6870" w:rsidRDefault="00A251BF" w:rsidP="00E165A9">
            <w:pPr>
              <w:spacing w:after="0" w:line="240" w:lineRule="auto"/>
              <w:rPr>
                <w:rFonts w:ascii="Times New Roman" w:hAnsi="Times New Roman"/>
                <w:sz w:val="24"/>
                <w:szCs w:val="24"/>
              </w:rPr>
            </w:pPr>
            <w:r w:rsidRPr="00CA6870">
              <w:rPr>
                <w:rFonts w:ascii="Times New Roman" w:hAnsi="Times New Roman"/>
                <w:sz w:val="24"/>
                <w:szCs w:val="24"/>
              </w:rPr>
              <w:t>Počet vznesených pripomienok, z toho zásadných</w:t>
            </w:r>
          </w:p>
        </w:tc>
        <w:tc>
          <w:tcPr>
            <w:tcW w:w="7801" w:type="dxa"/>
            <w:tcBorders>
              <w:top w:val="nil"/>
              <w:left w:val="nil"/>
              <w:bottom w:val="nil"/>
              <w:right w:val="nil"/>
            </w:tcBorders>
            <w:shd w:val="clear" w:color="auto" w:fill="auto"/>
          </w:tcPr>
          <w:p w:rsidR="00A251BF" w:rsidRPr="00CA6870" w:rsidRDefault="003764B1" w:rsidP="003764B1">
            <w:pPr>
              <w:spacing w:after="0" w:line="240" w:lineRule="auto"/>
              <w:rPr>
                <w:rFonts w:ascii="Times New Roman" w:hAnsi="Times New Roman"/>
                <w:sz w:val="24"/>
                <w:szCs w:val="24"/>
              </w:rPr>
            </w:pPr>
            <w:r w:rsidRPr="00CA6870">
              <w:rPr>
                <w:rFonts w:ascii="Times New Roman" w:hAnsi="Times New Roman"/>
                <w:sz w:val="24"/>
                <w:szCs w:val="24"/>
              </w:rPr>
              <w:t>4</w:t>
            </w:r>
            <w:r w:rsidR="00CE7A7E" w:rsidRPr="00CA6870">
              <w:rPr>
                <w:rFonts w:ascii="Times New Roman" w:hAnsi="Times New Roman"/>
                <w:sz w:val="24"/>
                <w:szCs w:val="24"/>
              </w:rPr>
              <w:t>/</w:t>
            </w:r>
            <w:r w:rsidRPr="00CA6870">
              <w:rPr>
                <w:rFonts w:ascii="Times New Roman" w:hAnsi="Times New Roman"/>
                <w:sz w:val="24"/>
                <w:szCs w:val="24"/>
              </w:rPr>
              <w:t>1</w:t>
            </w:r>
          </w:p>
        </w:tc>
      </w:tr>
      <w:tr w:rsidR="00927118" w:rsidRPr="00A8215B" w:rsidTr="00B76589">
        <w:tc>
          <w:tcPr>
            <w:tcW w:w="7797"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r w:rsidRPr="00CA6870">
              <w:rPr>
                <w:rFonts w:ascii="Times New Roman" w:hAnsi="Times New Roman"/>
                <w:sz w:val="24"/>
                <w:szCs w:val="24"/>
              </w:rPr>
              <w:t>Počet vyhodnotených pripomienok</w:t>
            </w:r>
          </w:p>
        </w:tc>
        <w:tc>
          <w:tcPr>
            <w:tcW w:w="7801" w:type="dxa"/>
            <w:tcBorders>
              <w:top w:val="nil"/>
              <w:left w:val="nil"/>
              <w:bottom w:val="nil"/>
              <w:right w:val="nil"/>
            </w:tcBorders>
          </w:tcPr>
          <w:p w:rsidR="00927118" w:rsidRPr="00CA6870" w:rsidRDefault="003764B1" w:rsidP="00CE7A7E">
            <w:pPr>
              <w:spacing w:after="0" w:line="240" w:lineRule="auto"/>
              <w:rPr>
                <w:rFonts w:ascii="Times New Roman" w:hAnsi="Times New Roman"/>
                <w:sz w:val="24"/>
                <w:szCs w:val="24"/>
              </w:rPr>
            </w:pPr>
            <w:r w:rsidRPr="00CA6870">
              <w:rPr>
                <w:rFonts w:ascii="Times New Roman" w:hAnsi="Times New Roman"/>
                <w:sz w:val="24"/>
                <w:szCs w:val="24"/>
              </w:rPr>
              <w:t>4</w:t>
            </w:r>
          </w:p>
        </w:tc>
      </w:tr>
      <w:tr w:rsidR="00927118" w:rsidRPr="00A8215B" w:rsidTr="00B76589">
        <w:tc>
          <w:tcPr>
            <w:tcW w:w="7797"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p>
        </w:tc>
        <w:tc>
          <w:tcPr>
            <w:tcW w:w="7801"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p>
        </w:tc>
      </w:tr>
      <w:tr w:rsidR="00927118" w:rsidRPr="00A8215B" w:rsidTr="00B76589">
        <w:tc>
          <w:tcPr>
            <w:tcW w:w="7797"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r w:rsidRPr="00CA6870">
              <w:rPr>
                <w:rFonts w:ascii="Times New Roman" w:hAnsi="Times New Roman"/>
                <w:sz w:val="24"/>
                <w:szCs w:val="24"/>
              </w:rPr>
              <w:t>Počet akceptovaných pripomienok, z toho zásadných</w:t>
            </w:r>
          </w:p>
        </w:tc>
        <w:tc>
          <w:tcPr>
            <w:tcW w:w="7801" w:type="dxa"/>
            <w:tcBorders>
              <w:top w:val="nil"/>
              <w:left w:val="nil"/>
              <w:bottom w:val="nil"/>
              <w:right w:val="nil"/>
            </w:tcBorders>
          </w:tcPr>
          <w:p w:rsidR="00927118" w:rsidRPr="00CA6870" w:rsidRDefault="00B2327C" w:rsidP="00B2327C">
            <w:pPr>
              <w:spacing w:after="0" w:line="240" w:lineRule="auto"/>
              <w:rPr>
                <w:rFonts w:ascii="Times New Roman" w:hAnsi="Times New Roman"/>
                <w:sz w:val="24"/>
                <w:szCs w:val="24"/>
              </w:rPr>
            </w:pPr>
            <w:r>
              <w:rPr>
                <w:rFonts w:ascii="Times New Roman" w:hAnsi="Times New Roman"/>
                <w:sz w:val="24"/>
                <w:szCs w:val="24"/>
              </w:rPr>
              <w:t>3</w:t>
            </w:r>
            <w:r w:rsidR="00CE7A7E" w:rsidRPr="00CA6870">
              <w:rPr>
                <w:rFonts w:ascii="Times New Roman" w:hAnsi="Times New Roman"/>
                <w:sz w:val="24"/>
                <w:szCs w:val="24"/>
              </w:rPr>
              <w:t>/</w:t>
            </w:r>
            <w:r>
              <w:rPr>
                <w:rFonts w:ascii="Times New Roman" w:hAnsi="Times New Roman"/>
                <w:sz w:val="24"/>
                <w:szCs w:val="24"/>
              </w:rPr>
              <w:t>1</w:t>
            </w:r>
            <w:bookmarkStart w:id="0" w:name="_GoBack"/>
            <w:bookmarkEnd w:id="0"/>
          </w:p>
        </w:tc>
      </w:tr>
      <w:tr w:rsidR="00927118" w:rsidRPr="00A8215B" w:rsidTr="00B76589">
        <w:tc>
          <w:tcPr>
            <w:tcW w:w="7797"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r w:rsidRPr="00CA6870">
              <w:rPr>
                <w:rFonts w:ascii="Times New Roman" w:hAnsi="Times New Roman"/>
                <w:sz w:val="24"/>
                <w:szCs w:val="24"/>
              </w:rPr>
              <w:t>Počet čiastočne akceptovaných pripomienok, z toho zásadných</w:t>
            </w:r>
          </w:p>
        </w:tc>
        <w:tc>
          <w:tcPr>
            <w:tcW w:w="7801" w:type="dxa"/>
            <w:tcBorders>
              <w:top w:val="nil"/>
              <w:left w:val="nil"/>
              <w:bottom w:val="nil"/>
              <w:right w:val="nil"/>
            </w:tcBorders>
          </w:tcPr>
          <w:p w:rsidR="00927118" w:rsidRPr="00CA6870" w:rsidRDefault="00B2327C" w:rsidP="00B2327C">
            <w:pPr>
              <w:spacing w:after="0" w:line="240" w:lineRule="auto"/>
              <w:rPr>
                <w:rFonts w:ascii="Times New Roman" w:hAnsi="Times New Roman"/>
                <w:sz w:val="24"/>
                <w:szCs w:val="24"/>
              </w:rPr>
            </w:pPr>
            <w:r>
              <w:rPr>
                <w:rFonts w:ascii="Times New Roman" w:hAnsi="Times New Roman"/>
                <w:sz w:val="24"/>
                <w:szCs w:val="24"/>
              </w:rPr>
              <w:t>0</w:t>
            </w:r>
            <w:r w:rsidR="00CE7A7E" w:rsidRPr="00CA6870">
              <w:rPr>
                <w:rFonts w:ascii="Times New Roman" w:hAnsi="Times New Roman"/>
                <w:sz w:val="24"/>
                <w:szCs w:val="24"/>
              </w:rPr>
              <w:t>/</w:t>
            </w:r>
            <w:r>
              <w:rPr>
                <w:rFonts w:ascii="Times New Roman" w:hAnsi="Times New Roman"/>
                <w:sz w:val="24"/>
                <w:szCs w:val="24"/>
              </w:rPr>
              <w:t>0</w:t>
            </w:r>
          </w:p>
        </w:tc>
      </w:tr>
      <w:tr w:rsidR="00927118" w:rsidRPr="00A8215B" w:rsidTr="00B76589">
        <w:tc>
          <w:tcPr>
            <w:tcW w:w="7797"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r w:rsidRPr="00CA6870">
              <w:rPr>
                <w:rFonts w:ascii="Times New Roman" w:hAnsi="Times New Roman"/>
                <w:sz w:val="24"/>
                <w:szCs w:val="24"/>
              </w:rPr>
              <w:t>Počet neakceptovaných pripomienok, z toho zásadných</w:t>
            </w:r>
          </w:p>
        </w:tc>
        <w:tc>
          <w:tcPr>
            <w:tcW w:w="7801" w:type="dxa"/>
            <w:tcBorders>
              <w:top w:val="nil"/>
              <w:left w:val="nil"/>
              <w:bottom w:val="nil"/>
              <w:right w:val="nil"/>
            </w:tcBorders>
          </w:tcPr>
          <w:p w:rsidR="00927118" w:rsidRPr="00CA6870" w:rsidRDefault="00E96CCF" w:rsidP="00AF3EA0">
            <w:pPr>
              <w:spacing w:after="0" w:line="240" w:lineRule="auto"/>
              <w:rPr>
                <w:rFonts w:ascii="Times New Roman" w:hAnsi="Times New Roman"/>
                <w:sz w:val="24"/>
                <w:szCs w:val="24"/>
              </w:rPr>
            </w:pPr>
            <w:r w:rsidRPr="00CA6870">
              <w:rPr>
                <w:rFonts w:ascii="Times New Roman" w:hAnsi="Times New Roman"/>
                <w:sz w:val="24"/>
                <w:szCs w:val="24"/>
              </w:rPr>
              <w:t>1</w:t>
            </w:r>
            <w:r w:rsidR="00CE7A7E" w:rsidRPr="00CA6870">
              <w:rPr>
                <w:rFonts w:ascii="Times New Roman" w:hAnsi="Times New Roman"/>
                <w:sz w:val="24"/>
                <w:szCs w:val="24"/>
              </w:rPr>
              <w:t>/</w:t>
            </w:r>
            <w:r w:rsidR="00AF3EA0" w:rsidRPr="00CA6870">
              <w:rPr>
                <w:rFonts w:ascii="Times New Roman" w:hAnsi="Times New Roman"/>
                <w:sz w:val="24"/>
                <w:szCs w:val="24"/>
              </w:rPr>
              <w:t>0</w:t>
            </w:r>
          </w:p>
        </w:tc>
      </w:tr>
      <w:tr w:rsidR="00927118" w:rsidRPr="00A8215B" w:rsidTr="00B76589">
        <w:tc>
          <w:tcPr>
            <w:tcW w:w="7797" w:type="dxa"/>
            <w:tcBorders>
              <w:top w:val="nil"/>
              <w:left w:val="nil"/>
              <w:bottom w:val="nil"/>
              <w:right w:val="nil"/>
            </w:tcBorders>
          </w:tcPr>
          <w:p w:rsidR="00927118" w:rsidRPr="00CA6870" w:rsidRDefault="00927118" w:rsidP="00E165A9">
            <w:pPr>
              <w:spacing w:after="0" w:line="240" w:lineRule="auto"/>
              <w:rPr>
                <w:rFonts w:ascii="Times New Roman" w:hAnsi="Times New Roman"/>
                <w:bCs/>
                <w:sz w:val="24"/>
                <w:szCs w:val="24"/>
              </w:rPr>
            </w:pPr>
          </w:p>
        </w:tc>
        <w:tc>
          <w:tcPr>
            <w:tcW w:w="7801" w:type="dxa"/>
            <w:tcBorders>
              <w:top w:val="nil"/>
              <w:left w:val="nil"/>
              <w:bottom w:val="nil"/>
              <w:right w:val="nil"/>
            </w:tcBorders>
          </w:tcPr>
          <w:p w:rsidR="00927118" w:rsidRPr="00CA6870" w:rsidRDefault="00927118" w:rsidP="00E165A9">
            <w:pPr>
              <w:spacing w:after="0" w:line="240" w:lineRule="auto"/>
              <w:rPr>
                <w:rFonts w:ascii="Times New Roman" w:hAnsi="Times New Roman"/>
                <w:sz w:val="24"/>
                <w:szCs w:val="24"/>
              </w:rPr>
            </w:pPr>
          </w:p>
        </w:tc>
      </w:tr>
      <w:tr w:rsidR="00927118" w:rsidRPr="00A8215B" w:rsidTr="00CA6870">
        <w:tc>
          <w:tcPr>
            <w:tcW w:w="7797" w:type="dxa"/>
            <w:tcBorders>
              <w:top w:val="nil"/>
              <w:left w:val="nil"/>
              <w:bottom w:val="nil"/>
              <w:right w:val="nil"/>
            </w:tcBorders>
            <w:shd w:val="clear" w:color="auto" w:fill="auto"/>
          </w:tcPr>
          <w:p w:rsidR="00927118" w:rsidRPr="00CA6870" w:rsidRDefault="00927118" w:rsidP="00E165A9">
            <w:pPr>
              <w:spacing w:after="0" w:line="240" w:lineRule="auto"/>
              <w:rPr>
                <w:rFonts w:ascii="Times New Roman" w:hAnsi="Times New Roman"/>
                <w:sz w:val="24"/>
                <w:szCs w:val="24"/>
              </w:rPr>
            </w:pPr>
            <w:r w:rsidRPr="00CA6870">
              <w:rPr>
                <w:rFonts w:ascii="Times New Roman" w:hAnsi="Times New Roman"/>
                <w:bCs/>
                <w:sz w:val="24"/>
                <w:szCs w:val="24"/>
              </w:rPr>
              <w:t>Rozporové konanie (s kým, kedy, s akým výsledkom)</w:t>
            </w:r>
          </w:p>
        </w:tc>
        <w:tc>
          <w:tcPr>
            <w:tcW w:w="7801" w:type="dxa"/>
            <w:tcBorders>
              <w:top w:val="nil"/>
              <w:left w:val="nil"/>
              <w:bottom w:val="nil"/>
              <w:right w:val="nil"/>
            </w:tcBorders>
            <w:shd w:val="clear" w:color="auto" w:fill="auto"/>
          </w:tcPr>
          <w:p w:rsidR="00927118" w:rsidRPr="00CA6870" w:rsidRDefault="00AF3EA0" w:rsidP="00E165A9">
            <w:pPr>
              <w:spacing w:after="0" w:line="240" w:lineRule="auto"/>
              <w:rPr>
                <w:rFonts w:ascii="Times New Roman" w:hAnsi="Times New Roman"/>
                <w:sz w:val="24"/>
                <w:szCs w:val="24"/>
              </w:rPr>
            </w:pPr>
            <w:r w:rsidRPr="00CA6870">
              <w:rPr>
                <w:rFonts w:ascii="Times New Roman" w:hAnsi="Times New Roman"/>
                <w:sz w:val="24"/>
                <w:szCs w:val="24"/>
              </w:rPr>
              <w:t>-</w:t>
            </w:r>
          </w:p>
        </w:tc>
      </w:tr>
      <w:tr w:rsidR="00927118" w:rsidRPr="00A8215B" w:rsidTr="00CA6870">
        <w:tc>
          <w:tcPr>
            <w:tcW w:w="7797" w:type="dxa"/>
            <w:tcBorders>
              <w:top w:val="nil"/>
              <w:left w:val="nil"/>
              <w:bottom w:val="nil"/>
              <w:right w:val="nil"/>
            </w:tcBorders>
            <w:shd w:val="clear" w:color="auto" w:fill="auto"/>
          </w:tcPr>
          <w:p w:rsidR="00927118" w:rsidRPr="00CA6870" w:rsidRDefault="00927118" w:rsidP="00E165A9">
            <w:pPr>
              <w:spacing w:after="0" w:line="240" w:lineRule="auto"/>
              <w:rPr>
                <w:rFonts w:ascii="Times New Roman" w:hAnsi="Times New Roman"/>
                <w:bCs/>
                <w:sz w:val="24"/>
                <w:szCs w:val="24"/>
              </w:rPr>
            </w:pPr>
            <w:r w:rsidRPr="00CA6870">
              <w:rPr>
                <w:rFonts w:ascii="Times New Roman" w:hAnsi="Times New Roman"/>
                <w:bCs/>
                <w:sz w:val="24"/>
                <w:szCs w:val="24"/>
              </w:rPr>
              <w:t>Počet odstránených pripomienok</w:t>
            </w:r>
          </w:p>
        </w:tc>
        <w:tc>
          <w:tcPr>
            <w:tcW w:w="7801" w:type="dxa"/>
            <w:tcBorders>
              <w:top w:val="nil"/>
              <w:left w:val="nil"/>
              <w:bottom w:val="nil"/>
              <w:right w:val="nil"/>
            </w:tcBorders>
            <w:shd w:val="clear" w:color="auto" w:fill="auto"/>
          </w:tcPr>
          <w:p w:rsidR="00927118" w:rsidRPr="00CA6870" w:rsidRDefault="00AF3EA0" w:rsidP="00E165A9">
            <w:pPr>
              <w:spacing w:after="0" w:line="240" w:lineRule="auto"/>
              <w:rPr>
                <w:rFonts w:ascii="Times New Roman" w:hAnsi="Times New Roman"/>
                <w:sz w:val="24"/>
                <w:szCs w:val="24"/>
              </w:rPr>
            </w:pPr>
            <w:r w:rsidRPr="00CA6870">
              <w:rPr>
                <w:rFonts w:ascii="Times New Roman" w:hAnsi="Times New Roman"/>
                <w:sz w:val="24"/>
                <w:szCs w:val="24"/>
              </w:rPr>
              <w:t>-</w:t>
            </w:r>
          </w:p>
        </w:tc>
      </w:tr>
      <w:tr w:rsidR="00927118" w:rsidRPr="00A8215B" w:rsidTr="00CA6870">
        <w:tc>
          <w:tcPr>
            <w:tcW w:w="7797" w:type="dxa"/>
            <w:tcBorders>
              <w:top w:val="nil"/>
              <w:left w:val="nil"/>
              <w:bottom w:val="nil"/>
              <w:right w:val="nil"/>
            </w:tcBorders>
            <w:shd w:val="clear" w:color="auto" w:fill="auto"/>
          </w:tcPr>
          <w:p w:rsidR="00927118" w:rsidRPr="00CA6870" w:rsidRDefault="00927118" w:rsidP="00E165A9">
            <w:pPr>
              <w:spacing w:after="0" w:line="240" w:lineRule="auto"/>
              <w:rPr>
                <w:rFonts w:ascii="Times New Roman" w:hAnsi="Times New Roman"/>
                <w:bCs/>
                <w:sz w:val="24"/>
                <w:szCs w:val="24"/>
              </w:rPr>
            </w:pPr>
            <w:r w:rsidRPr="00CA6870">
              <w:rPr>
                <w:rFonts w:ascii="Times New Roman" w:hAnsi="Times New Roman"/>
                <w:bCs/>
                <w:sz w:val="24"/>
                <w:szCs w:val="24"/>
              </w:rPr>
              <w:t>Počet neodstránených pripomienok</w:t>
            </w:r>
          </w:p>
        </w:tc>
        <w:tc>
          <w:tcPr>
            <w:tcW w:w="7801" w:type="dxa"/>
            <w:tcBorders>
              <w:top w:val="nil"/>
              <w:left w:val="nil"/>
              <w:bottom w:val="nil"/>
              <w:right w:val="nil"/>
            </w:tcBorders>
            <w:shd w:val="clear" w:color="auto" w:fill="auto"/>
          </w:tcPr>
          <w:p w:rsidR="00927118" w:rsidRPr="00CA6870" w:rsidRDefault="00AF3EA0" w:rsidP="00E165A9">
            <w:pPr>
              <w:spacing w:after="0" w:line="240" w:lineRule="auto"/>
              <w:rPr>
                <w:rFonts w:ascii="Times New Roman" w:hAnsi="Times New Roman"/>
                <w:sz w:val="24"/>
                <w:szCs w:val="24"/>
              </w:rPr>
            </w:pPr>
            <w:r w:rsidRPr="00CA6870">
              <w:rPr>
                <w:rFonts w:ascii="Times New Roman" w:hAnsi="Times New Roman"/>
                <w:sz w:val="24"/>
                <w:szCs w:val="24"/>
              </w:rPr>
              <w:t>-</w:t>
            </w:r>
          </w:p>
        </w:tc>
      </w:tr>
    </w:tbl>
    <w:p w:rsidR="00927118" w:rsidRPr="00A8215B" w:rsidRDefault="00927118" w:rsidP="00927118">
      <w:pPr>
        <w:spacing w:after="0" w:line="240" w:lineRule="auto"/>
        <w:rPr>
          <w:rFonts w:ascii="Times New Roman" w:hAnsi="Times New Roman"/>
          <w:b/>
          <w:sz w:val="24"/>
          <w:szCs w:val="24"/>
          <w:highlight w:val="yellow"/>
        </w:rPr>
      </w:pPr>
    </w:p>
    <w:p w:rsidR="00927118" w:rsidRPr="00A918BC" w:rsidRDefault="00927118" w:rsidP="00927118">
      <w:pPr>
        <w:spacing w:after="0" w:line="240" w:lineRule="auto"/>
        <w:rPr>
          <w:rFonts w:ascii="Times New Roman" w:hAnsi="Times New Roman"/>
          <w:sz w:val="24"/>
          <w:szCs w:val="24"/>
        </w:rPr>
      </w:pPr>
      <w:r w:rsidRPr="00AF3EA0">
        <w:rPr>
          <w:rFonts w:ascii="Times New Roman" w:hAnsi="Times New Roman"/>
          <w:sz w:val="24"/>
          <w:szCs w:val="24"/>
        </w:rPr>
        <w:t>Sumarizácia vznesených pripomienok podľa subjektov</w:t>
      </w:r>
    </w:p>
    <w:p w:rsidR="00CE7A7E" w:rsidRPr="00A918BC" w:rsidRDefault="00CE7A7E" w:rsidP="00841FA6">
      <w:pPr>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8593"/>
        <w:gridCol w:w="1479"/>
        <w:gridCol w:w="1479"/>
        <w:gridCol w:w="1464"/>
        <w:gridCol w:w="1194"/>
      </w:tblGrid>
      <w:tr w:rsidR="00CE7A7E" w:rsidRPr="00A918BC" w:rsidTr="00AA14E6">
        <w:trPr>
          <w:divId w:val="471094731"/>
          <w:jc w:val="center"/>
        </w:trPr>
        <w:tc>
          <w:tcPr>
            <w:tcW w:w="119" w:type="pct"/>
            <w:tcBorders>
              <w:top w:val="outset" w:sz="6" w:space="0" w:color="000000"/>
              <w:bottom w:val="outset" w:sz="6" w:space="0" w:color="000000"/>
              <w:right w:val="outset" w:sz="6" w:space="0" w:color="000000"/>
            </w:tcBorders>
            <w:vAlign w:val="center"/>
            <w:hideMark/>
          </w:tcPr>
          <w:p w:rsidR="00CE7A7E" w:rsidRPr="00A918BC" w:rsidRDefault="00CE7A7E">
            <w:pPr>
              <w:jc w:val="center"/>
              <w:rPr>
                <w:rFonts w:ascii="Times New Roman" w:hAnsi="Times New Roman"/>
                <w:b/>
                <w:bCs/>
                <w:sz w:val="24"/>
                <w:szCs w:val="24"/>
              </w:rPr>
            </w:pPr>
            <w:r w:rsidRPr="00A918BC">
              <w:rPr>
                <w:rFonts w:ascii="Times New Roman" w:hAnsi="Times New Roman"/>
                <w:b/>
                <w:bCs/>
                <w:sz w:val="24"/>
                <w:szCs w:val="24"/>
              </w:rPr>
              <w:t>Č.</w:t>
            </w:r>
          </w:p>
        </w:tc>
        <w:tc>
          <w:tcPr>
            <w:tcW w:w="2952" w:type="pct"/>
            <w:tcBorders>
              <w:top w:val="outset" w:sz="6" w:space="0" w:color="000000"/>
              <w:left w:val="outset" w:sz="6" w:space="0" w:color="000000"/>
              <w:bottom w:val="outset" w:sz="6" w:space="0" w:color="000000"/>
              <w:right w:val="outset" w:sz="6" w:space="0" w:color="000000"/>
            </w:tcBorders>
            <w:vAlign w:val="center"/>
            <w:hideMark/>
          </w:tcPr>
          <w:p w:rsidR="00CE7A7E" w:rsidRPr="00A918BC" w:rsidRDefault="00CE7A7E">
            <w:pPr>
              <w:jc w:val="center"/>
              <w:rPr>
                <w:rFonts w:ascii="Times New Roman" w:hAnsi="Times New Roman"/>
                <w:b/>
                <w:bCs/>
                <w:sz w:val="24"/>
                <w:szCs w:val="24"/>
              </w:rPr>
            </w:pPr>
            <w:r w:rsidRPr="00A918BC">
              <w:rPr>
                <w:rFonts w:ascii="Times New Roman" w:hAnsi="Times New Roman"/>
                <w:b/>
                <w:bCs/>
                <w:sz w:val="24"/>
                <w:szCs w:val="24"/>
              </w:rPr>
              <w:t>Subjekt</w:t>
            </w:r>
          </w:p>
        </w:tc>
        <w:tc>
          <w:tcPr>
            <w:tcW w:w="508" w:type="pct"/>
            <w:tcBorders>
              <w:top w:val="outset" w:sz="6" w:space="0" w:color="000000"/>
              <w:left w:val="outset" w:sz="6" w:space="0" w:color="000000"/>
              <w:bottom w:val="outset" w:sz="6" w:space="0" w:color="000000"/>
              <w:right w:val="outset" w:sz="6" w:space="0" w:color="000000"/>
            </w:tcBorders>
            <w:vAlign w:val="center"/>
            <w:hideMark/>
          </w:tcPr>
          <w:p w:rsidR="00CE7A7E" w:rsidRPr="00A918BC" w:rsidRDefault="00CE7A7E">
            <w:pPr>
              <w:jc w:val="center"/>
              <w:rPr>
                <w:rFonts w:ascii="Times New Roman" w:hAnsi="Times New Roman"/>
                <w:b/>
                <w:bCs/>
                <w:sz w:val="24"/>
                <w:szCs w:val="24"/>
              </w:rPr>
            </w:pPr>
            <w:r w:rsidRPr="00A918BC">
              <w:rPr>
                <w:rFonts w:ascii="Times New Roman" w:hAnsi="Times New Roman"/>
                <w:b/>
                <w:bCs/>
                <w:sz w:val="24"/>
                <w:szCs w:val="24"/>
              </w:rPr>
              <w:t>Pripomienky do termínu</w:t>
            </w:r>
          </w:p>
        </w:tc>
        <w:tc>
          <w:tcPr>
            <w:tcW w:w="508" w:type="pct"/>
            <w:tcBorders>
              <w:top w:val="outset" w:sz="6" w:space="0" w:color="000000"/>
              <w:left w:val="outset" w:sz="6" w:space="0" w:color="000000"/>
              <w:bottom w:val="outset" w:sz="6" w:space="0" w:color="000000"/>
              <w:right w:val="outset" w:sz="6" w:space="0" w:color="000000"/>
            </w:tcBorders>
            <w:vAlign w:val="center"/>
            <w:hideMark/>
          </w:tcPr>
          <w:p w:rsidR="00CE7A7E" w:rsidRPr="00A918BC" w:rsidRDefault="00CE7A7E">
            <w:pPr>
              <w:jc w:val="center"/>
              <w:rPr>
                <w:rFonts w:ascii="Times New Roman" w:hAnsi="Times New Roman"/>
                <w:b/>
                <w:bCs/>
                <w:sz w:val="24"/>
                <w:szCs w:val="24"/>
              </w:rPr>
            </w:pPr>
            <w:r w:rsidRPr="00A918BC">
              <w:rPr>
                <w:rFonts w:ascii="Times New Roman" w:hAnsi="Times New Roman"/>
                <w:b/>
                <w:bCs/>
                <w:sz w:val="24"/>
                <w:szCs w:val="24"/>
              </w:rPr>
              <w:t>Pripomienky po termíne</w:t>
            </w:r>
          </w:p>
        </w:tc>
        <w:tc>
          <w:tcPr>
            <w:tcW w:w="503" w:type="pct"/>
            <w:tcBorders>
              <w:top w:val="outset" w:sz="6" w:space="0" w:color="000000"/>
              <w:left w:val="outset" w:sz="6" w:space="0" w:color="000000"/>
              <w:bottom w:val="outset" w:sz="6" w:space="0" w:color="000000"/>
              <w:right w:val="outset" w:sz="6" w:space="0" w:color="000000"/>
            </w:tcBorders>
            <w:vAlign w:val="center"/>
            <w:hideMark/>
          </w:tcPr>
          <w:p w:rsidR="00CE7A7E" w:rsidRPr="00A918BC" w:rsidRDefault="00CE7A7E">
            <w:pPr>
              <w:jc w:val="center"/>
              <w:rPr>
                <w:rFonts w:ascii="Times New Roman" w:hAnsi="Times New Roman"/>
                <w:b/>
                <w:bCs/>
                <w:sz w:val="24"/>
                <w:szCs w:val="24"/>
              </w:rPr>
            </w:pPr>
            <w:r w:rsidRPr="00A918BC">
              <w:rPr>
                <w:rFonts w:ascii="Times New Roman" w:hAnsi="Times New Roman"/>
                <w:b/>
                <w:bCs/>
                <w:sz w:val="24"/>
                <w:szCs w:val="24"/>
              </w:rPr>
              <w:t>Nemali pripomienky</w:t>
            </w:r>
          </w:p>
        </w:tc>
        <w:tc>
          <w:tcPr>
            <w:tcW w:w="410" w:type="pct"/>
            <w:tcBorders>
              <w:top w:val="outset" w:sz="6" w:space="0" w:color="000000"/>
              <w:left w:val="outset" w:sz="6" w:space="0" w:color="000000"/>
              <w:bottom w:val="outset" w:sz="6" w:space="0" w:color="000000"/>
            </w:tcBorders>
            <w:vAlign w:val="center"/>
            <w:hideMark/>
          </w:tcPr>
          <w:p w:rsidR="00CE7A7E" w:rsidRPr="00A918BC" w:rsidRDefault="00CE7A7E">
            <w:pPr>
              <w:jc w:val="center"/>
              <w:rPr>
                <w:rFonts w:ascii="Times New Roman" w:hAnsi="Times New Roman"/>
                <w:b/>
                <w:bCs/>
                <w:sz w:val="24"/>
                <w:szCs w:val="24"/>
              </w:rPr>
            </w:pPr>
            <w:r w:rsidRPr="00A918BC">
              <w:rPr>
                <w:rFonts w:ascii="Times New Roman" w:hAnsi="Times New Roman"/>
                <w:b/>
                <w:bCs/>
                <w:sz w:val="24"/>
                <w:szCs w:val="24"/>
              </w:rPr>
              <w:t>Vôbec nezaslali</w:t>
            </w:r>
          </w:p>
        </w:tc>
      </w:tr>
      <w:tr w:rsidR="00CE7A7E" w:rsidRPr="00A918BC" w:rsidTr="00AA14E6">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872AEE" w:rsidP="00A918BC">
            <w:pPr>
              <w:jc w:val="both"/>
              <w:rPr>
                <w:rFonts w:ascii="Times New Roman" w:hAnsi="Times New Roman"/>
                <w:sz w:val="24"/>
                <w:szCs w:val="24"/>
              </w:rPr>
            </w:pPr>
            <w:r w:rsidRPr="00872AEE">
              <w:rPr>
                <w:rFonts w:ascii="Times New Roman" w:hAnsi="Times New Roman"/>
                <w:sz w:val="24"/>
                <w:szCs w:val="24"/>
              </w:rPr>
              <w:t>Asociácia zamestnávateľ</w:t>
            </w:r>
            <w:r w:rsidR="00CE7A7E" w:rsidRPr="00872AEE">
              <w:rPr>
                <w:rFonts w:ascii="Times New Roman" w:hAnsi="Times New Roman"/>
                <w:sz w:val="24"/>
                <w:szCs w:val="24"/>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rsidP="00B322B7">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rsidP="00B322B7">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EE5B98">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3764B1">
            <w:pPr>
              <w:jc w:val="both"/>
              <w:rPr>
                <w:rFonts w:ascii="Times New Roman" w:hAnsi="Times New Roman"/>
                <w:sz w:val="24"/>
                <w:szCs w:val="24"/>
              </w:rPr>
            </w:pPr>
            <w:r w:rsidRPr="00872AEE">
              <w:rPr>
                <w:rFonts w:ascii="Times New Roman" w:hAnsi="Times New Roman"/>
                <w:sz w:val="24"/>
                <w:szCs w:val="24"/>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3764B1">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EE5B98">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rsidP="00872AE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A8215B" w:rsidRDefault="00CE7A7E">
            <w:pPr>
              <w:jc w:val="center"/>
              <w:rPr>
                <w:rFonts w:ascii="Times New Roman" w:hAnsi="Times New Roman"/>
                <w:sz w:val="24"/>
                <w:szCs w:val="24"/>
                <w:highlight w:val="yellow"/>
              </w:rPr>
            </w:pPr>
          </w:p>
        </w:tc>
        <w:tc>
          <w:tcPr>
            <w:tcW w:w="0" w:type="auto"/>
            <w:tcBorders>
              <w:top w:val="outset" w:sz="6" w:space="0" w:color="000000"/>
              <w:left w:val="outset" w:sz="6" w:space="0" w:color="000000"/>
              <w:bottom w:val="outset" w:sz="6" w:space="0" w:color="000000"/>
              <w:right w:val="outset" w:sz="6" w:space="0" w:color="000000"/>
            </w:tcBorders>
          </w:tcPr>
          <w:p w:rsidR="00CE7A7E" w:rsidRPr="00A8215B" w:rsidRDefault="003764B1">
            <w:pPr>
              <w:jc w:val="center"/>
              <w:rPr>
                <w:rFonts w:ascii="Times New Roman" w:hAnsi="Times New Roman"/>
                <w:sz w:val="24"/>
                <w:szCs w:val="24"/>
                <w:highlight w:val="yellow"/>
              </w:rPr>
            </w:pPr>
            <w:r w:rsidRPr="003764B1">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A8215B" w:rsidRDefault="00CE7A7E">
            <w:pPr>
              <w:jc w:val="center"/>
              <w:rPr>
                <w:rFonts w:ascii="Times New Roman" w:hAnsi="Times New Roman"/>
                <w:sz w:val="24"/>
                <w:szCs w:val="24"/>
                <w:highlight w:val="yellow"/>
              </w:rPr>
            </w:pPr>
          </w:p>
        </w:tc>
      </w:tr>
      <w:tr w:rsidR="00CE7A7E" w:rsidRPr="00A918BC" w:rsidTr="00EE5B98">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3764B1">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A8215B" w:rsidRDefault="00CE7A7E">
            <w:pPr>
              <w:jc w:val="center"/>
              <w:rPr>
                <w:rFonts w:ascii="Times New Roman" w:hAnsi="Times New Roman"/>
                <w:sz w:val="24"/>
                <w:szCs w:val="24"/>
                <w:highlight w:val="yellow"/>
              </w:rPr>
            </w:pPr>
          </w:p>
        </w:tc>
      </w:tr>
      <w:tr w:rsidR="00CE7A7E" w:rsidRPr="00A918BC" w:rsidTr="00EE5B98">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EE5B98">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3764B1" w:rsidP="00872AEE">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AA14E6" w:rsidRPr="00A918BC" w:rsidTr="00AA14E6">
        <w:trPr>
          <w:divId w:val="471094731"/>
          <w:jc w:val="center"/>
        </w:trPr>
        <w:tc>
          <w:tcPr>
            <w:tcW w:w="0" w:type="auto"/>
            <w:tcBorders>
              <w:top w:val="outset" w:sz="6" w:space="0" w:color="000000"/>
              <w:bottom w:val="outset" w:sz="6" w:space="0" w:color="000000"/>
              <w:right w:val="outset" w:sz="6" w:space="0" w:color="000000"/>
            </w:tcBorders>
            <w:hideMark/>
          </w:tcPr>
          <w:p w:rsidR="00AA14E6" w:rsidRPr="00872AEE" w:rsidRDefault="00AA14E6" w:rsidP="00AA14E6">
            <w:pPr>
              <w:jc w:val="center"/>
              <w:rPr>
                <w:rFonts w:ascii="Times New Roman" w:hAnsi="Times New Roman"/>
                <w:sz w:val="24"/>
                <w:szCs w:val="24"/>
              </w:rPr>
            </w:pPr>
            <w:r w:rsidRPr="00872AEE">
              <w:rPr>
                <w:rFonts w:ascii="Times New Roman" w:hAnsi="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AA14E6" w:rsidRPr="00872AEE" w:rsidRDefault="00AA14E6" w:rsidP="00AA14E6">
            <w:pPr>
              <w:jc w:val="both"/>
              <w:rPr>
                <w:rFonts w:ascii="Times New Roman" w:hAnsi="Times New Roman"/>
                <w:sz w:val="24"/>
                <w:szCs w:val="24"/>
              </w:rPr>
            </w:pPr>
            <w:r w:rsidRPr="00872AEE">
              <w:rPr>
                <w:rFonts w:ascii="Times New Roman" w:hAnsi="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AA14E6" w:rsidRPr="00872AEE"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AA14E6" w:rsidRPr="00872AEE"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AA14E6" w:rsidRPr="00872AEE" w:rsidRDefault="00192553" w:rsidP="00AA14E6">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AA14E6" w:rsidRPr="00A8215B" w:rsidRDefault="00AA14E6" w:rsidP="00AA14E6">
            <w:pPr>
              <w:jc w:val="center"/>
              <w:rPr>
                <w:rFonts w:ascii="Times New Roman" w:hAnsi="Times New Roman"/>
                <w:sz w:val="24"/>
                <w:szCs w:val="24"/>
                <w:highlight w:val="yellow"/>
              </w:rPr>
            </w:pPr>
          </w:p>
        </w:tc>
      </w:tr>
      <w:tr w:rsidR="00CE7A7E" w:rsidRPr="00A918BC" w:rsidTr="00EE5B98">
        <w:trPr>
          <w:divId w:val="471094731"/>
          <w:jc w:val="center"/>
        </w:trPr>
        <w:tc>
          <w:tcPr>
            <w:tcW w:w="0" w:type="auto"/>
            <w:tcBorders>
              <w:top w:val="outset" w:sz="6" w:space="0" w:color="000000"/>
              <w:bottom w:val="outset" w:sz="6" w:space="0" w:color="000000"/>
              <w:right w:val="outset" w:sz="6" w:space="0" w:color="000000"/>
            </w:tcBorders>
            <w:shd w:val="clear" w:color="auto" w:fill="auto"/>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shd w:val="clear" w:color="auto" w:fill="auto"/>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3764B1">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AA14E6"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AA14E6" w:rsidRPr="00872AEE" w:rsidRDefault="00AA14E6" w:rsidP="00AA14E6">
            <w:pPr>
              <w:jc w:val="center"/>
              <w:rPr>
                <w:rFonts w:ascii="Times New Roman" w:hAnsi="Times New Roman"/>
                <w:sz w:val="24"/>
                <w:szCs w:val="24"/>
              </w:rPr>
            </w:pPr>
            <w:r w:rsidRPr="00872AEE">
              <w:rPr>
                <w:rFonts w:ascii="Times New Roman" w:hAnsi="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AA14E6" w:rsidRPr="00872AEE" w:rsidRDefault="00AA14E6" w:rsidP="00AA14E6">
            <w:pPr>
              <w:jc w:val="both"/>
              <w:rPr>
                <w:rFonts w:ascii="Times New Roman" w:hAnsi="Times New Roman"/>
                <w:sz w:val="24"/>
                <w:szCs w:val="24"/>
              </w:rPr>
            </w:pPr>
            <w:r w:rsidRPr="00872AEE">
              <w:rPr>
                <w:rFonts w:ascii="Times New Roman" w:hAnsi="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AA14E6" w:rsidRPr="00872AEE"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AA14E6" w:rsidRPr="00872AEE"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AA14E6" w:rsidRPr="00872AEE"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AA14E6" w:rsidRPr="00872AEE" w:rsidRDefault="00192553" w:rsidP="00AA14E6">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872AEE" w:rsidRDefault="00CE7A7E">
            <w:pPr>
              <w:jc w:val="center"/>
              <w:rPr>
                <w:rFonts w:ascii="Times New Roman" w:hAnsi="Times New Roman"/>
                <w:sz w:val="24"/>
                <w:szCs w:val="24"/>
              </w:rPr>
            </w:pPr>
            <w:r w:rsidRPr="00872AEE">
              <w:rPr>
                <w:rFonts w:ascii="Times New Roman" w:hAnsi="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872AEE" w:rsidRDefault="00CE7A7E" w:rsidP="00A918BC">
            <w:pPr>
              <w:jc w:val="both"/>
              <w:rPr>
                <w:rFonts w:ascii="Times New Roman" w:hAnsi="Times New Roman"/>
                <w:sz w:val="24"/>
                <w:szCs w:val="24"/>
              </w:rPr>
            </w:pPr>
            <w:r w:rsidRPr="00872AEE">
              <w:rPr>
                <w:rFonts w:ascii="Times New Roman" w:hAnsi="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872AEE" w:rsidRDefault="003764B1">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872AEE"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011087" w:rsidRDefault="00CE7A7E">
            <w:pPr>
              <w:jc w:val="center"/>
              <w:rPr>
                <w:rFonts w:ascii="Times New Roman" w:hAnsi="Times New Roman"/>
                <w:sz w:val="24"/>
                <w:szCs w:val="24"/>
              </w:rPr>
            </w:pPr>
            <w:r w:rsidRPr="00011087">
              <w:rPr>
                <w:rFonts w:ascii="Times New Roman" w:hAnsi="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011087" w:rsidRDefault="00CE7A7E" w:rsidP="00A918BC">
            <w:pPr>
              <w:jc w:val="both"/>
              <w:rPr>
                <w:rFonts w:ascii="Times New Roman" w:hAnsi="Times New Roman"/>
                <w:sz w:val="24"/>
                <w:szCs w:val="24"/>
              </w:rPr>
            </w:pPr>
            <w:r w:rsidRPr="00011087">
              <w:rPr>
                <w:rFonts w:ascii="Times New Roman" w:hAnsi="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011087"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011087" w:rsidRDefault="00CE7A7E">
            <w:pPr>
              <w:jc w:val="center"/>
              <w:rPr>
                <w:rFonts w:ascii="Times New Roman" w:hAnsi="Times New Roman"/>
                <w:sz w:val="24"/>
                <w:szCs w:val="24"/>
              </w:rPr>
            </w:pPr>
            <w:r w:rsidRPr="00011087">
              <w:rPr>
                <w:rFonts w:ascii="Times New Roman" w:hAnsi="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011087" w:rsidRDefault="00CE7A7E" w:rsidP="00A918BC">
            <w:pPr>
              <w:jc w:val="both"/>
              <w:rPr>
                <w:rFonts w:ascii="Times New Roman" w:hAnsi="Times New Roman"/>
                <w:sz w:val="24"/>
                <w:szCs w:val="24"/>
              </w:rPr>
            </w:pPr>
            <w:r w:rsidRPr="00011087">
              <w:rPr>
                <w:rFonts w:ascii="Times New Roman" w:hAnsi="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011087"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011087" w:rsidRDefault="00CE7A7E">
            <w:pPr>
              <w:jc w:val="center"/>
              <w:rPr>
                <w:rFonts w:ascii="Times New Roman" w:hAnsi="Times New Roman"/>
                <w:sz w:val="24"/>
                <w:szCs w:val="24"/>
              </w:rPr>
            </w:pPr>
            <w:r w:rsidRPr="00011087">
              <w:rPr>
                <w:rFonts w:ascii="Times New Roman" w:hAnsi="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011087" w:rsidRDefault="00CE7A7E" w:rsidP="00A918BC">
            <w:pPr>
              <w:jc w:val="both"/>
              <w:rPr>
                <w:rFonts w:ascii="Times New Roman" w:hAnsi="Times New Roman"/>
                <w:sz w:val="24"/>
                <w:szCs w:val="24"/>
              </w:rPr>
            </w:pPr>
            <w:r w:rsidRPr="00011087">
              <w:rPr>
                <w:rFonts w:ascii="Times New Roman" w:hAnsi="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011087" w:rsidRDefault="00CE7A7E">
            <w:pPr>
              <w:jc w:val="center"/>
              <w:rPr>
                <w:rFonts w:ascii="Times New Roman" w:hAnsi="Times New Roman"/>
                <w:sz w:val="24"/>
                <w:szCs w:val="24"/>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011087" w:rsidRDefault="00CE7A7E">
            <w:pPr>
              <w:jc w:val="center"/>
              <w:rPr>
                <w:rFonts w:ascii="Times New Roman" w:hAnsi="Times New Roman"/>
                <w:sz w:val="24"/>
                <w:szCs w:val="24"/>
              </w:rPr>
            </w:pPr>
            <w:r w:rsidRPr="00011087">
              <w:rPr>
                <w:rFonts w:ascii="Times New Roman" w:hAnsi="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011087" w:rsidRDefault="00CE7A7E" w:rsidP="00A918BC">
            <w:pPr>
              <w:jc w:val="both"/>
              <w:rPr>
                <w:rFonts w:ascii="Times New Roman" w:hAnsi="Times New Roman"/>
                <w:sz w:val="24"/>
                <w:szCs w:val="24"/>
              </w:rPr>
            </w:pPr>
            <w:r w:rsidRPr="00011087">
              <w:rPr>
                <w:rFonts w:ascii="Times New Roman" w:hAnsi="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011087"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011087" w:rsidRDefault="00CE7A7E">
            <w:pPr>
              <w:jc w:val="center"/>
              <w:rPr>
                <w:rFonts w:ascii="Times New Roman" w:hAnsi="Times New Roman"/>
                <w:sz w:val="24"/>
                <w:szCs w:val="24"/>
              </w:rPr>
            </w:pPr>
          </w:p>
        </w:tc>
      </w:tr>
      <w:tr w:rsidR="00CE7A7E" w:rsidRPr="00A918BC" w:rsidTr="00EF7975">
        <w:trPr>
          <w:divId w:val="471094731"/>
          <w:jc w:val="center"/>
        </w:trPr>
        <w:tc>
          <w:tcPr>
            <w:tcW w:w="0" w:type="auto"/>
            <w:tcBorders>
              <w:top w:val="outset" w:sz="6" w:space="0" w:color="000000"/>
              <w:bottom w:val="outset" w:sz="6" w:space="0" w:color="000000"/>
              <w:right w:val="outset" w:sz="6" w:space="0" w:color="000000"/>
            </w:tcBorders>
            <w:shd w:val="clear" w:color="auto" w:fill="auto"/>
            <w:hideMark/>
          </w:tcPr>
          <w:p w:rsidR="00CE7A7E" w:rsidRPr="00EF7975" w:rsidRDefault="00CE7A7E">
            <w:pPr>
              <w:jc w:val="center"/>
              <w:rPr>
                <w:rFonts w:ascii="Times New Roman" w:hAnsi="Times New Roman"/>
                <w:sz w:val="24"/>
                <w:szCs w:val="24"/>
              </w:rPr>
            </w:pPr>
            <w:r w:rsidRPr="00EF7975">
              <w:rPr>
                <w:rFonts w:ascii="Times New Roman" w:hAnsi="Times New Roman"/>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E7A7E" w:rsidRPr="00EF7975" w:rsidRDefault="003764B1">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A8215B" w:rsidRDefault="00CE7A7E">
            <w:pPr>
              <w:jc w:val="center"/>
              <w:rPr>
                <w:rFonts w:ascii="Times New Roman" w:hAnsi="Times New Roman"/>
                <w:sz w:val="24"/>
                <w:szCs w:val="24"/>
                <w:highlight w:val="yellow"/>
              </w:rPr>
            </w:pP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pPr>
              <w:jc w:val="center"/>
              <w:rPr>
                <w:rFonts w:ascii="Times New Roman" w:hAnsi="Times New Roman"/>
                <w:sz w:val="24"/>
                <w:szCs w:val="24"/>
              </w:rPr>
            </w:pPr>
            <w:r w:rsidRPr="00EF7975">
              <w:rPr>
                <w:rFonts w:ascii="Times New Roman" w:hAnsi="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pPr>
              <w:jc w:val="center"/>
              <w:rPr>
                <w:rFonts w:ascii="Times New Roman" w:hAnsi="Times New Roman"/>
                <w:sz w:val="24"/>
                <w:szCs w:val="24"/>
              </w:rPr>
            </w:pPr>
            <w:r w:rsidRPr="00EF7975">
              <w:rPr>
                <w:rFonts w:ascii="Times New Roman" w:hAnsi="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EF7975" w:rsidRDefault="00CE7A7E">
            <w:pPr>
              <w:jc w:val="center"/>
              <w:rPr>
                <w:rFonts w:ascii="Times New Roman" w:hAnsi="Times New Roman"/>
                <w:sz w:val="24"/>
                <w:szCs w:val="24"/>
              </w:rPr>
            </w:pPr>
          </w:p>
        </w:tc>
      </w:tr>
      <w:tr w:rsidR="00AA14E6"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AA14E6" w:rsidRPr="00EF7975" w:rsidRDefault="00AA14E6" w:rsidP="00AA14E6">
            <w:pPr>
              <w:jc w:val="center"/>
              <w:rPr>
                <w:rFonts w:ascii="Times New Roman" w:hAnsi="Times New Roman"/>
                <w:sz w:val="24"/>
                <w:szCs w:val="24"/>
              </w:rPr>
            </w:pPr>
            <w:r w:rsidRPr="00EF7975">
              <w:rPr>
                <w:rFonts w:ascii="Times New Roman" w:hAnsi="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AA14E6" w:rsidRPr="00EF7975" w:rsidRDefault="00AA14E6" w:rsidP="00AA14E6">
            <w:pPr>
              <w:jc w:val="both"/>
              <w:rPr>
                <w:rFonts w:ascii="Times New Roman" w:hAnsi="Times New Roman"/>
                <w:sz w:val="24"/>
                <w:szCs w:val="24"/>
              </w:rPr>
            </w:pPr>
            <w:r w:rsidRPr="00EF7975">
              <w:rPr>
                <w:rFonts w:ascii="Times New Roman" w:hAnsi="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AA14E6" w:rsidRPr="00EF7975"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AA14E6" w:rsidRPr="00EF7975"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AA14E6" w:rsidRPr="00EF7975" w:rsidRDefault="00AA14E6" w:rsidP="00AA14E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AA14E6" w:rsidRPr="00EF7975" w:rsidRDefault="00192553" w:rsidP="00AA14E6">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2</w:t>
            </w:r>
            <w:r w:rsidR="00AA14E6" w:rsidRPr="00EF7975">
              <w:rPr>
                <w:rFonts w:ascii="Times New Roman" w:hAnsi="Times New Roman"/>
                <w:sz w:val="24"/>
                <w:szCs w:val="24"/>
              </w:rPr>
              <w:t>7</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2</w:t>
            </w:r>
            <w:r w:rsidR="00AA14E6" w:rsidRPr="00EF7975">
              <w:rPr>
                <w:rFonts w:ascii="Times New Roman" w:hAnsi="Times New Roman"/>
                <w:sz w:val="24"/>
                <w:szCs w:val="24"/>
              </w:rPr>
              <w:t>8</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AA14E6">
            <w:pPr>
              <w:jc w:val="center"/>
              <w:rPr>
                <w:rFonts w:ascii="Times New Roman" w:hAnsi="Times New Roman"/>
                <w:sz w:val="24"/>
                <w:szCs w:val="24"/>
              </w:rPr>
            </w:pPr>
            <w:r w:rsidRPr="00EF7975">
              <w:rPr>
                <w:rFonts w:ascii="Times New Roman" w:hAnsi="Times New Roman"/>
                <w:sz w:val="24"/>
                <w:szCs w:val="24"/>
              </w:rPr>
              <w:t>29</w:t>
            </w:r>
            <w:r w:rsidR="00CE7A7E"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0</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1</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2</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3</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4</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5</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6</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7</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3</w:t>
            </w:r>
            <w:r w:rsidR="00AA14E6" w:rsidRPr="00EF7975">
              <w:rPr>
                <w:rFonts w:ascii="Times New Roman" w:hAnsi="Times New Roman"/>
                <w:sz w:val="24"/>
                <w:szCs w:val="24"/>
              </w:rPr>
              <w:t>8</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074077">
        <w:trPr>
          <w:divId w:val="471094731"/>
          <w:jc w:val="center"/>
        </w:trPr>
        <w:tc>
          <w:tcPr>
            <w:tcW w:w="0" w:type="auto"/>
            <w:tcBorders>
              <w:top w:val="outset" w:sz="6" w:space="0" w:color="000000"/>
              <w:bottom w:val="outset" w:sz="6" w:space="0" w:color="000000"/>
              <w:right w:val="outset" w:sz="6" w:space="0" w:color="000000"/>
            </w:tcBorders>
          </w:tcPr>
          <w:p w:rsidR="00CE7A7E" w:rsidRPr="00EF7975" w:rsidRDefault="00074077">
            <w:pPr>
              <w:jc w:val="center"/>
              <w:rPr>
                <w:rFonts w:ascii="Times New Roman" w:hAnsi="Times New Roman"/>
                <w:sz w:val="24"/>
                <w:szCs w:val="24"/>
              </w:rPr>
            </w:pPr>
            <w:r>
              <w:rPr>
                <w:rFonts w:ascii="Times New Roman" w:hAnsi="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074077" w:rsidP="00A918BC">
            <w:pPr>
              <w:jc w:val="both"/>
              <w:rPr>
                <w:rFonts w:ascii="Times New Roman" w:hAnsi="Times New Roman"/>
                <w:sz w:val="24"/>
                <w:szCs w:val="24"/>
              </w:rPr>
            </w:pPr>
            <w:r>
              <w:rPr>
                <w:rFonts w:ascii="Times New Roman" w:hAnsi="Times New Roman"/>
                <w:sz w:val="24"/>
                <w:szCs w:val="24"/>
              </w:rPr>
              <w:t>Asociácia leasingových spoločností SR</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074077">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t>4</w:t>
            </w:r>
            <w:r w:rsidR="00AA14E6" w:rsidRPr="00EF7975">
              <w:rPr>
                <w:rFonts w:ascii="Times New Roman" w:hAnsi="Times New Roman"/>
                <w:sz w:val="24"/>
                <w:szCs w:val="24"/>
              </w:rPr>
              <w:t>0</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r>
      <w:tr w:rsidR="00CE7A7E" w:rsidRPr="00A918BC" w:rsidTr="00B322B7">
        <w:trPr>
          <w:divId w:val="471094731"/>
          <w:jc w:val="center"/>
        </w:trPr>
        <w:tc>
          <w:tcPr>
            <w:tcW w:w="0" w:type="auto"/>
            <w:tcBorders>
              <w:top w:val="outset" w:sz="6" w:space="0" w:color="000000"/>
              <w:bottom w:val="outset" w:sz="6" w:space="0" w:color="000000"/>
              <w:right w:val="outset" w:sz="6" w:space="0" w:color="000000"/>
            </w:tcBorders>
            <w:hideMark/>
          </w:tcPr>
          <w:p w:rsidR="00CE7A7E" w:rsidRPr="00EF7975" w:rsidRDefault="00CE7A7E" w:rsidP="00AA14E6">
            <w:pPr>
              <w:jc w:val="center"/>
              <w:rPr>
                <w:rFonts w:ascii="Times New Roman" w:hAnsi="Times New Roman"/>
                <w:sz w:val="24"/>
                <w:szCs w:val="24"/>
              </w:rPr>
            </w:pPr>
            <w:r w:rsidRPr="00EF7975">
              <w:rPr>
                <w:rFonts w:ascii="Times New Roman" w:hAnsi="Times New Roman"/>
                <w:sz w:val="24"/>
                <w:szCs w:val="24"/>
              </w:rPr>
              <w:lastRenderedPageBreak/>
              <w:t>4</w:t>
            </w:r>
            <w:r w:rsidR="00AA14E6" w:rsidRPr="00EF7975">
              <w:rPr>
                <w:rFonts w:ascii="Times New Roman" w:hAnsi="Times New Roman"/>
                <w:sz w:val="24"/>
                <w:szCs w:val="24"/>
              </w:rPr>
              <w:t>1</w:t>
            </w:r>
            <w:r w:rsidRPr="00EF7975">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CE7A7E" w:rsidRPr="00EF7975" w:rsidRDefault="00CE7A7E" w:rsidP="00A918BC">
            <w:pPr>
              <w:jc w:val="both"/>
              <w:rPr>
                <w:rFonts w:ascii="Times New Roman" w:hAnsi="Times New Roman"/>
                <w:sz w:val="24"/>
                <w:szCs w:val="24"/>
              </w:rPr>
            </w:pPr>
            <w:r w:rsidRPr="00EF7975">
              <w:rPr>
                <w:rFonts w:ascii="Times New Roman" w:hAnsi="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CE7A7E">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E7A7E" w:rsidRPr="00EF7975" w:rsidRDefault="00192553">
            <w:pPr>
              <w:jc w:val="center"/>
              <w:rPr>
                <w:rFonts w:ascii="Times New Roman" w:hAnsi="Times New Roman"/>
                <w:sz w:val="24"/>
                <w:szCs w:val="24"/>
              </w:rPr>
            </w:pPr>
            <w:r>
              <w:rPr>
                <w:rFonts w:ascii="Times New Roman" w:hAnsi="Times New Roman"/>
                <w:sz w:val="24"/>
                <w:szCs w:val="24"/>
              </w:rPr>
              <w:t>X</w:t>
            </w:r>
          </w:p>
        </w:tc>
        <w:tc>
          <w:tcPr>
            <w:tcW w:w="0" w:type="auto"/>
            <w:tcBorders>
              <w:top w:val="outset" w:sz="6" w:space="0" w:color="000000"/>
              <w:left w:val="outset" w:sz="6" w:space="0" w:color="000000"/>
              <w:bottom w:val="outset" w:sz="6" w:space="0" w:color="000000"/>
            </w:tcBorders>
          </w:tcPr>
          <w:p w:rsidR="00CE7A7E" w:rsidRPr="00EF7975" w:rsidRDefault="00CE7A7E">
            <w:pPr>
              <w:jc w:val="center"/>
              <w:rPr>
                <w:rFonts w:ascii="Times New Roman" w:hAnsi="Times New Roman"/>
                <w:sz w:val="24"/>
                <w:szCs w:val="24"/>
              </w:rPr>
            </w:pPr>
          </w:p>
        </w:tc>
      </w:tr>
      <w:tr w:rsidR="00334C16"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334C16" w:rsidRPr="00EF7975" w:rsidRDefault="00334C16" w:rsidP="00AA14E6">
            <w:pPr>
              <w:jc w:val="center"/>
              <w:rPr>
                <w:rFonts w:ascii="Times New Roman" w:hAnsi="Times New Roman"/>
                <w:sz w:val="24"/>
                <w:szCs w:val="24"/>
              </w:rPr>
            </w:pPr>
            <w:r>
              <w:rPr>
                <w:rFonts w:ascii="Times New Roman" w:hAnsi="Times New Roman"/>
                <w:sz w:val="24"/>
                <w:szCs w:val="24"/>
              </w:rPr>
              <w:t xml:space="preserve">42. </w:t>
            </w:r>
          </w:p>
        </w:tc>
        <w:tc>
          <w:tcPr>
            <w:tcW w:w="0" w:type="auto"/>
            <w:tcBorders>
              <w:top w:val="outset" w:sz="6" w:space="0" w:color="000000"/>
              <w:left w:val="outset" w:sz="6" w:space="0" w:color="000000"/>
              <w:bottom w:val="outset" w:sz="6" w:space="0" w:color="000000"/>
              <w:right w:val="outset" w:sz="6" w:space="0" w:color="000000"/>
            </w:tcBorders>
          </w:tcPr>
          <w:p w:rsidR="00334C16" w:rsidRPr="00EF7975" w:rsidRDefault="00334C16" w:rsidP="00A918BC">
            <w:pPr>
              <w:jc w:val="both"/>
              <w:rPr>
                <w:rFonts w:ascii="Times New Roman" w:hAnsi="Times New Roman"/>
                <w:sz w:val="24"/>
                <w:szCs w:val="24"/>
              </w:rPr>
            </w:pPr>
            <w:r>
              <w:rPr>
                <w:rFonts w:ascii="Times New Roman" w:hAnsi="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334C16" w:rsidRPr="00EF7975" w:rsidRDefault="00334C1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34C16" w:rsidRPr="00EF7975" w:rsidRDefault="00334C1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34C16" w:rsidRDefault="00334C1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334C16" w:rsidRPr="00EF7975" w:rsidRDefault="00334C16">
            <w:pPr>
              <w:jc w:val="center"/>
              <w:rPr>
                <w:rFonts w:ascii="Times New Roman" w:hAnsi="Times New Roman"/>
                <w:sz w:val="24"/>
                <w:szCs w:val="24"/>
              </w:rPr>
            </w:pPr>
            <w:r>
              <w:rPr>
                <w:rFonts w:ascii="Times New Roman" w:hAnsi="Times New Roman"/>
                <w:sz w:val="24"/>
                <w:szCs w:val="24"/>
              </w:rPr>
              <w:t>X</w:t>
            </w:r>
          </w:p>
        </w:tc>
      </w:tr>
      <w:tr w:rsidR="00334C16"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334C16" w:rsidRDefault="00334C16" w:rsidP="00334C16">
            <w:pPr>
              <w:jc w:val="center"/>
              <w:rPr>
                <w:rFonts w:ascii="Times New Roman" w:hAnsi="Times New Roman"/>
                <w:sz w:val="24"/>
                <w:szCs w:val="24"/>
              </w:rPr>
            </w:pPr>
            <w:r>
              <w:rPr>
                <w:rFonts w:ascii="Times New Roman" w:hAnsi="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tcPr>
          <w:p w:rsidR="00334C16" w:rsidRPr="00EF7975" w:rsidRDefault="00334C16" w:rsidP="00334C16">
            <w:pPr>
              <w:jc w:val="both"/>
              <w:rPr>
                <w:rFonts w:ascii="Times New Roman" w:hAnsi="Times New Roman"/>
                <w:sz w:val="24"/>
                <w:szCs w:val="24"/>
              </w:rPr>
            </w:pPr>
            <w:r w:rsidRPr="00EF7975">
              <w:rPr>
                <w:rFonts w:ascii="Times New Roman" w:hAnsi="Times New Roman"/>
                <w:sz w:val="24"/>
                <w:szCs w:val="24"/>
              </w:rPr>
              <w:t xml:space="preserve">Asociácia </w:t>
            </w:r>
            <w:r>
              <w:rPr>
                <w:rFonts w:ascii="Times New Roman" w:hAnsi="Times New Roman"/>
                <w:sz w:val="24"/>
                <w:szCs w:val="24"/>
              </w:rPr>
              <w:t xml:space="preserve">zamestnávateľských </w:t>
            </w:r>
            <w:r w:rsidRPr="00EF7975">
              <w:rPr>
                <w:rFonts w:ascii="Times New Roman" w:hAnsi="Times New Roman"/>
                <w:sz w:val="24"/>
                <w:szCs w:val="24"/>
              </w:rPr>
              <w:t>zväzov</w:t>
            </w:r>
            <w:r>
              <w:rPr>
                <w:rFonts w:ascii="Times New Roman" w:hAnsi="Times New Roman"/>
                <w:sz w:val="24"/>
                <w:szCs w:val="24"/>
              </w:rPr>
              <w:t xml:space="preserve"> a združení SR</w:t>
            </w:r>
          </w:p>
        </w:tc>
        <w:tc>
          <w:tcPr>
            <w:tcW w:w="0" w:type="auto"/>
            <w:tcBorders>
              <w:top w:val="outset" w:sz="6" w:space="0" w:color="000000"/>
              <w:left w:val="outset" w:sz="6" w:space="0" w:color="000000"/>
              <w:bottom w:val="outset" w:sz="6" w:space="0" w:color="000000"/>
              <w:right w:val="outset" w:sz="6" w:space="0" w:color="000000"/>
            </w:tcBorders>
          </w:tcPr>
          <w:p w:rsidR="00334C16" w:rsidRPr="00EF7975" w:rsidRDefault="00334C16" w:rsidP="00334C1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34C16" w:rsidRPr="00EF7975" w:rsidRDefault="00334C16" w:rsidP="00334C1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34C16" w:rsidRDefault="00334C16" w:rsidP="00334C16">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334C16" w:rsidRPr="00EF7975" w:rsidRDefault="00334C16" w:rsidP="00334C16">
            <w:pPr>
              <w:jc w:val="center"/>
              <w:rPr>
                <w:rFonts w:ascii="Times New Roman" w:hAnsi="Times New Roman"/>
                <w:sz w:val="24"/>
                <w:szCs w:val="24"/>
              </w:rPr>
            </w:pPr>
            <w:r>
              <w:rPr>
                <w:rFonts w:ascii="Times New Roman" w:hAnsi="Times New Roman"/>
                <w:sz w:val="24"/>
                <w:szCs w:val="24"/>
              </w:rPr>
              <w:t>X</w:t>
            </w:r>
          </w:p>
        </w:tc>
      </w:tr>
      <w:tr w:rsidR="001E786D"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1E786D" w:rsidRDefault="001E786D" w:rsidP="001E786D">
            <w:pPr>
              <w:jc w:val="center"/>
              <w:rPr>
                <w:rFonts w:ascii="Times New Roman" w:hAnsi="Times New Roman"/>
                <w:sz w:val="24"/>
                <w:szCs w:val="24"/>
              </w:rPr>
            </w:pPr>
            <w:r>
              <w:rPr>
                <w:rFonts w:ascii="Times New Roman" w:hAnsi="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tcPr>
          <w:p w:rsidR="001E786D" w:rsidRPr="00EF7975" w:rsidRDefault="001E786D" w:rsidP="001E786D">
            <w:pPr>
              <w:jc w:val="both"/>
              <w:rPr>
                <w:rFonts w:ascii="Times New Roman" w:hAnsi="Times New Roman"/>
                <w:sz w:val="24"/>
                <w:szCs w:val="24"/>
              </w:rPr>
            </w:pPr>
            <w:r w:rsidRPr="00EF7975">
              <w:rPr>
                <w:rFonts w:ascii="Times New Roman" w:hAnsi="Times New Roman"/>
                <w:sz w:val="24"/>
                <w:szCs w:val="24"/>
              </w:rPr>
              <w:t xml:space="preserve">Slovenská </w:t>
            </w:r>
            <w:r>
              <w:rPr>
                <w:rFonts w:ascii="Times New Roman" w:hAnsi="Times New Roman"/>
                <w:sz w:val="24"/>
                <w:szCs w:val="24"/>
              </w:rPr>
              <w:t xml:space="preserve">obchodná a priemyselná </w:t>
            </w:r>
            <w:r w:rsidRPr="00EF7975">
              <w:rPr>
                <w:rFonts w:ascii="Times New Roman" w:hAnsi="Times New Roman"/>
                <w:sz w:val="24"/>
                <w:szCs w:val="24"/>
              </w:rPr>
              <w:t>komora</w:t>
            </w:r>
          </w:p>
        </w:tc>
        <w:tc>
          <w:tcPr>
            <w:tcW w:w="0" w:type="auto"/>
            <w:tcBorders>
              <w:top w:val="outset" w:sz="6" w:space="0" w:color="000000"/>
              <w:left w:val="outset" w:sz="6" w:space="0" w:color="000000"/>
              <w:bottom w:val="outset" w:sz="6" w:space="0" w:color="000000"/>
              <w:right w:val="outset" w:sz="6" w:space="0" w:color="000000"/>
            </w:tcBorders>
          </w:tcPr>
          <w:p w:rsidR="001E786D" w:rsidRPr="00EF7975" w:rsidRDefault="001E786D"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1E786D" w:rsidRPr="00EF7975" w:rsidRDefault="001E786D"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1E786D" w:rsidRDefault="001E786D"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1E786D" w:rsidRDefault="00074077" w:rsidP="001E786D">
            <w:pPr>
              <w:jc w:val="center"/>
              <w:rPr>
                <w:rFonts w:ascii="Times New Roman" w:hAnsi="Times New Roman"/>
                <w:sz w:val="24"/>
                <w:szCs w:val="24"/>
              </w:rPr>
            </w:pPr>
            <w:r>
              <w:rPr>
                <w:rFonts w:ascii="Times New Roman" w:hAnsi="Times New Roman"/>
                <w:sz w:val="24"/>
                <w:szCs w:val="24"/>
              </w:rPr>
              <w:t>X</w:t>
            </w:r>
          </w:p>
        </w:tc>
      </w:tr>
      <w:tr w:rsidR="00074077"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both"/>
              <w:rPr>
                <w:rFonts w:ascii="Times New Roman" w:hAnsi="Times New Roman"/>
                <w:sz w:val="24"/>
                <w:szCs w:val="24"/>
              </w:rPr>
            </w:pPr>
            <w:r>
              <w:rPr>
                <w:rFonts w:ascii="Times New Roman" w:hAnsi="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X</w:t>
            </w:r>
          </w:p>
        </w:tc>
      </w:tr>
      <w:tr w:rsidR="00074077"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tcPr>
          <w:p w:rsidR="00074077" w:rsidRDefault="00074077" w:rsidP="00074077">
            <w:pPr>
              <w:jc w:val="both"/>
              <w:rPr>
                <w:rFonts w:ascii="Times New Roman" w:hAnsi="Times New Roman"/>
                <w:sz w:val="24"/>
                <w:szCs w:val="24"/>
              </w:rPr>
            </w:pPr>
            <w:r>
              <w:rPr>
                <w:rFonts w:ascii="Times New Roman" w:hAnsi="Times New Roman"/>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X</w:t>
            </w:r>
          </w:p>
        </w:tc>
      </w:tr>
      <w:tr w:rsidR="00074077"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tcPr>
          <w:p w:rsidR="00074077" w:rsidRDefault="00074077" w:rsidP="00074077">
            <w:pPr>
              <w:jc w:val="both"/>
              <w:rPr>
                <w:rFonts w:ascii="Times New Roman" w:hAnsi="Times New Roman"/>
                <w:sz w:val="24"/>
                <w:szCs w:val="24"/>
              </w:rPr>
            </w:pPr>
            <w:r w:rsidRPr="00EF7975">
              <w:rPr>
                <w:rFonts w:ascii="Times New Roman" w:hAnsi="Times New Roman"/>
                <w:sz w:val="24"/>
                <w:szCs w:val="24"/>
              </w:rPr>
              <w:t xml:space="preserve">Asociácia </w:t>
            </w:r>
            <w:r>
              <w:rPr>
                <w:rFonts w:ascii="Times New Roman" w:hAnsi="Times New Roman"/>
                <w:sz w:val="24"/>
                <w:szCs w:val="24"/>
              </w:rPr>
              <w:t>obchodníkov s cennými papiermi</w:t>
            </w: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X</w:t>
            </w:r>
          </w:p>
        </w:tc>
      </w:tr>
      <w:tr w:rsidR="00074077" w:rsidRPr="00A918BC" w:rsidTr="00B322B7">
        <w:trPr>
          <w:divId w:val="471094731"/>
          <w:jc w:val="center"/>
        </w:trPr>
        <w:tc>
          <w:tcPr>
            <w:tcW w:w="0" w:type="auto"/>
            <w:tcBorders>
              <w:top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074077">
            <w:pPr>
              <w:jc w:val="both"/>
              <w:rPr>
                <w:rFonts w:ascii="Times New Roman" w:hAnsi="Times New Roman"/>
                <w:sz w:val="24"/>
                <w:szCs w:val="24"/>
              </w:rPr>
            </w:pPr>
            <w:r>
              <w:rPr>
                <w:rFonts w:ascii="Times New Roman" w:hAnsi="Times New Roman"/>
                <w:sz w:val="24"/>
                <w:szCs w:val="24"/>
              </w:rPr>
              <w:t>Slovenská komora audítorov</w:t>
            </w: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Pr="00EF7975"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74077" w:rsidRDefault="00074077" w:rsidP="001E786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tcPr>
          <w:p w:rsidR="00074077" w:rsidRDefault="00074077" w:rsidP="001E786D">
            <w:pPr>
              <w:jc w:val="center"/>
              <w:rPr>
                <w:rFonts w:ascii="Times New Roman" w:hAnsi="Times New Roman"/>
                <w:sz w:val="24"/>
                <w:szCs w:val="24"/>
              </w:rPr>
            </w:pPr>
            <w:r>
              <w:rPr>
                <w:rFonts w:ascii="Times New Roman" w:hAnsi="Times New Roman"/>
                <w:sz w:val="24"/>
                <w:szCs w:val="24"/>
              </w:rPr>
              <w:t>X</w:t>
            </w:r>
          </w:p>
        </w:tc>
      </w:tr>
      <w:tr w:rsidR="001E786D" w:rsidRPr="00A918BC" w:rsidTr="00EE5B98">
        <w:trPr>
          <w:divId w:val="471094731"/>
          <w:jc w:val="center"/>
        </w:trPr>
        <w:tc>
          <w:tcPr>
            <w:tcW w:w="0" w:type="auto"/>
            <w:tcBorders>
              <w:top w:val="outset" w:sz="6" w:space="0" w:color="000000"/>
              <w:bottom w:val="outset" w:sz="6" w:space="0" w:color="000000"/>
              <w:right w:val="outset" w:sz="6" w:space="0" w:color="000000"/>
            </w:tcBorders>
            <w:hideMark/>
          </w:tcPr>
          <w:p w:rsidR="001E786D" w:rsidRPr="00A8215B" w:rsidRDefault="001E786D" w:rsidP="001E786D">
            <w:pPr>
              <w:jc w:val="center"/>
              <w:rPr>
                <w:rFonts w:ascii="Times New Roman" w:hAnsi="Times New Roman"/>
                <w:sz w:val="24"/>
                <w:szCs w:val="24"/>
                <w:highlight w:val="yellow"/>
              </w:rPr>
            </w:pPr>
          </w:p>
        </w:tc>
        <w:tc>
          <w:tcPr>
            <w:tcW w:w="0" w:type="auto"/>
            <w:tcBorders>
              <w:top w:val="outset" w:sz="6" w:space="0" w:color="000000"/>
              <w:left w:val="outset" w:sz="6" w:space="0" w:color="000000"/>
              <w:bottom w:val="outset" w:sz="6" w:space="0" w:color="000000"/>
              <w:right w:val="outset" w:sz="6" w:space="0" w:color="000000"/>
            </w:tcBorders>
            <w:hideMark/>
          </w:tcPr>
          <w:p w:rsidR="001E786D" w:rsidRPr="00A8215B" w:rsidRDefault="001E786D" w:rsidP="001E786D">
            <w:pPr>
              <w:jc w:val="both"/>
              <w:rPr>
                <w:rFonts w:ascii="Times New Roman" w:hAnsi="Times New Roman"/>
                <w:sz w:val="24"/>
                <w:szCs w:val="24"/>
                <w:highlight w:val="yellow"/>
              </w:rPr>
            </w:pPr>
            <w:r w:rsidRPr="00EF7975">
              <w:rPr>
                <w:rFonts w:ascii="Times New Roman" w:hAnsi="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tcPr>
          <w:p w:rsidR="001E786D" w:rsidRPr="00074077" w:rsidRDefault="00074077" w:rsidP="001E786D">
            <w:pPr>
              <w:jc w:val="center"/>
              <w:rPr>
                <w:rFonts w:ascii="Times New Roman" w:hAnsi="Times New Roman"/>
                <w:sz w:val="24"/>
                <w:szCs w:val="24"/>
              </w:rPr>
            </w:pPr>
            <w:r w:rsidRPr="00074077">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1E786D" w:rsidRPr="00074077" w:rsidRDefault="00074077" w:rsidP="001E786D">
            <w:pPr>
              <w:jc w:val="center"/>
              <w:rPr>
                <w:rFonts w:ascii="Times New Roman" w:hAnsi="Times New Roman"/>
                <w:sz w:val="24"/>
                <w:szCs w:val="24"/>
              </w:rPr>
            </w:pPr>
            <w:r w:rsidRPr="00074077">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1E786D" w:rsidRPr="00EF7975" w:rsidRDefault="00074077" w:rsidP="001E786D">
            <w:pPr>
              <w:jc w:val="center"/>
              <w:rPr>
                <w:rFonts w:ascii="Times New Roman" w:hAnsi="Times New Roman"/>
                <w:sz w:val="24"/>
                <w:szCs w:val="24"/>
              </w:rPr>
            </w:pPr>
            <w:r>
              <w:rPr>
                <w:rFonts w:ascii="Times New Roman" w:hAnsi="Times New Roman"/>
                <w:sz w:val="24"/>
                <w:szCs w:val="24"/>
              </w:rPr>
              <w:t>19</w:t>
            </w:r>
          </w:p>
        </w:tc>
        <w:tc>
          <w:tcPr>
            <w:tcW w:w="0" w:type="auto"/>
            <w:tcBorders>
              <w:top w:val="outset" w:sz="6" w:space="0" w:color="000000"/>
              <w:left w:val="outset" w:sz="6" w:space="0" w:color="000000"/>
              <w:bottom w:val="outset" w:sz="6" w:space="0" w:color="000000"/>
            </w:tcBorders>
          </w:tcPr>
          <w:p w:rsidR="001E786D" w:rsidRPr="00EF7975" w:rsidRDefault="00074077" w:rsidP="001E786D">
            <w:pPr>
              <w:jc w:val="center"/>
              <w:rPr>
                <w:rFonts w:ascii="Times New Roman" w:hAnsi="Times New Roman"/>
                <w:sz w:val="24"/>
                <w:szCs w:val="24"/>
              </w:rPr>
            </w:pPr>
            <w:r>
              <w:rPr>
                <w:rFonts w:ascii="Times New Roman" w:hAnsi="Times New Roman"/>
                <w:sz w:val="24"/>
                <w:szCs w:val="24"/>
              </w:rPr>
              <w:t>25</w:t>
            </w:r>
          </w:p>
        </w:tc>
      </w:tr>
    </w:tbl>
    <w:p w:rsidR="00BF7CE0" w:rsidRPr="00A918BC" w:rsidRDefault="00BF7CE0" w:rsidP="00841FA6">
      <w:pPr>
        <w:rPr>
          <w:rFonts w:ascii="Times New Roman" w:hAnsi="Times New Roman"/>
          <w:b/>
          <w:bCs/>
          <w:color w:val="000000"/>
          <w:sz w:val="24"/>
          <w:szCs w:val="24"/>
        </w:rPr>
      </w:pPr>
      <w:r w:rsidRPr="00A918BC">
        <w:rPr>
          <w:rFonts w:ascii="Times New Roman" w:hAnsi="Times New Roman"/>
          <w:bCs/>
          <w:color w:val="000000"/>
          <w:sz w:val="24"/>
          <w:szCs w:val="24"/>
          <w:lang w:eastAsia="sk-SK"/>
        </w:rPr>
        <w:t>Vyhodnotenie vecných pripomienok je uvedené v tabuľkovej časti.</w:t>
      </w:r>
    </w:p>
    <w:p w:rsidR="00BF7CE0" w:rsidRPr="00A918BC"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A918BC" w:rsidTr="00943EB2">
        <w:trPr>
          <w:cantSplit/>
        </w:trPr>
        <w:tc>
          <w:tcPr>
            <w:tcW w:w="4928" w:type="dxa"/>
            <w:gridSpan w:val="2"/>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r w:rsidRPr="00A918BC">
              <w:rPr>
                <w:b w:val="0"/>
                <w:color w:val="000000"/>
                <w:sz w:val="24"/>
                <w:szCs w:val="24"/>
              </w:rPr>
              <w:t>Vysvetlivky  k použitým skratkám v tabuľke:</w:t>
            </w:r>
          </w:p>
        </w:tc>
      </w:tr>
      <w:tr w:rsidR="00BF7CE0" w:rsidRPr="00A918BC" w:rsidTr="00943EB2">
        <w:trPr>
          <w:cantSplit/>
        </w:trPr>
        <w:tc>
          <w:tcPr>
            <w:tcW w:w="1809" w:type="dxa"/>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r w:rsidRPr="00A918BC">
              <w:rPr>
                <w:b w:val="0"/>
                <w:color w:val="000000"/>
                <w:sz w:val="24"/>
                <w:szCs w:val="24"/>
              </w:rPr>
              <w:t>O – obyčajná</w:t>
            </w:r>
          </w:p>
        </w:tc>
        <w:tc>
          <w:tcPr>
            <w:tcW w:w="3119" w:type="dxa"/>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r w:rsidRPr="00A918BC">
              <w:rPr>
                <w:b w:val="0"/>
                <w:color w:val="000000"/>
                <w:sz w:val="24"/>
                <w:szCs w:val="24"/>
              </w:rPr>
              <w:t>A – akceptovaná</w:t>
            </w:r>
          </w:p>
        </w:tc>
      </w:tr>
      <w:tr w:rsidR="00BF7CE0" w:rsidRPr="00A918BC" w:rsidTr="00943EB2">
        <w:trPr>
          <w:cantSplit/>
        </w:trPr>
        <w:tc>
          <w:tcPr>
            <w:tcW w:w="1809" w:type="dxa"/>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r w:rsidRPr="00A918BC">
              <w:rPr>
                <w:b w:val="0"/>
                <w:color w:val="000000"/>
                <w:sz w:val="24"/>
                <w:szCs w:val="24"/>
              </w:rPr>
              <w:t>Z – zásadná</w:t>
            </w:r>
          </w:p>
        </w:tc>
        <w:tc>
          <w:tcPr>
            <w:tcW w:w="3119" w:type="dxa"/>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r w:rsidRPr="00A918BC">
              <w:rPr>
                <w:b w:val="0"/>
                <w:color w:val="000000"/>
                <w:sz w:val="24"/>
                <w:szCs w:val="24"/>
              </w:rPr>
              <w:t>N – neakceptovaná</w:t>
            </w:r>
          </w:p>
        </w:tc>
      </w:tr>
      <w:tr w:rsidR="00BF7CE0" w:rsidRPr="00A918BC" w:rsidTr="00943EB2">
        <w:trPr>
          <w:cantSplit/>
        </w:trPr>
        <w:tc>
          <w:tcPr>
            <w:tcW w:w="1809" w:type="dxa"/>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A918BC" w:rsidRDefault="00BF7CE0" w:rsidP="00342C19">
            <w:pPr>
              <w:pStyle w:val="Zkladntext"/>
              <w:widowControl/>
              <w:jc w:val="both"/>
              <w:rPr>
                <w:b w:val="0"/>
                <w:color w:val="000000"/>
                <w:sz w:val="24"/>
                <w:szCs w:val="24"/>
              </w:rPr>
            </w:pPr>
            <w:r w:rsidRPr="00A918BC">
              <w:rPr>
                <w:b w:val="0"/>
                <w:color w:val="000000"/>
                <w:sz w:val="24"/>
                <w:szCs w:val="24"/>
              </w:rPr>
              <w:t>ČA – čiastočne akceptovaná</w:t>
            </w:r>
          </w:p>
        </w:tc>
      </w:tr>
    </w:tbl>
    <w:p w:rsidR="00CE7A7E" w:rsidRPr="00A918BC" w:rsidRDefault="00CE7A7E" w:rsidP="00CE47A6">
      <w:pPr>
        <w:rPr>
          <w:rFonts w:ascii="Times New Roman" w:hAnsi="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left w:w="113" w:type="dxa"/>
          <w:right w:w="113" w:type="dxa"/>
        </w:tblCellMar>
        <w:tblLook w:val="04A0" w:firstRow="1" w:lastRow="0" w:firstColumn="1" w:lastColumn="0" w:noHBand="0" w:noVBand="1"/>
      </w:tblPr>
      <w:tblGrid>
        <w:gridCol w:w="1441"/>
        <w:gridCol w:w="7263"/>
        <w:gridCol w:w="716"/>
        <w:gridCol w:w="783"/>
        <w:gridCol w:w="4352"/>
      </w:tblGrid>
      <w:tr w:rsidR="00CE7A7E" w:rsidRPr="00A8215B" w:rsidTr="00A8215B">
        <w:trPr>
          <w:divId w:val="471094726"/>
        </w:trPr>
        <w:tc>
          <w:tcPr>
            <w:tcW w:w="495" w:type="pct"/>
            <w:tcBorders>
              <w:top w:val="outset" w:sz="6" w:space="0" w:color="000000"/>
              <w:bottom w:val="outset" w:sz="6" w:space="0" w:color="000000"/>
              <w:right w:val="outset" w:sz="6" w:space="0" w:color="000000"/>
            </w:tcBorders>
            <w:vAlign w:val="center"/>
            <w:hideMark/>
          </w:tcPr>
          <w:p w:rsidR="00CE7A7E" w:rsidRPr="00A8215B" w:rsidRDefault="00CE7A7E">
            <w:pPr>
              <w:jc w:val="center"/>
              <w:rPr>
                <w:rFonts w:ascii="Times New Roman" w:hAnsi="Times New Roman"/>
                <w:b/>
                <w:bCs/>
                <w:sz w:val="24"/>
                <w:szCs w:val="24"/>
              </w:rPr>
            </w:pPr>
            <w:r w:rsidRPr="00A8215B">
              <w:rPr>
                <w:rFonts w:ascii="Times New Roman" w:hAnsi="Times New Roman"/>
                <w:b/>
                <w:bCs/>
                <w:sz w:val="24"/>
                <w:szCs w:val="24"/>
              </w:rPr>
              <w:t>Subjekt</w:t>
            </w:r>
          </w:p>
        </w:tc>
        <w:tc>
          <w:tcPr>
            <w:tcW w:w="2495" w:type="pct"/>
            <w:tcBorders>
              <w:top w:val="outset" w:sz="6" w:space="0" w:color="000000"/>
              <w:left w:val="outset" w:sz="6" w:space="0" w:color="000000"/>
              <w:bottom w:val="outset" w:sz="6" w:space="0" w:color="000000"/>
              <w:right w:val="outset" w:sz="6" w:space="0" w:color="000000"/>
            </w:tcBorders>
            <w:vAlign w:val="center"/>
            <w:hideMark/>
          </w:tcPr>
          <w:p w:rsidR="00CE7A7E" w:rsidRPr="00A8215B" w:rsidRDefault="00CE7A7E">
            <w:pPr>
              <w:jc w:val="center"/>
              <w:rPr>
                <w:rFonts w:ascii="Times New Roman" w:hAnsi="Times New Roman"/>
                <w:b/>
                <w:bCs/>
                <w:sz w:val="24"/>
                <w:szCs w:val="24"/>
              </w:rPr>
            </w:pPr>
            <w:r w:rsidRPr="00A8215B">
              <w:rPr>
                <w:rFonts w:ascii="Times New Roman" w:hAnsi="Times New Roman"/>
                <w:b/>
                <w:bCs/>
                <w:sz w:val="24"/>
                <w:szCs w:val="24"/>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CE7A7E" w:rsidRPr="00A8215B" w:rsidRDefault="00CE7A7E" w:rsidP="00A8215B">
            <w:pPr>
              <w:jc w:val="center"/>
              <w:rPr>
                <w:rFonts w:ascii="Times New Roman" w:hAnsi="Times New Roman"/>
                <w:b/>
                <w:bCs/>
                <w:sz w:val="24"/>
                <w:szCs w:val="24"/>
              </w:rPr>
            </w:pPr>
            <w:r w:rsidRPr="00A8215B">
              <w:rPr>
                <w:rFonts w:ascii="Times New Roman" w:hAnsi="Times New Roman"/>
                <w:b/>
                <w:bCs/>
                <w:sz w:val="24"/>
                <w:szCs w:val="24"/>
              </w:rPr>
              <w:t>Typ</w:t>
            </w:r>
          </w:p>
        </w:tc>
        <w:tc>
          <w:tcPr>
            <w:tcW w:w="269" w:type="pct"/>
            <w:tcBorders>
              <w:top w:val="outset" w:sz="6" w:space="0" w:color="000000"/>
              <w:left w:val="outset" w:sz="6" w:space="0" w:color="000000"/>
              <w:bottom w:val="outset" w:sz="6" w:space="0" w:color="000000"/>
              <w:right w:val="outset" w:sz="6" w:space="0" w:color="000000"/>
            </w:tcBorders>
            <w:vAlign w:val="center"/>
            <w:hideMark/>
          </w:tcPr>
          <w:p w:rsidR="00CE7A7E" w:rsidRPr="00A8215B" w:rsidRDefault="00CE7A7E">
            <w:pPr>
              <w:jc w:val="center"/>
              <w:rPr>
                <w:rFonts w:ascii="Times New Roman" w:hAnsi="Times New Roman"/>
                <w:b/>
                <w:bCs/>
                <w:sz w:val="24"/>
                <w:szCs w:val="24"/>
              </w:rPr>
            </w:pPr>
            <w:r w:rsidRPr="00A8215B">
              <w:rPr>
                <w:rFonts w:ascii="Times New Roman" w:hAnsi="Times New Roman"/>
                <w:b/>
                <w:bCs/>
                <w:sz w:val="24"/>
                <w:szCs w:val="24"/>
              </w:rPr>
              <w:t>Vyh.</w:t>
            </w:r>
          </w:p>
        </w:tc>
        <w:tc>
          <w:tcPr>
            <w:tcW w:w="1495" w:type="pct"/>
            <w:tcBorders>
              <w:top w:val="outset" w:sz="6" w:space="0" w:color="000000"/>
              <w:left w:val="outset" w:sz="6" w:space="0" w:color="000000"/>
              <w:bottom w:val="outset" w:sz="6" w:space="0" w:color="000000"/>
            </w:tcBorders>
            <w:vAlign w:val="center"/>
            <w:hideMark/>
          </w:tcPr>
          <w:p w:rsidR="00CE7A7E" w:rsidRPr="00A8215B" w:rsidRDefault="00CE7A7E">
            <w:pPr>
              <w:jc w:val="center"/>
              <w:rPr>
                <w:rFonts w:ascii="Times New Roman" w:hAnsi="Times New Roman"/>
                <w:b/>
                <w:bCs/>
                <w:sz w:val="24"/>
                <w:szCs w:val="24"/>
              </w:rPr>
            </w:pPr>
            <w:r w:rsidRPr="00A8215B">
              <w:rPr>
                <w:rFonts w:ascii="Times New Roman" w:hAnsi="Times New Roman"/>
                <w:b/>
                <w:bCs/>
                <w:sz w:val="24"/>
                <w:szCs w:val="24"/>
              </w:rPr>
              <w:t>Spôsob vyhodnotenia</w:t>
            </w:r>
          </w:p>
        </w:tc>
      </w:tr>
      <w:tr w:rsidR="006B7788" w:rsidRPr="00A8215B" w:rsidTr="00CA6870">
        <w:trPr>
          <w:divId w:val="471094726"/>
        </w:trPr>
        <w:tc>
          <w:tcPr>
            <w:tcW w:w="495" w:type="pct"/>
            <w:tcBorders>
              <w:top w:val="outset" w:sz="6" w:space="0" w:color="000000"/>
              <w:bottom w:val="outset" w:sz="6" w:space="0" w:color="000000"/>
              <w:right w:val="outset" w:sz="6" w:space="0" w:color="000000"/>
            </w:tcBorders>
            <w:shd w:val="clear" w:color="auto" w:fill="auto"/>
          </w:tcPr>
          <w:p w:rsidR="006B7788" w:rsidRDefault="006B7788" w:rsidP="006B7788">
            <w:pPr>
              <w:jc w:val="center"/>
              <w:rPr>
                <w:rFonts w:ascii="Times" w:hAnsi="Times" w:cs="Times"/>
                <w:b/>
                <w:bCs/>
                <w:sz w:val="25"/>
                <w:szCs w:val="25"/>
              </w:rPr>
            </w:pPr>
            <w:r>
              <w:rPr>
                <w:rFonts w:ascii="Times" w:hAnsi="Times" w:cs="Times"/>
                <w:b/>
                <w:bCs/>
                <w:sz w:val="25"/>
                <w:szCs w:val="25"/>
              </w:rPr>
              <w:t>MDSR</w:t>
            </w:r>
          </w:p>
        </w:tc>
        <w:tc>
          <w:tcPr>
            <w:tcW w:w="2495" w:type="pct"/>
            <w:tcBorders>
              <w:top w:val="outset" w:sz="6" w:space="0" w:color="000000"/>
              <w:left w:val="outset" w:sz="6" w:space="0" w:color="000000"/>
              <w:bottom w:val="outset" w:sz="6" w:space="0" w:color="000000"/>
              <w:right w:val="outset" w:sz="6" w:space="0" w:color="000000"/>
            </w:tcBorders>
            <w:shd w:val="clear" w:color="auto" w:fill="auto"/>
            <w:vAlign w:val="center"/>
          </w:tcPr>
          <w:p w:rsidR="006B7788" w:rsidRDefault="006B7788" w:rsidP="006B7788">
            <w:pPr>
              <w:rPr>
                <w:rFonts w:ascii="Times" w:hAnsi="Times" w:cs="Times"/>
                <w:sz w:val="25"/>
                <w:szCs w:val="25"/>
              </w:rPr>
            </w:pPr>
            <w:r>
              <w:rPr>
                <w:rFonts w:ascii="Times" w:hAnsi="Times" w:cs="Times"/>
                <w:b/>
                <w:bCs/>
                <w:sz w:val="25"/>
                <w:szCs w:val="25"/>
              </w:rPr>
              <w:t>Čl. 8 ods. 2 písm. a)</w:t>
            </w:r>
            <w:r>
              <w:rPr>
                <w:rFonts w:ascii="Times" w:hAnsi="Times" w:cs="Times"/>
                <w:sz w:val="25"/>
                <w:szCs w:val="25"/>
              </w:rPr>
              <w:br/>
              <w:t xml:space="preserve">V čl. 8 ods. 2 návrhu zmluvy žiadame preformulovať písmeno a) z dôvodu, že slovenský preklad nezodpovedá anglickej verzii. Ak predmetom čl. 8 návrhu zmluvy má byť prenájom lietadla bez posádky, je potrebné v slovenskej a anglickej verzii náležite upraviť </w:t>
            </w:r>
            <w:r>
              <w:rPr>
                <w:rFonts w:ascii="Times" w:hAnsi="Times" w:cs="Times"/>
                <w:sz w:val="25"/>
                <w:szCs w:val="25"/>
              </w:rPr>
              <w:lastRenderedPageBreak/>
              <w:t>písmeno a). Návrh nového znenia čl. 8 ods. 2 písmena a) návrhu zmluvy v slovenskej verzii: „(a) zisky z príležitostného prenájmu lodí v medzinárodnej doprave bez posádky (bareboat rental) a lietadiel v medzinárodnej doprave bez posádky (dry lease) na príležitostnej báze; a“. Návrh nového znenia čl. 8 ods. 2 písmena a) návrhu zmluvy v anglickej verzii: „(a) profits from the bareboat rental on an occasional basis of ships in international traffic or from the dry lease of aircraft on an occasional basis in international traffic; and“. Odôvodnenie: V oblasti civilného letectva sa na označenie dohody o prenájme lietadla bez posádky používa anglický pojem „dry lease agreement“. Pojem „dry lease“ je používaný nielen v oblasti medzinárodného leteckého práva [napr. odporúčanie Doc 8335 Manual of Procedures for Operations Inspection, Certification and Continued Surveillance k Dohovoru o medzinárodnom civilnom letectve (oznámenie Ministerstva zahraničných vecí Slovenskej republiky č. 196/1995 Z. z); odporúčanie Doc 10059 Manual on the implementation of Article 83 bis of the Convention on International Civil Aviation k Dohovoru o medzinárodnom civilnom letectve (oznámenie Ministerstva zahraničných vecí Slovenskej republiky č. 196/1995 Z. z)], ale aj v právne záväzných aktoch Európskej únie [napr. čl. 2 ods. 24 nariadenia (ES) č. 1008/2008 v platnom znení, bod 40 prílohy nariadenia (EÚ) č. 965/2012 v platnom znení] a je používaný aj Medzinárodným združením leteckých dopravcov (IATA) [napr. poradenský materiál „Guidance Material and Best Practices for Aircraft Leases“].</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6B7788" w:rsidRDefault="006B7788" w:rsidP="006B7788">
            <w:pPr>
              <w:jc w:val="center"/>
              <w:rPr>
                <w:rFonts w:ascii="Times" w:hAnsi="Times" w:cs="Times"/>
                <w:b/>
                <w:bCs/>
                <w:sz w:val="25"/>
                <w:szCs w:val="25"/>
              </w:rPr>
            </w:pPr>
            <w:r>
              <w:rPr>
                <w:rFonts w:ascii="Times" w:hAnsi="Times" w:cs="Times"/>
                <w:b/>
                <w:bCs/>
                <w:sz w:val="25"/>
                <w:szCs w:val="25"/>
              </w:rPr>
              <w:lastRenderedPageBreak/>
              <w:t>Z</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tcPr>
          <w:p w:rsidR="006B7788" w:rsidRPr="00FC0816" w:rsidRDefault="00502463" w:rsidP="006B7788">
            <w:pPr>
              <w:jc w:val="center"/>
              <w:rPr>
                <w:rFonts w:ascii="Times New Roman" w:hAnsi="Times New Roman"/>
                <w:b/>
                <w:sz w:val="24"/>
                <w:szCs w:val="24"/>
              </w:rPr>
            </w:pPr>
            <w:r>
              <w:rPr>
                <w:rFonts w:ascii="Times New Roman" w:hAnsi="Times New Roman"/>
                <w:b/>
                <w:sz w:val="24"/>
                <w:szCs w:val="24"/>
              </w:rPr>
              <w:t>A</w:t>
            </w:r>
          </w:p>
        </w:tc>
        <w:tc>
          <w:tcPr>
            <w:tcW w:w="1495" w:type="pct"/>
            <w:tcBorders>
              <w:top w:val="outset" w:sz="6" w:space="0" w:color="000000"/>
              <w:left w:val="outset" w:sz="6" w:space="0" w:color="000000"/>
              <w:bottom w:val="outset" w:sz="6" w:space="0" w:color="000000"/>
            </w:tcBorders>
            <w:shd w:val="clear" w:color="auto" w:fill="auto"/>
          </w:tcPr>
          <w:p w:rsidR="006B7788" w:rsidRPr="00A8215B" w:rsidRDefault="00B2327C" w:rsidP="00933FAA">
            <w:pPr>
              <w:jc w:val="both"/>
              <w:rPr>
                <w:rFonts w:ascii="Times New Roman" w:hAnsi="Times New Roman"/>
                <w:sz w:val="24"/>
                <w:szCs w:val="24"/>
              </w:rPr>
            </w:pPr>
            <w:r>
              <w:rPr>
                <w:rFonts w:ascii="Times New Roman" w:hAnsi="Times New Roman"/>
                <w:sz w:val="24"/>
                <w:szCs w:val="24"/>
              </w:rPr>
              <w:t>Pripomienka bola akceptovaná a zapracovaná.</w:t>
            </w:r>
          </w:p>
        </w:tc>
      </w:tr>
      <w:tr w:rsidR="006B7788" w:rsidRPr="00A8215B" w:rsidTr="005658D7">
        <w:trPr>
          <w:divId w:val="471094726"/>
        </w:trPr>
        <w:tc>
          <w:tcPr>
            <w:tcW w:w="495" w:type="pct"/>
            <w:tcBorders>
              <w:top w:val="outset" w:sz="6" w:space="0" w:color="000000"/>
              <w:bottom w:val="outset" w:sz="6" w:space="0" w:color="000000"/>
              <w:right w:val="outset" w:sz="6" w:space="0" w:color="000000"/>
            </w:tcBorders>
          </w:tcPr>
          <w:p w:rsidR="006B7788" w:rsidRDefault="006B7788" w:rsidP="006B7788">
            <w:pPr>
              <w:jc w:val="center"/>
              <w:rPr>
                <w:rFonts w:ascii="Times" w:hAnsi="Times" w:cs="Times"/>
                <w:b/>
                <w:bCs/>
                <w:sz w:val="25"/>
                <w:szCs w:val="25"/>
              </w:rPr>
            </w:pPr>
            <w:r>
              <w:rPr>
                <w:rFonts w:ascii="Times" w:hAnsi="Times" w:cs="Times"/>
                <w:b/>
                <w:bCs/>
                <w:sz w:val="25"/>
                <w:szCs w:val="25"/>
              </w:rPr>
              <w:t>MPSVRSR</w:t>
            </w:r>
          </w:p>
        </w:tc>
        <w:tc>
          <w:tcPr>
            <w:tcW w:w="2495" w:type="pct"/>
            <w:tcBorders>
              <w:top w:val="outset" w:sz="6" w:space="0" w:color="000000"/>
              <w:left w:val="outset" w:sz="6" w:space="0" w:color="000000"/>
              <w:bottom w:val="outset" w:sz="6" w:space="0" w:color="000000"/>
              <w:right w:val="outset" w:sz="6" w:space="0" w:color="000000"/>
            </w:tcBorders>
            <w:vAlign w:val="center"/>
          </w:tcPr>
          <w:p w:rsidR="006B7788" w:rsidRDefault="006B7788" w:rsidP="006B7788">
            <w:pPr>
              <w:rPr>
                <w:rFonts w:ascii="Times" w:hAnsi="Times" w:cs="Times"/>
                <w:sz w:val="25"/>
                <w:szCs w:val="25"/>
              </w:rPr>
            </w:pPr>
            <w:r>
              <w:rPr>
                <w:rFonts w:ascii="Times" w:hAnsi="Times" w:cs="Times"/>
                <w:b/>
                <w:bCs/>
                <w:sz w:val="25"/>
                <w:szCs w:val="25"/>
              </w:rPr>
              <w:t>k hodnoteniu sociálnych vplyvov</w:t>
            </w:r>
            <w:r>
              <w:rPr>
                <w:rFonts w:ascii="Times" w:hAnsi="Times" w:cs="Times"/>
                <w:sz w:val="25"/>
                <w:szCs w:val="25"/>
              </w:rPr>
              <w:br/>
              <w:t xml:space="preserve">K analýze sociálnych vplyvov Z bodu 4.2 (v zadaní v úvode) je potrebné vypustiť vetu „Zmluva nemá vplyvy na prístup k zdrojom, </w:t>
            </w:r>
            <w:r>
              <w:rPr>
                <w:rFonts w:ascii="Times" w:hAnsi="Times" w:cs="Times"/>
                <w:sz w:val="25"/>
                <w:szCs w:val="25"/>
              </w:rPr>
              <w:lastRenderedPageBreak/>
              <w:t>právam, tovarom a službám u jednotlivých ovplyvnených skupín obyvateľstva a vplyv na sociálnu inklúziu“. Odôvodnenie: Táto veta je v rozpore so skutočnosťou, že návrh má vplyv v bode 4.2, ktorý je na príslušnom mieste v rámci danej časti analýzy aj popísaný. Navyše miesto vo formulári, kde je veta uvedená, sa zvyčajne nepoužíva na vyjadrenie predkladateľa. V bode 4.2 odporúčame presunúť vetu „Zmluva nemá špecifický vplyv na niektorú zo zraniteľných skupín obyvateľstva alebo skupín v riziku chudoby alebo sociálneho vylúčenia.“ z časti b) do časti c), kde je miesto určené pre popis vplyvov. Podobne v častiach 4.3 a 4.4. odporúčame presunúť vyjadrenia k vplyvom na miesto, ktoré je určené pre popis vplyvov. Odôvodnenie: Obvykle miesta v analýze sociálnych vplyvov, kde sú vety uvedené, nie sú určené na vyjadrenie predkladateľa.</w:t>
            </w:r>
          </w:p>
        </w:tc>
        <w:tc>
          <w:tcPr>
            <w:tcW w:w="246" w:type="pct"/>
            <w:tcBorders>
              <w:top w:val="outset" w:sz="6" w:space="0" w:color="000000"/>
              <w:left w:val="outset" w:sz="6" w:space="0" w:color="000000"/>
              <w:bottom w:val="outset" w:sz="6" w:space="0" w:color="000000"/>
              <w:right w:val="outset" w:sz="6" w:space="0" w:color="000000"/>
            </w:tcBorders>
            <w:vAlign w:val="center"/>
          </w:tcPr>
          <w:p w:rsidR="006B7788" w:rsidRDefault="006B7788" w:rsidP="005658D7">
            <w:pPr>
              <w:jc w:val="center"/>
              <w:rPr>
                <w:rFonts w:ascii="Times" w:hAnsi="Times" w:cs="Times"/>
                <w:b/>
                <w:bCs/>
                <w:sz w:val="25"/>
                <w:szCs w:val="25"/>
              </w:rPr>
            </w:pPr>
            <w:r>
              <w:rPr>
                <w:rFonts w:ascii="Times" w:hAnsi="Times" w:cs="Times"/>
                <w:b/>
                <w:bC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vAlign w:val="center"/>
          </w:tcPr>
          <w:p w:rsidR="006B7788" w:rsidRPr="003B348A" w:rsidRDefault="005658D7" w:rsidP="005658D7">
            <w:pPr>
              <w:jc w:val="center"/>
              <w:rPr>
                <w:rFonts w:ascii="Times New Roman" w:hAnsi="Times New Roman"/>
                <w:b/>
                <w:sz w:val="24"/>
                <w:szCs w:val="24"/>
              </w:rPr>
            </w:pPr>
            <w:r>
              <w:rPr>
                <w:rFonts w:ascii="Times New Roman" w:hAnsi="Times New Roman"/>
                <w:b/>
                <w:sz w:val="24"/>
                <w:szCs w:val="24"/>
              </w:rPr>
              <w:t>A</w:t>
            </w:r>
          </w:p>
        </w:tc>
        <w:tc>
          <w:tcPr>
            <w:tcW w:w="1495" w:type="pct"/>
            <w:tcBorders>
              <w:top w:val="outset" w:sz="6" w:space="0" w:color="000000"/>
              <w:left w:val="outset" w:sz="6" w:space="0" w:color="000000"/>
              <w:bottom w:val="outset" w:sz="6" w:space="0" w:color="000000"/>
            </w:tcBorders>
          </w:tcPr>
          <w:p w:rsidR="006B7788" w:rsidRPr="00A8215B" w:rsidRDefault="005658D7" w:rsidP="006B7788">
            <w:pPr>
              <w:jc w:val="both"/>
              <w:rPr>
                <w:rFonts w:ascii="Times New Roman" w:hAnsi="Times New Roman"/>
                <w:sz w:val="24"/>
                <w:szCs w:val="24"/>
              </w:rPr>
            </w:pPr>
            <w:r>
              <w:rPr>
                <w:rFonts w:ascii="Times New Roman" w:hAnsi="Times New Roman"/>
                <w:sz w:val="24"/>
                <w:szCs w:val="24"/>
              </w:rPr>
              <w:t>Pripomienka bola akceptovaná a zapracovaná.</w:t>
            </w:r>
          </w:p>
        </w:tc>
      </w:tr>
      <w:tr w:rsidR="006B7788" w:rsidRPr="00A8215B" w:rsidTr="00A8215B">
        <w:trPr>
          <w:divId w:val="471094726"/>
        </w:trPr>
        <w:tc>
          <w:tcPr>
            <w:tcW w:w="495" w:type="pct"/>
            <w:tcBorders>
              <w:top w:val="outset" w:sz="6" w:space="0" w:color="000000"/>
              <w:bottom w:val="outset" w:sz="6" w:space="0" w:color="000000"/>
              <w:right w:val="outset" w:sz="6" w:space="0" w:color="000000"/>
            </w:tcBorders>
          </w:tcPr>
          <w:p w:rsidR="006B7788" w:rsidRDefault="006B7788" w:rsidP="006B7788">
            <w:pPr>
              <w:jc w:val="center"/>
              <w:rPr>
                <w:rFonts w:ascii="Times" w:hAnsi="Times" w:cs="Times"/>
                <w:b/>
                <w:bCs/>
                <w:sz w:val="25"/>
                <w:szCs w:val="25"/>
              </w:rPr>
            </w:pPr>
            <w:r>
              <w:rPr>
                <w:rFonts w:ascii="Times" w:hAnsi="Times" w:cs="Times"/>
                <w:b/>
                <w:bCs/>
                <w:sz w:val="25"/>
                <w:szCs w:val="25"/>
              </w:rPr>
              <w:t>MZVEZ SR</w:t>
            </w:r>
          </w:p>
        </w:tc>
        <w:tc>
          <w:tcPr>
            <w:tcW w:w="2495" w:type="pct"/>
            <w:tcBorders>
              <w:top w:val="outset" w:sz="6" w:space="0" w:color="000000"/>
              <w:left w:val="outset" w:sz="6" w:space="0" w:color="000000"/>
              <w:bottom w:val="outset" w:sz="6" w:space="0" w:color="000000"/>
              <w:right w:val="outset" w:sz="6" w:space="0" w:color="000000"/>
            </w:tcBorders>
            <w:vAlign w:val="center"/>
          </w:tcPr>
          <w:p w:rsidR="006B7788" w:rsidRDefault="006B7788" w:rsidP="006B7788">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Navrhujeme odstrániť kontrolné termíny v bode D.1. a v bode D.2. návrhu uznesenia. Obidve úlohy sa totiž v zmysle zaužívanej praxe uvádzajú bez kontrolných termínov.</w:t>
            </w:r>
          </w:p>
        </w:tc>
        <w:tc>
          <w:tcPr>
            <w:tcW w:w="246" w:type="pct"/>
            <w:tcBorders>
              <w:top w:val="outset" w:sz="6" w:space="0" w:color="000000"/>
              <w:left w:val="outset" w:sz="6" w:space="0" w:color="000000"/>
              <w:bottom w:val="outset" w:sz="6" w:space="0" w:color="000000"/>
              <w:right w:val="outset" w:sz="6" w:space="0" w:color="000000"/>
            </w:tcBorders>
            <w:vAlign w:val="center"/>
          </w:tcPr>
          <w:p w:rsidR="006B7788" w:rsidRDefault="006B7788" w:rsidP="006B7788">
            <w:pPr>
              <w:jc w:val="center"/>
              <w:rPr>
                <w:rFonts w:ascii="Times" w:hAnsi="Times" w:cs="Times"/>
                <w:b/>
                <w:bCs/>
                <w:sz w:val="25"/>
                <w:szCs w:val="25"/>
              </w:rPr>
            </w:pPr>
            <w:r>
              <w:rPr>
                <w:rFonts w:ascii="Times" w:hAnsi="Times" w:cs="Times"/>
                <w:b/>
                <w:bCs/>
                <w:sz w:val="25"/>
                <w:szCs w:val="25"/>
              </w:rPr>
              <w:t>O</w:t>
            </w:r>
          </w:p>
        </w:tc>
        <w:tc>
          <w:tcPr>
            <w:tcW w:w="269" w:type="pct"/>
            <w:tcBorders>
              <w:top w:val="outset" w:sz="6" w:space="0" w:color="000000"/>
              <w:left w:val="outset" w:sz="6" w:space="0" w:color="000000"/>
              <w:bottom w:val="outset" w:sz="6" w:space="0" w:color="000000"/>
              <w:right w:val="outset" w:sz="6" w:space="0" w:color="000000"/>
            </w:tcBorders>
            <w:vAlign w:val="center"/>
          </w:tcPr>
          <w:p w:rsidR="006B7788" w:rsidRPr="003B348A" w:rsidRDefault="005658D7" w:rsidP="006B7788">
            <w:pPr>
              <w:jc w:val="center"/>
              <w:rPr>
                <w:rFonts w:ascii="Times New Roman" w:hAnsi="Times New Roman"/>
                <w:b/>
                <w:sz w:val="24"/>
                <w:szCs w:val="24"/>
              </w:rPr>
            </w:pPr>
            <w:r>
              <w:rPr>
                <w:rFonts w:ascii="Times New Roman" w:hAnsi="Times New Roman"/>
                <w:b/>
                <w:sz w:val="24"/>
                <w:szCs w:val="24"/>
              </w:rPr>
              <w:t>A</w:t>
            </w:r>
          </w:p>
        </w:tc>
        <w:tc>
          <w:tcPr>
            <w:tcW w:w="1495" w:type="pct"/>
            <w:tcBorders>
              <w:top w:val="outset" w:sz="6" w:space="0" w:color="000000"/>
              <w:left w:val="outset" w:sz="6" w:space="0" w:color="000000"/>
              <w:bottom w:val="outset" w:sz="6" w:space="0" w:color="000000"/>
            </w:tcBorders>
          </w:tcPr>
          <w:p w:rsidR="006B7788" w:rsidRPr="00A8215B" w:rsidRDefault="005658D7" w:rsidP="006B7788">
            <w:pPr>
              <w:jc w:val="both"/>
              <w:rPr>
                <w:rFonts w:ascii="Times New Roman" w:hAnsi="Times New Roman"/>
                <w:sz w:val="24"/>
                <w:szCs w:val="24"/>
              </w:rPr>
            </w:pPr>
            <w:r>
              <w:rPr>
                <w:rFonts w:ascii="Times New Roman" w:hAnsi="Times New Roman"/>
                <w:sz w:val="24"/>
                <w:szCs w:val="24"/>
              </w:rPr>
              <w:t>Pripomienka bola akceptovaná a zapracovaná.</w:t>
            </w:r>
          </w:p>
        </w:tc>
      </w:tr>
      <w:tr w:rsidR="006B7788" w:rsidRPr="00A8215B" w:rsidTr="00195BF3">
        <w:trPr>
          <w:divId w:val="471094726"/>
        </w:trPr>
        <w:tc>
          <w:tcPr>
            <w:tcW w:w="495" w:type="pct"/>
            <w:tcBorders>
              <w:top w:val="outset" w:sz="6" w:space="0" w:color="000000"/>
              <w:bottom w:val="outset" w:sz="6" w:space="0" w:color="000000"/>
              <w:right w:val="outset" w:sz="6" w:space="0" w:color="000000"/>
            </w:tcBorders>
            <w:shd w:val="clear" w:color="auto" w:fill="auto"/>
          </w:tcPr>
          <w:p w:rsidR="006B7788" w:rsidRDefault="006B7788" w:rsidP="006B7788">
            <w:pPr>
              <w:jc w:val="center"/>
              <w:rPr>
                <w:rFonts w:ascii="Times" w:hAnsi="Times" w:cs="Times"/>
                <w:b/>
                <w:bCs/>
                <w:sz w:val="25"/>
                <w:szCs w:val="25"/>
              </w:rPr>
            </w:pPr>
            <w:r>
              <w:rPr>
                <w:rFonts w:ascii="Times" w:hAnsi="Times" w:cs="Times"/>
                <w:b/>
                <w:bCs/>
                <w:sz w:val="25"/>
                <w:szCs w:val="25"/>
              </w:rPr>
              <w:t>UOOU SR</w:t>
            </w:r>
          </w:p>
        </w:tc>
        <w:tc>
          <w:tcPr>
            <w:tcW w:w="2495" w:type="pct"/>
            <w:tcBorders>
              <w:top w:val="outset" w:sz="6" w:space="0" w:color="000000"/>
              <w:left w:val="outset" w:sz="6" w:space="0" w:color="000000"/>
              <w:bottom w:val="outset" w:sz="6" w:space="0" w:color="000000"/>
              <w:right w:val="outset" w:sz="6" w:space="0" w:color="000000"/>
            </w:tcBorders>
            <w:shd w:val="clear" w:color="auto" w:fill="auto"/>
            <w:vAlign w:val="center"/>
          </w:tcPr>
          <w:p w:rsidR="006B7788" w:rsidRDefault="006B7788" w:rsidP="006B7788">
            <w:pPr>
              <w:rPr>
                <w:rFonts w:ascii="Times" w:hAnsi="Times" w:cs="Times"/>
                <w:sz w:val="25"/>
                <w:szCs w:val="25"/>
              </w:rPr>
            </w:pPr>
            <w:r>
              <w:rPr>
                <w:rFonts w:ascii="Times" w:hAnsi="Times" w:cs="Times"/>
                <w:b/>
                <w:bCs/>
                <w:sz w:val="25"/>
                <w:szCs w:val="25"/>
              </w:rPr>
              <w:t>K návrhu zmluvy ako celku</w:t>
            </w:r>
            <w:r>
              <w:rPr>
                <w:rFonts w:ascii="Times" w:hAnsi="Times" w:cs="Times"/>
                <w:sz w:val="25"/>
                <w:szCs w:val="25"/>
              </w:rPr>
              <w:br/>
              <w:t xml:space="preserve">Žiadame text návrhu zmluvy doplniť o Požiadavky pre zákonnosť prenosu do tretích krajín podľa všeobecného nariadenia o ochrane údajov. Bez doplnenia nie je zmluva v súlade s platnou legislatívou Slovenskej republiky. Odôvodnenie: Aby bol prenos osobných údajov do tretích krajín zákonný, musí spĺňať niektorú z podmienok uvedených v kapitole V všeobecného nariadenia o ochrane údajov. Európsky výbor pre ochranu údajov (EDPB) vydal Usmernenia č. 2/2020 k článkom 46 ods. 2 písm. a) &amp; ods. 3 písm. b) všeobecného nariadenia o ochrane údajov o prenosoch osobných údajov medzi </w:t>
            </w:r>
            <w:r>
              <w:rPr>
                <w:rFonts w:ascii="Times" w:hAnsi="Times" w:cs="Times"/>
                <w:sz w:val="25"/>
                <w:szCs w:val="25"/>
              </w:rPr>
              <w:lastRenderedPageBreak/>
              <w:t>autoritami členských štátov Európskeho hospodárskeho priestoru a nečlenskými štátmi Európskeho hospodárskeho priestoru (ďalej len ako Usmernenia č. 2/2020). Usmernenia č. 2/2020 obsahujú minimálne záruky, ktoré musí prenos osobných údajov spĺňať, aby bol zákonný. Zakomponovanie ustanovení so zárukami priamo do textu zmluvy sa považuje za najlepšie riešenie. Ak to však nie je možné, usmernenia pripúšťajú aj variantu, že v samotnej zmluve bude všeobecná klauzula tým, že konkrétne záruky budú uvedené v dodatku k zmluve.</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6B7788" w:rsidRDefault="006B7788" w:rsidP="006B7788">
            <w:pPr>
              <w:jc w:val="center"/>
              <w:rPr>
                <w:rFonts w:ascii="Times" w:hAnsi="Times" w:cs="Times"/>
                <w:b/>
                <w:bCs/>
                <w:sz w:val="25"/>
                <w:szCs w:val="25"/>
              </w:rPr>
            </w:pPr>
            <w:r>
              <w:rPr>
                <w:rFonts w:ascii="Times" w:hAnsi="Times" w:cs="Times"/>
                <w:b/>
                <w:bCs/>
                <w:sz w:val="25"/>
                <w:szCs w:val="25"/>
              </w:rPr>
              <w:lastRenderedPageBreak/>
              <w:t>O</w:t>
            </w:r>
          </w:p>
        </w:tc>
        <w:tc>
          <w:tcPr>
            <w:tcW w:w="269" w:type="pct"/>
            <w:tcBorders>
              <w:top w:val="outset" w:sz="6" w:space="0" w:color="000000"/>
              <w:left w:val="outset" w:sz="6" w:space="0" w:color="000000"/>
              <w:bottom w:val="outset" w:sz="6" w:space="0" w:color="000000"/>
              <w:right w:val="outset" w:sz="6" w:space="0" w:color="000000"/>
            </w:tcBorders>
            <w:shd w:val="clear" w:color="auto" w:fill="auto"/>
            <w:vAlign w:val="center"/>
          </w:tcPr>
          <w:p w:rsidR="006B7788" w:rsidRPr="00F5355C" w:rsidRDefault="005658D7" w:rsidP="006B7788">
            <w:pPr>
              <w:jc w:val="center"/>
              <w:rPr>
                <w:rFonts w:ascii="Times New Roman" w:hAnsi="Times New Roman"/>
                <w:b/>
                <w:sz w:val="24"/>
                <w:szCs w:val="24"/>
              </w:rPr>
            </w:pPr>
            <w:r>
              <w:rPr>
                <w:rFonts w:ascii="Times New Roman" w:hAnsi="Times New Roman"/>
                <w:b/>
                <w:sz w:val="24"/>
                <w:szCs w:val="24"/>
              </w:rPr>
              <w:t>N</w:t>
            </w:r>
          </w:p>
        </w:tc>
        <w:tc>
          <w:tcPr>
            <w:tcW w:w="1495" w:type="pct"/>
            <w:tcBorders>
              <w:top w:val="outset" w:sz="6" w:space="0" w:color="000000"/>
              <w:left w:val="outset" w:sz="6" w:space="0" w:color="000000"/>
              <w:bottom w:val="outset" w:sz="6" w:space="0" w:color="000000"/>
            </w:tcBorders>
            <w:shd w:val="clear" w:color="auto" w:fill="auto"/>
            <w:vAlign w:val="center"/>
          </w:tcPr>
          <w:p w:rsidR="004072ED" w:rsidRPr="00F5355C" w:rsidRDefault="004072ED" w:rsidP="000949F8">
            <w:pPr>
              <w:jc w:val="both"/>
              <w:rPr>
                <w:rFonts w:ascii="Times New Roman" w:hAnsi="Times New Roman"/>
                <w:sz w:val="24"/>
                <w:szCs w:val="24"/>
              </w:rPr>
            </w:pPr>
            <w:r>
              <w:rPr>
                <w:rFonts w:ascii="Times New Roman" w:hAnsi="Times New Roman"/>
                <w:sz w:val="24"/>
                <w:szCs w:val="24"/>
              </w:rPr>
              <w:t xml:space="preserve">Výmena informácií a administratívna spolupráca v súčasnosti prebieha na základe </w:t>
            </w:r>
            <w:r w:rsidRPr="004072ED">
              <w:rPr>
                <w:rFonts w:ascii="Times New Roman" w:hAnsi="Times New Roman"/>
                <w:sz w:val="24"/>
                <w:szCs w:val="24"/>
              </w:rPr>
              <w:t>Dohovor</w:t>
            </w:r>
            <w:r>
              <w:rPr>
                <w:rFonts w:ascii="Times New Roman" w:hAnsi="Times New Roman"/>
                <w:sz w:val="24"/>
                <w:szCs w:val="24"/>
              </w:rPr>
              <w:t>u</w:t>
            </w:r>
            <w:r w:rsidRPr="004072ED">
              <w:rPr>
                <w:rFonts w:ascii="Times New Roman" w:hAnsi="Times New Roman"/>
                <w:sz w:val="24"/>
                <w:szCs w:val="24"/>
              </w:rPr>
              <w:t xml:space="preserve"> o</w:t>
            </w:r>
            <w:r>
              <w:rPr>
                <w:rFonts w:ascii="Times New Roman" w:hAnsi="Times New Roman"/>
                <w:sz w:val="24"/>
                <w:szCs w:val="24"/>
              </w:rPr>
              <w:t> </w:t>
            </w:r>
            <w:r w:rsidRPr="004072ED">
              <w:rPr>
                <w:rFonts w:ascii="Times New Roman" w:hAnsi="Times New Roman"/>
                <w:sz w:val="24"/>
                <w:szCs w:val="24"/>
              </w:rPr>
              <w:t>vzájomnej</w:t>
            </w:r>
            <w:r>
              <w:rPr>
                <w:rFonts w:ascii="Times New Roman" w:hAnsi="Times New Roman"/>
                <w:sz w:val="24"/>
                <w:szCs w:val="24"/>
              </w:rPr>
              <w:t xml:space="preserve"> </w:t>
            </w:r>
            <w:r w:rsidRPr="004072ED">
              <w:rPr>
                <w:rFonts w:ascii="Times New Roman" w:hAnsi="Times New Roman"/>
                <w:sz w:val="24"/>
                <w:szCs w:val="24"/>
              </w:rPr>
              <w:t>administratívnej pomoci v daňových záležitostiach</w:t>
            </w:r>
            <w:r>
              <w:rPr>
                <w:rFonts w:ascii="Times New Roman" w:hAnsi="Times New Roman"/>
                <w:sz w:val="24"/>
                <w:szCs w:val="24"/>
              </w:rPr>
              <w:t xml:space="preserve"> (ďalej len „</w:t>
            </w:r>
            <w:r w:rsidR="009430CF">
              <w:rPr>
                <w:rFonts w:ascii="Times New Roman" w:hAnsi="Times New Roman"/>
                <w:sz w:val="24"/>
                <w:szCs w:val="24"/>
              </w:rPr>
              <w:t>MAC</w:t>
            </w:r>
            <w:r>
              <w:rPr>
                <w:rFonts w:ascii="Times New Roman" w:hAnsi="Times New Roman"/>
                <w:sz w:val="24"/>
                <w:szCs w:val="24"/>
              </w:rPr>
              <w:t>“), ktorý predstavuje širší právny základ pre výmenu informácií a spoluprácu ako článok 25 zmluvy. Vzhľadom k tomu, že M</w:t>
            </w:r>
            <w:r w:rsidR="009430CF">
              <w:rPr>
                <w:rFonts w:ascii="Times New Roman" w:hAnsi="Times New Roman"/>
                <w:sz w:val="24"/>
                <w:szCs w:val="24"/>
              </w:rPr>
              <w:t>AC</w:t>
            </w:r>
            <w:r>
              <w:rPr>
                <w:rFonts w:ascii="Times New Roman" w:hAnsi="Times New Roman"/>
                <w:sz w:val="24"/>
                <w:szCs w:val="24"/>
              </w:rPr>
              <w:t xml:space="preserve"> je globálnym nástrojom, tak na úrovni OECD a EÚ prebiehajú diskusie, akým spôsobom možno implementovať princípy GDPR </w:t>
            </w:r>
            <w:r>
              <w:rPr>
                <w:rFonts w:ascii="Times New Roman" w:hAnsi="Times New Roman"/>
                <w:sz w:val="24"/>
                <w:szCs w:val="24"/>
              </w:rPr>
              <w:lastRenderedPageBreak/>
              <w:t xml:space="preserve">nielen do </w:t>
            </w:r>
            <w:r w:rsidR="009430CF">
              <w:rPr>
                <w:rFonts w:ascii="Times New Roman" w:hAnsi="Times New Roman"/>
                <w:sz w:val="24"/>
                <w:szCs w:val="24"/>
              </w:rPr>
              <w:t>MAC</w:t>
            </w:r>
            <w:r>
              <w:rPr>
                <w:rFonts w:ascii="Times New Roman" w:hAnsi="Times New Roman"/>
                <w:sz w:val="24"/>
                <w:szCs w:val="24"/>
              </w:rPr>
              <w:t xml:space="preserve">, ale aj do iných medzinárodných zmlúv. </w:t>
            </w:r>
            <w:r w:rsidR="00D542FE">
              <w:rPr>
                <w:rFonts w:ascii="Times New Roman" w:hAnsi="Times New Roman"/>
                <w:sz w:val="24"/>
                <w:szCs w:val="24"/>
              </w:rPr>
              <w:t xml:space="preserve">Zmluvy o zamedzení dvojitého zdanenia </w:t>
            </w:r>
            <w:r>
              <w:rPr>
                <w:rFonts w:ascii="Times New Roman" w:hAnsi="Times New Roman"/>
                <w:sz w:val="24"/>
                <w:szCs w:val="24"/>
              </w:rPr>
              <w:t xml:space="preserve">sú výsledkom rokovaní suverénnych subjektov medzinárodného práva verejného, pričom nemožno od tretích štátov očakávať implementáciu niektorých štandardov EÚ, najmä ak </w:t>
            </w:r>
            <w:r w:rsidR="000949F8">
              <w:rPr>
                <w:rFonts w:ascii="Times New Roman" w:hAnsi="Times New Roman"/>
                <w:sz w:val="24"/>
                <w:szCs w:val="24"/>
              </w:rPr>
              <w:t>nepoznáme dosahy</w:t>
            </w:r>
            <w:r>
              <w:rPr>
                <w:rFonts w:ascii="Times New Roman" w:hAnsi="Times New Roman"/>
                <w:sz w:val="24"/>
                <w:szCs w:val="24"/>
              </w:rPr>
              <w:t xml:space="preserve"> </w:t>
            </w:r>
            <w:r w:rsidR="00D542FE">
              <w:rPr>
                <w:rFonts w:ascii="Times New Roman" w:hAnsi="Times New Roman"/>
                <w:sz w:val="24"/>
                <w:szCs w:val="24"/>
              </w:rPr>
              <w:t>implementáci</w:t>
            </w:r>
            <w:r w:rsidR="000949F8">
              <w:rPr>
                <w:rFonts w:ascii="Times New Roman" w:hAnsi="Times New Roman"/>
                <w:sz w:val="24"/>
                <w:szCs w:val="24"/>
              </w:rPr>
              <w:t>e</w:t>
            </w:r>
            <w:r w:rsidR="00D542FE">
              <w:rPr>
                <w:rFonts w:ascii="Times New Roman" w:hAnsi="Times New Roman"/>
                <w:sz w:val="24"/>
                <w:szCs w:val="24"/>
              </w:rPr>
              <w:t xml:space="preserve"> GDPR do Modelovej daňovej zmluvy OECD (resp. OSN) a samotných zmlúv o zamedzení dvojitého zdanenia</w:t>
            </w:r>
            <w:r>
              <w:rPr>
                <w:rFonts w:ascii="Times New Roman" w:hAnsi="Times New Roman"/>
                <w:sz w:val="24"/>
                <w:szCs w:val="24"/>
              </w:rPr>
              <w:t xml:space="preserve">. V tejto súvislosti </w:t>
            </w:r>
            <w:r w:rsidR="00597A24">
              <w:rPr>
                <w:rFonts w:ascii="Times New Roman" w:hAnsi="Times New Roman"/>
                <w:sz w:val="24"/>
                <w:szCs w:val="24"/>
              </w:rPr>
              <w:t xml:space="preserve">tiež </w:t>
            </w:r>
            <w:r>
              <w:rPr>
                <w:rFonts w:ascii="Times New Roman" w:hAnsi="Times New Roman"/>
                <w:sz w:val="24"/>
                <w:szCs w:val="24"/>
              </w:rPr>
              <w:t xml:space="preserve">uvádzame, že ani samotný pripomienkujúci subjekt neuviedol konkrétne znenie </w:t>
            </w:r>
            <w:r w:rsidRPr="004072ED">
              <w:rPr>
                <w:rFonts w:ascii="Times New Roman" w:hAnsi="Times New Roman"/>
                <w:sz w:val="24"/>
                <w:szCs w:val="24"/>
              </w:rPr>
              <w:t xml:space="preserve">ustanovení so zárukami </w:t>
            </w:r>
            <w:r>
              <w:rPr>
                <w:rFonts w:ascii="Times New Roman" w:hAnsi="Times New Roman"/>
                <w:sz w:val="24"/>
                <w:szCs w:val="24"/>
              </w:rPr>
              <w:t>ani všeobecnej klauzuly.</w:t>
            </w:r>
          </w:p>
        </w:tc>
      </w:tr>
    </w:tbl>
    <w:p w:rsidR="00154A91" w:rsidRPr="00A918BC" w:rsidRDefault="00154A91" w:rsidP="00CE47A6">
      <w:pPr>
        <w:rPr>
          <w:rFonts w:ascii="Times New Roman" w:hAnsi="Times New Roman"/>
        </w:rPr>
      </w:pPr>
    </w:p>
    <w:sectPr w:rsidR="00154A91" w:rsidRPr="00A918BC" w:rsidSect="0067196A">
      <w:footerReference w:type="default" r:id="rId8"/>
      <w:pgSz w:w="16839" w:h="11907" w:orient="landscape"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6D" w:rsidRDefault="0031136D" w:rsidP="000A67D5">
      <w:pPr>
        <w:spacing w:after="0" w:line="240" w:lineRule="auto"/>
      </w:pPr>
      <w:r>
        <w:separator/>
      </w:r>
    </w:p>
  </w:endnote>
  <w:endnote w:type="continuationSeparator" w:id="0">
    <w:p w:rsidR="0031136D" w:rsidRDefault="0031136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34" w:rsidRDefault="00986534">
    <w:pPr>
      <w:pStyle w:val="Pta"/>
      <w:jc w:val="center"/>
    </w:pPr>
    <w:r>
      <w:fldChar w:fldCharType="begin"/>
    </w:r>
    <w:r>
      <w:instrText>PAGE   \* MERGEFORMAT</w:instrText>
    </w:r>
    <w:r>
      <w:fldChar w:fldCharType="separate"/>
    </w:r>
    <w:r w:rsidR="00B2327C">
      <w:rPr>
        <w:noProof/>
      </w:rPr>
      <w:t>3</w:t>
    </w:r>
    <w:r>
      <w:fldChar w:fldCharType="end"/>
    </w:r>
  </w:p>
  <w:p w:rsidR="00986534" w:rsidRDefault="009865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6D" w:rsidRDefault="0031136D" w:rsidP="000A67D5">
      <w:pPr>
        <w:spacing w:after="0" w:line="240" w:lineRule="auto"/>
      </w:pPr>
      <w:r>
        <w:separator/>
      </w:r>
    </w:p>
  </w:footnote>
  <w:footnote w:type="continuationSeparator" w:id="0">
    <w:p w:rsidR="0031136D" w:rsidRDefault="0031136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1087"/>
    <w:rsid w:val="00024402"/>
    <w:rsid w:val="000324A3"/>
    <w:rsid w:val="00051220"/>
    <w:rsid w:val="0006543E"/>
    <w:rsid w:val="00074077"/>
    <w:rsid w:val="000949F8"/>
    <w:rsid w:val="000A67D5"/>
    <w:rsid w:val="000C4CBD"/>
    <w:rsid w:val="000E25CA"/>
    <w:rsid w:val="000F7A42"/>
    <w:rsid w:val="00146547"/>
    <w:rsid w:val="00146B48"/>
    <w:rsid w:val="00150388"/>
    <w:rsid w:val="00154A91"/>
    <w:rsid w:val="0016220B"/>
    <w:rsid w:val="00192553"/>
    <w:rsid w:val="00195BF3"/>
    <w:rsid w:val="00196C54"/>
    <w:rsid w:val="001D58BA"/>
    <w:rsid w:val="001E786D"/>
    <w:rsid w:val="002109B0"/>
    <w:rsid w:val="0021228E"/>
    <w:rsid w:val="00230F3C"/>
    <w:rsid w:val="00251673"/>
    <w:rsid w:val="002654AA"/>
    <w:rsid w:val="002827B4"/>
    <w:rsid w:val="00292EC4"/>
    <w:rsid w:val="002A5577"/>
    <w:rsid w:val="002C5A4A"/>
    <w:rsid w:val="002D7471"/>
    <w:rsid w:val="00310A55"/>
    <w:rsid w:val="0031136D"/>
    <w:rsid w:val="00322014"/>
    <w:rsid w:val="00334C16"/>
    <w:rsid w:val="00342C19"/>
    <w:rsid w:val="003764B1"/>
    <w:rsid w:val="0039526D"/>
    <w:rsid w:val="003B348A"/>
    <w:rsid w:val="003B435B"/>
    <w:rsid w:val="003D101C"/>
    <w:rsid w:val="003D5E45"/>
    <w:rsid w:val="003E4226"/>
    <w:rsid w:val="004072ED"/>
    <w:rsid w:val="004075B2"/>
    <w:rsid w:val="00436C44"/>
    <w:rsid w:val="00474A9D"/>
    <w:rsid w:val="004A5AD8"/>
    <w:rsid w:val="00502463"/>
    <w:rsid w:val="00532574"/>
    <w:rsid w:val="005658D7"/>
    <w:rsid w:val="00577380"/>
    <w:rsid w:val="0059081C"/>
    <w:rsid w:val="00597A24"/>
    <w:rsid w:val="005E7C53"/>
    <w:rsid w:val="00642FB8"/>
    <w:rsid w:val="0067196A"/>
    <w:rsid w:val="006A3681"/>
    <w:rsid w:val="006B42D8"/>
    <w:rsid w:val="006B7788"/>
    <w:rsid w:val="006C631F"/>
    <w:rsid w:val="006D7CA8"/>
    <w:rsid w:val="006F52A9"/>
    <w:rsid w:val="007074AB"/>
    <w:rsid w:val="007156F5"/>
    <w:rsid w:val="00762055"/>
    <w:rsid w:val="00782055"/>
    <w:rsid w:val="007A1010"/>
    <w:rsid w:val="007B7F1A"/>
    <w:rsid w:val="007D7AE6"/>
    <w:rsid w:val="007E4294"/>
    <w:rsid w:val="0083793D"/>
    <w:rsid w:val="00841FA6"/>
    <w:rsid w:val="00856FFA"/>
    <w:rsid w:val="00872AEE"/>
    <w:rsid w:val="008A1964"/>
    <w:rsid w:val="008E2844"/>
    <w:rsid w:val="0090100E"/>
    <w:rsid w:val="009239D9"/>
    <w:rsid w:val="00927118"/>
    <w:rsid w:val="00933121"/>
    <w:rsid w:val="00933FAA"/>
    <w:rsid w:val="009430CF"/>
    <w:rsid w:val="00943EB2"/>
    <w:rsid w:val="00986534"/>
    <w:rsid w:val="0099665B"/>
    <w:rsid w:val="009B0AFF"/>
    <w:rsid w:val="009C6C5C"/>
    <w:rsid w:val="009F7218"/>
    <w:rsid w:val="00A14071"/>
    <w:rsid w:val="00A251BF"/>
    <w:rsid w:val="00A54A16"/>
    <w:rsid w:val="00A8215B"/>
    <w:rsid w:val="00A918BC"/>
    <w:rsid w:val="00A947FE"/>
    <w:rsid w:val="00AA14E6"/>
    <w:rsid w:val="00AC0982"/>
    <w:rsid w:val="00AD2EC9"/>
    <w:rsid w:val="00AF3EA0"/>
    <w:rsid w:val="00B2327C"/>
    <w:rsid w:val="00B322B7"/>
    <w:rsid w:val="00B721A5"/>
    <w:rsid w:val="00B76589"/>
    <w:rsid w:val="00B8767E"/>
    <w:rsid w:val="00BD1FAB"/>
    <w:rsid w:val="00BD6267"/>
    <w:rsid w:val="00BE7302"/>
    <w:rsid w:val="00BF7CE0"/>
    <w:rsid w:val="00C93203"/>
    <w:rsid w:val="00CA44D2"/>
    <w:rsid w:val="00CA6870"/>
    <w:rsid w:val="00CE47A6"/>
    <w:rsid w:val="00CE7A7E"/>
    <w:rsid w:val="00CF3D59"/>
    <w:rsid w:val="00D227AC"/>
    <w:rsid w:val="00D261C9"/>
    <w:rsid w:val="00D42081"/>
    <w:rsid w:val="00D542FE"/>
    <w:rsid w:val="00D85172"/>
    <w:rsid w:val="00D969AC"/>
    <w:rsid w:val="00DF7085"/>
    <w:rsid w:val="00E165A9"/>
    <w:rsid w:val="00E342F3"/>
    <w:rsid w:val="00E85710"/>
    <w:rsid w:val="00E96CCF"/>
    <w:rsid w:val="00EB772A"/>
    <w:rsid w:val="00EE5B98"/>
    <w:rsid w:val="00EF1425"/>
    <w:rsid w:val="00EF7975"/>
    <w:rsid w:val="00F26A4A"/>
    <w:rsid w:val="00F5355C"/>
    <w:rsid w:val="00F727F0"/>
    <w:rsid w:val="00F8562E"/>
    <w:rsid w:val="00FC0816"/>
    <w:rsid w:val="00F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1C5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rFonts w:cs="Times New Roman"/>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A67D5"/>
    <w:rPr>
      <w:rFonts w:cs="Times New Roman"/>
    </w:rPr>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locked/>
    <w:rsid w:val="000A67D5"/>
    <w:rPr>
      <w:rFonts w:cs="Times New Roman"/>
    </w:rPr>
  </w:style>
  <w:style w:type="character" w:styleId="Odkaznakomentr">
    <w:name w:val="annotation reference"/>
    <w:basedOn w:val="Predvolenpsmoodseku"/>
    <w:uiPriority w:val="99"/>
    <w:semiHidden/>
    <w:unhideWhenUsed/>
    <w:rsid w:val="00927118"/>
    <w:rPr>
      <w:rFonts w:cs="Times New Roman"/>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927118"/>
    <w:rPr>
      <w:rFonts w:ascii="Calibri"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locked/>
    <w:rsid w:val="00BF7CE0"/>
    <w:rPr>
      <w:rFonts w:ascii="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4726">
      <w:marLeft w:val="0"/>
      <w:marRight w:val="0"/>
      <w:marTop w:val="0"/>
      <w:marBottom w:val="0"/>
      <w:divBdr>
        <w:top w:val="none" w:sz="0" w:space="0" w:color="auto"/>
        <w:left w:val="none" w:sz="0" w:space="0" w:color="auto"/>
        <w:bottom w:val="none" w:sz="0" w:space="0" w:color="auto"/>
        <w:right w:val="none" w:sz="0" w:space="0" w:color="auto"/>
      </w:divBdr>
    </w:div>
    <w:div w:id="471094727">
      <w:marLeft w:val="0"/>
      <w:marRight w:val="0"/>
      <w:marTop w:val="0"/>
      <w:marBottom w:val="0"/>
      <w:divBdr>
        <w:top w:val="none" w:sz="0" w:space="0" w:color="auto"/>
        <w:left w:val="none" w:sz="0" w:space="0" w:color="auto"/>
        <w:bottom w:val="none" w:sz="0" w:space="0" w:color="auto"/>
        <w:right w:val="none" w:sz="0" w:space="0" w:color="auto"/>
      </w:divBdr>
    </w:div>
    <w:div w:id="471094728">
      <w:marLeft w:val="0"/>
      <w:marRight w:val="0"/>
      <w:marTop w:val="0"/>
      <w:marBottom w:val="0"/>
      <w:divBdr>
        <w:top w:val="none" w:sz="0" w:space="0" w:color="auto"/>
        <w:left w:val="none" w:sz="0" w:space="0" w:color="auto"/>
        <w:bottom w:val="none" w:sz="0" w:space="0" w:color="auto"/>
        <w:right w:val="none" w:sz="0" w:space="0" w:color="auto"/>
      </w:divBdr>
    </w:div>
    <w:div w:id="471094729">
      <w:marLeft w:val="0"/>
      <w:marRight w:val="0"/>
      <w:marTop w:val="0"/>
      <w:marBottom w:val="0"/>
      <w:divBdr>
        <w:top w:val="none" w:sz="0" w:space="0" w:color="auto"/>
        <w:left w:val="none" w:sz="0" w:space="0" w:color="auto"/>
        <w:bottom w:val="none" w:sz="0" w:space="0" w:color="auto"/>
        <w:right w:val="none" w:sz="0" w:space="0" w:color="auto"/>
      </w:divBdr>
    </w:div>
    <w:div w:id="471094730">
      <w:marLeft w:val="0"/>
      <w:marRight w:val="0"/>
      <w:marTop w:val="0"/>
      <w:marBottom w:val="0"/>
      <w:divBdr>
        <w:top w:val="none" w:sz="0" w:space="0" w:color="auto"/>
        <w:left w:val="none" w:sz="0" w:space="0" w:color="auto"/>
        <w:bottom w:val="none" w:sz="0" w:space="0" w:color="auto"/>
        <w:right w:val="none" w:sz="0" w:space="0" w:color="auto"/>
      </w:divBdr>
    </w:div>
    <w:div w:id="471094731">
      <w:marLeft w:val="0"/>
      <w:marRight w:val="0"/>
      <w:marTop w:val="0"/>
      <w:marBottom w:val="0"/>
      <w:divBdr>
        <w:top w:val="none" w:sz="0" w:space="0" w:color="auto"/>
        <w:left w:val="none" w:sz="0" w:space="0" w:color="auto"/>
        <w:bottom w:val="none" w:sz="0" w:space="0" w:color="auto"/>
        <w:right w:val="none" w:sz="0" w:space="0" w:color="auto"/>
      </w:divBdr>
    </w:div>
    <w:div w:id="471094732">
      <w:marLeft w:val="0"/>
      <w:marRight w:val="0"/>
      <w:marTop w:val="0"/>
      <w:marBottom w:val="0"/>
      <w:divBdr>
        <w:top w:val="none" w:sz="0" w:space="0" w:color="auto"/>
        <w:left w:val="none" w:sz="0" w:space="0" w:color="auto"/>
        <w:bottom w:val="none" w:sz="0" w:space="0" w:color="auto"/>
        <w:right w:val="none" w:sz="0" w:space="0" w:color="auto"/>
      </w:divBdr>
    </w:div>
    <w:div w:id="471094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7.2020 9:14:53"/>
    <f:field ref="objchangedby" par="" text="Administrator, System"/>
    <f:field ref="objmodifiedat" par="" text="28.7.2020 9:14: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0FFDA3-63E9-4290-9988-98108FED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7787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2020-07-28T07:32:00Z</dcterms:created>
  <dcterms:modified xsi:type="dcterms:W3CDTF">2023-05-17T13:07:00Z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Medzinárodné zmluvy, dohody, dohovory_x000d__x000d_Dane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Jakub Kuchár</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Návrh na uzavretie Zmluvy medzi Slovenskou republikou a Novým Zélandom o zamedzení dvojitému zdaneniu v oblasti daní z príjmov a zabránení daňovému úniku a vyhýbaniu sa daňovým povinnostiam</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na uzavretie Zmluvy medzi Slovenskou republikou a Novým Zélandom o zamedzení dvojitému zdaneniu v oblasti daní z príjmov a zabránení daňovému úniku a vyhýbaniu sa daňovým povinnostiam</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MF/012216/2020-724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LP/2020/219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Heger_x000d__x000d_minister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COO.2145.1000.3.3952908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28. 7. 2020</vt:lpwstr>
  </property>
</Properties>
</file>