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Ex1.xml" ContentType="application/vnd.ms-office.chartex+xml"/>
  <Override PartName="/word/charts/style1.xml" ContentType="application/vnd.ms-office.chartstyle+xml"/>
  <Override PartName="/word/charts/colors1.xml" ContentType="application/vnd.ms-office.chartcolorstyle+xml"/>
  <Override PartName="/word/charts/chartEx2.xml" ContentType="application/vnd.ms-office.chartex+xml"/>
  <Override PartName="/word/charts/style2.xml" ContentType="application/vnd.ms-office.chartstyle+xml"/>
  <Override PartName="/word/charts/colors2.xml" ContentType="application/vnd.ms-office.chartcolorstyle+xml"/>
  <Override PartName="/word/charts/chartEx3.xml" ContentType="application/vnd.ms-office.chartex+xml"/>
  <Override PartName="/word/charts/style3.xml" ContentType="application/vnd.ms-office.chartstyle+xml"/>
  <Override PartName="/word/charts/colors3.xml" ContentType="application/vnd.ms-office.chartcolorstyle+xml"/>
  <Override PartName="/word/charts/chartEx4.xml" ContentType="application/vnd.ms-office.chartex+xml"/>
  <Override PartName="/word/charts/style4.xml" ContentType="application/vnd.ms-office.chartstyle+xml"/>
  <Override PartName="/word/charts/colors4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body>
    <w:p w:rsidRPr="0037605B" w:rsidR="008B25A6" w:rsidP="00982CC8" w:rsidRDefault="00982CC8" w14:paraId="3DD158AE" w14:textId="77777777">
      <w:pPr>
        <w:widowControl/>
        <w:jc w:val="center"/>
        <w:rPr>
          <w:color w:val="000000"/>
        </w:rPr>
      </w:pPr>
      <w:r w:rsidRPr="0037605B">
        <w:rPr>
          <w:b/>
          <w:caps/>
          <w:color w:val="000000"/>
          <w:spacing w:val="30"/>
        </w:rPr>
        <w:t>Dôvodová správa</w:t>
      </w:r>
    </w:p>
    <w:p w:rsidRPr="0037605B" w:rsidR="008B25A6" w:rsidP="008B25A6" w:rsidRDefault="008B25A6" w14:paraId="2343D3AB" w14:textId="77777777">
      <w:pPr>
        <w:widowControl/>
        <w:jc w:val="both"/>
        <w:rPr>
          <w:color w:val="000000"/>
        </w:rPr>
      </w:pPr>
    </w:p>
    <w:p w:rsidRPr="0037605B" w:rsidR="008B25A6" w:rsidP="008B25A6" w:rsidRDefault="008B25A6" w14:paraId="7C1C1365" w14:textId="77777777">
      <w:pPr>
        <w:widowControl/>
        <w:jc w:val="both"/>
        <w:rPr>
          <w:b/>
          <w:color w:val="000000"/>
        </w:rPr>
      </w:pPr>
      <w:r w:rsidRPr="0037605B">
        <w:rPr>
          <w:b/>
          <w:color w:val="000000"/>
        </w:rPr>
        <w:t>Všeobecná časť</w:t>
      </w:r>
    </w:p>
    <w:p w:rsidRPr="0037605B" w:rsidR="008B25A6" w:rsidP="008B25A6" w:rsidRDefault="008B25A6" w14:paraId="5C210672" w14:textId="77777777">
      <w:pPr>
        <w:widowControl/>
        <w:jc w:val="both"/>
        <w:rPr>
          <w:color w:val="000000"/>
        </w:rPr>
      </w:pPr>
    </w:p>
    <w:p w:rsidRPr="005D1861" w:rsidR="005D1861" w:rsidP="04FD48F1" w:rsidRDefault="005D1861" w14:paraId="7A012DE2" w14:textId="738A43C4">
      <w:pPr>
        <w:widowControl w:val="1"/>
        <w:spacing w:after="280" w:afterAutospacing="on"/>
        <w:jc w:val="both"/>
        <w:rPr>
          <w:rStyle w:val="Zstupntext"/>
          <w:color w:val="000000"/>
        </w:rPr>
      </w:pPr>
      <w:r w:rsidRPr="04FD48F1" w:rsidR="005D1861">
        <w:rPr>
          <w:rStyle w:val="Zstupntext"/>
          <w:color w:val="000000" w:themeColor="text1" w:themeTint="FF" w:themeShade="FF"/>
        </w:rPr>
        <w:t xml:space="preserve">Návrh </w:t>
      </w:r>
      <w:r w:rsidRPr="04FD48F1" w:rsidR="006A2885">
        <w:rPr>
          <w:rStyle w:val="Zstupntext"/>
          <w:color w:val="000000" w:themeColor="text1" w:themeTint="FF" w:themeShade="FF"/>
        </w:rPr>
        <w:t>nariadenia vlády Slovenskej republiky, ktorým sa ustanovujú hodnota investície a koncesie a základné náležitosti štúdie uskutočniteľnosti investície a štúdie uskutočniteľnosti koncesie</w:t>
      </w:r>
      <w:r w:rsidRPr="04FD48F1" w:rsidR="00575842">
        <w:rPr>
          <w:rStyle w:val="Zstupntext"/>
          <w:color w:val="000000" w:themeColor="text1" w:themeTint="FF" w:themeShade="FF"/>
        </w:rPr>
        <w:t xml:space="preserve"> </w:t>
      </w:r>
      <w:r w:rsidRPr="04FD48F1" w:rsidR="005D1861">
        <w:rPr>
          <w:rStyle w:val="Zstupntext"/>
          <w:color w:val="000000" w:themeColor="text1" w:themeTint="FF" w:themeShade="FF"/>
        </w:rPr>
        <w:t xml:space="preserve">predkladá </w:t>
      </w:r>
      <w:r w:rsidRPr="04FD48F1" w:rsidR="005D1861">
        <w:rPr>
          <w:rStyle w:val="Zstupntext"/>
          <w:color w:val="000000" w:themeColor="text1" w:themeTint="FF" w:themeShade="FF"/>
        </w:rPr>
        <w:t>minister financií S</w:t>
      </w:r>
      <w:r w:rsidRPr="04FD48F1" w:rsidR="00F93137">
        <w:rPr>
          <w:rStyle w:val="Zstupntext"/>
          <w:color w:val="000000" w:themeColor="text1" w:themeTint="FF" w:themeShade="FF"/>
        </w:rPr>
        <w:t xml:space="preserve">lovenskej republiky </w:t>
      </w:r>
      <w:r w:rsidRPr="04FD48F1" w:rsidR="002C63E7">
        <w:rPr>
          <w:rStyle w:val="Zstupntext"/>
          <w:color w:val="000000" w:themeColor="text1" w:themeTint="FF" w:themeShade="FF"/>
        </w:rPr>
        <w:t>ako iniciatívny materiál</w:t>
      </w:r>
      <w:r w:rsidRPr="04FD48F1" w:rsidR="00462BB1">
        <w:rPr>
          <w:rStyle w:val="Zstupntext"/>
          <w:color w:val="000000" w:themeColor="text1" w:themeTint="FF" w:themeShade="FF"/>
        </w:rPr>
        <w:t>.</w:t>
      </w:r>
      <w:r w:rsidRPr="04FD48F1" w:rsidR="0038316D">
        <w:rPr>
          <w:rStyle w:val="Zstupntext"/>
          <w:color w:val="000000" w:themeColor="text1" w:themeTint="FF" w:themeShade="FF"/>
        </w:rPr>
        <w:t xml:space="preserve"> </w:t>
      </w:r>
    </w:p>
    <w:p w:rsidRPr="003D6A54" w:rsidR="005D1861" w:rsidP="005D1861" w:rsidRDefault="005D1861" w14:paraId="1A4A3B94" w14:textId="39A6A2E5">
      <w:pPr>
        <w:widowControl/>
        <w:spacing w:after="280" w:afterAutospacing="1"/>
        <w:jc w:val="both"/>
        <w:rPr>
          <w:rStyle w:val="Zstupntext"/>
          <w:color w:val="000000"/>
        </w:rPr>
      </w:pPr>
      <w:r w:rsidRPr="005D1861">
        <w:rPr>
          <w:rStyle w:val="Zstupntext"/>
          <w:color w:val="000000"/>
        </w:rPr>
        <w:t xml:space="preserve">Cieľom predkladaného materiálu je ustanoviť </w:t>
      </w:r>
      <w:r w:rsidR="00F6147C">
        <w:rPr>
          <w:rStyle w:val="Zstupntext"/>
          <w:color w:val="000000"/>
        </w:rPr>
        <w:t xml:space="preserve">jednotnú </w:t>
      </w:r>
      <w:r w:rsidRPr="005D1861">
        <w:rPr>
          <w:rStyle w:val="Zstupntext"/>
          <w:color w:val="000000"/>
        </w:rPr>
        <w:t>hodnotu investície a koncesie, pri ktorých sa vypracúvajú a zverejňujú štúdie uskutočniteľnosti a</w:t>
      </w:r>
      <w:r w:rsidR="003D6A54">
        <w:rPr>
          <w:rStyle w:val="Zstupntext"/>
          <w:color w:val="000000"/>
        </w:rPr>
        <w:t xml:space="preserve"> presnejšie vymedziť náležitosti štúdie uskutočniteľnosti investície a štúdie uskutočniteľnosti koncesie </w:t>
      </w:r>
      <w:r w:rsidR="00802999">
        <w:rPr>
          <w:rStyle w:val="Zstupntext"/>
          <w:color w:val="000000"/>
        </w:rPr>
        <w:t>podľa §</w:t>
      </w:r>
      <w:r w:rsidRPr="005D1861">
        <w:rPr>
          <w:rStyle w:val="Zstupntext"/>
          <w:color w:val="000000"/>
        </w:rPr>
        <w:t>19a zákona č. 523/20</w:t>
      </w:r>
      <w:r w:rsidR="000209D3">
        <w:rPr>
          <w:rStyle w:val="Zstupntext"/>
          <w:color w:val="000000"/>
        </w:rPr>
        <w:t>0</w:t>
      </w:r>
      <w:r w:rsidR="003D6A54">
        <w:rPr>
          <w:rStyle w:val="Zstupntext"/>
          <w:color w:val="000000"/>
        </w:rPr>
        <w:t>4 Z. </w:t>
      </w:r>
      <w:r w:rsidRPr="005D1861">
        <w:rPr>
          <w:rStyle w:val="Zstupntext"/>
          <w:color w:val="000000"/>
        </w:rPr>
        <w:t>z</w:t>
      </w:r>
      <w:r w:rsidR="002C63E7">
        <w:rPr>
          <w:rStyle w:val="Zstupntext"/>
          <w:color w:val="000000"/>
        </w:rPr>
        <w:t> o rozpočtových pravidlách verejnej správy</w:t>
      </w:r>
      <w:r w:rsidRPr="005D1861">
        <w:rPr>
          <w:rStyle w:val="Zstupntext"/>
          <w:color w:val="000000"/>
        </w:rPr>
        <w:t xml:space="preserve">. </w:t>
      </w:r>
    </w:p>
    <w:p w:rsidR="00330706" w:rsidP="002A7A5B" w:rsidRDefault="00330706" w14:paraId="6D1F761A" w14:textId="5AD6B6DC">
      <w:pPr>
        <w:jc w:val="both"/>
      </w:pPr>
      <w:r>
        <w:t xml:space="preserve">Cieľom ministerstva financií, ktorý si osvojila aj vláda v programovom vyhlásení, je realizovať projekty iba s vysokou spoločenskou návratnosťou a zlepšiť ich plánovanie a prípravu. </w:t>
      </w:r>
      <w:r w:rsidRPr="52C83459">
        <w:rPr>
          <w:b/>
          <w:bCs/>
        </w:rPr>
        <w:t>Navrhovaný materiál reaguje na súčasnú prax prípravy a hodnotenia investícií a koncesií a</w:t>
      </w:r>
      <w:r w:rsidRPr="52C83459" w:rsidR="00B53BC9">
        <w:rPr>
          <w:b/>
          <w:bCs/>
        </w:rPr>
        <w:t> </w:t>
      </w:r>
      <w:r w:rsidRPr="52C83459">
        <w:rPr>
          <w:b/>
          <w:bCs/>
        </w:rPr>
        <w:t>navrhuje</w:t>
      </w:r>
      <w:r w:rsidRPr="52C83459" w:rsidR="00B53BC9">
        <w:rPr>
          <w:b/>
          <w:bCs/>
        </w:rPr>
        <w:t xml:space="preserve"> zjednotiť</w:t>
      </w:r>
      <w:r w:rsidRPr="52C83459">
        <w:rPr>
          <w:b/>
          <w:bCs/>
        </w:rPr>
        <w:t xml:space="preserve"> limit ekonomického hodnotenia investičných projektov Ministerstvom financií SR zo súčasného 1</w:t>
      </w:r>
      <w:r w:rsidRPr="52C83459" w:rsidR="00BF5364">
        <w:rPr>
          <w:b/>
          <w:bCs/>
        </w:rPr>
        <w:t xml:space="preserve"> </w:t>
      </w:r>
      <w:r w:rsidRPr="52C83459" w:rsidR="00B53BC9">
        <w:rPr>
          <w:b/>
          <w:bCs/>
        </w:rPr>
        <w:t>, resp. 40 mil. eur</w:t>
      </w:r>
      <w:r w:rsidRPr="52C83459">
        <w:rPr>
          <w:b/>
          <w:bCs/>
        </w:rPr>
        <w:t xml:space="preserve"> na </w:t>
      </w:r>
      <w:r w:rsidRPr="52C83459" w:rsidR="00B53BC9">
        <w:rPr>
          <w:b/>
          <w:bCs/>
        </w:rPr>
        <w:t>spoločn</w:t>
      </w:r>
      <w:r w:rsidRPr="52C83459" w:rsidR="008E79DF">
        <w:rPr>
          <w:b/>
          <w:bCs/>
        </w:rPr>
        <w:t>ú</w:t>
      </w:r>
      <w:r w:rsidRPr="52C83459" w:rsidR="00B53BC9">
        <w:rPr>
          <w:b/>
          <w:bCs/>
        </w:rPr>
        <w:t xml:space="preserve"> hranicu </w:t>
      </w:r>
      <w:r w:rsidRPr="52C83459">
        <w:rPr>
          <w:b/>
          <w:bCs/>
        </w:rPr>
        <w:t>10 mil. eur.</w:t>
      </w:r>
      <w:r w:rsidR="002A7A5B">
        <w:rPr>
          <w:b/>
        </w:rPr>
        <w:t xml:space="preserve"> </w:t>
      </w:r>
      <w:r w:rsidRPr="002A7A5B" w:rsidR="3E7A39A1">
        <w:t>Zmena pôvodne navrhovanej úpravy hranice hodnotenia investičných projektov 3 mil. eur na jednotnú hranicu 10 mil. eur vyplýva z pripomienok uplatnených v rámci medzirezortného pripomienkového konania. Zvýšením hranice sa kapitolám uvoľnia administratívne kapacity na prípravu prioritných projektov. Zameranie sa na prípravu, harmonogram a reálnosť realizácie veľkých projektov pomôže predísť rizikám spojených s ich následnou implementáciou.</w:t>
      </w:r>
    </w:p>
    <w:p w:rsidRPr="002A7A5B" w:rsidR="002A7A5B" w:rsidP="002A7A5B" w:rsidRDefault="002A7A5B" w14:paraId="7A31EA10" w14:textId="77777777">
      <w:pPr>
        <w:jc w:val="both"/>
        <w:rPr>
          <w:b/>
        </w:rPr>
      </w:pPr>
    </w:p>
    <w:p w:rsidR="008E79DF" w:rsidP="00330706" w:rsidRDefault="00B53BC9" w14:paraId="4D593656" w14:textId="2845F98D">
      <w:pPr>
        <w:jc w:val="both"/>
        <w:rPr>
          <w:rStyle w:val="Zstupntext"/>
          <w:color w:val="auto"/>
        </w:rPr>
      </w:pPr>
      <w:r w:rsidRPr="00FD4D3E">
        <w:rPr>
          <w:rStyle w:val="Zstupntext"/>
          <w:b/>
          <w:color w:val="auto"/>
        </w:rPr>
        <w:t>Útvar hodnoty za peniaze venuje väčšinu kapacít malým projektom, ktoré však prinášajú minimum hodnoty.</w:t>
      </w:r>
      <w:r>
        <w:rPr>
          <w:rStyle w:val="Zstupntext"/>
          <w:color w:val="auto"/>
        </w:rPr>
        <w:t xml:space="preserve"> P</w:t>
      </w:r>
      <w:r w:rsidR="00330706">
        <w:rPr>
          <w:rStyle w:val="Zstupntext"/>
          <w:color w:val="auto"/>
        </w:rPr>
        <w:t>rojekty</w:t>
      </w:r>
      <w:r w:rsidRPr="00015959" w:rsidR="00330706">
        <w:rPr>
          <w:rStyle w:val="Zstupntext"/>
          <w:color w:val="auto"/>
        </w:rPr>
        <w:t xml:space="preserve"> do 10 mil. eur tvoria až 80 % z celkového počtu hodnotených projektov, ale </w:t>
      </w:r>
      <w:r w:rsidR="008E79DF">
        <w:rPr>
          <w:rStyle w:val="Zstupntext"/>
          <w:color w:val="auto"/>
        </w:rPr>
        <w:t>prinášajú</w:t>
      </w:r>
      <w:r>
        <w:rPr>
          <w:rStyle w:val="Zstupntext"/>
          <w:color w:val="auto"/>
        </w:rPr>
        <w:t xml:space="preserve"> menej ako </w:t>
      </w:r>
      <w:r w:rsidR="00330706">
        <w:rPr>
          <w:rStyle w:val="Zstupntext"/>
          <w:color w:val="auto"/>
        </w:rPr>
        <w:t xml:space="preserve">tretinu </w:t>
      </w:r>
      <w:r w:rsidRPr="00015959" w:rsidR="00330706">
        <w:rPr>
          <w:rStyle w:val="Zstupntext"/>
          <w:color w:val="auto"/>
        </w:rPr>
        <w:t>identifikovaných úspor.</w:t>
      </w:r>
      <w:r w:rsidR="008E79DF">
        <w:rPr>
          <w:rStyle w:val="Zstupntext"/>
          <w:color w:val="auto"/>
        </w:rPr>
        <w:t xml:space="preserve"> Väčšie projekty sú hodnotené </w:t>
      </w:r>
      <w:r w:rsidR="002E596C">
        <w:rPr>
          <w:rStyle w:val="Zstupntext"/>
          <w:color w:val="auto"/>
        </w:rPr>
        <w:t xml:space="preserve">aj vo fáze prípravy, </w:t>
      </w:r>
      <w:r w:rsidR="008E79DF">
        <w:rPr>
          <w:rStyle w:val="Zstupntext"/>
          <w:color w:val="auto"/>
        </w:rPr>
        <w:t>a preto je kvôli</w:t>
      </w:r>
      <w:r w:rsidR="002E596C">
        <w:rPr>
          <w:rStyle w:val="Zstupntext"/>
          <w:color w:val="auto"/>
        </w:rPr>
        <w:t xml:space="preserve"> možným</w:t>
      </w:r>
      <w:r w:rsidR="008E79DF">
        <w:rPr>
          <w:rStyle w:val="Zstupntext"/>
          <w:color w:val="auto"/>
        </w:rPr>
        <w:t xml:space="preserve"> zmenám technického riešenia</w:t>
      </w:r>
      <w:r w:rsidR="002E596C">
        <w:rPr>
          <w:rStyle w:val="Zstupntext"/>
          <w:color w:val="auto"/>
        </w:rPr>
        <w:t xml:space="preserve"> alebo zvolenej alternatívy</w:t>
      </w:r>
      <w:r w:rsidR="008E79DF">
        <w:rPr>
          <w:rStyle w:val="Zstupntext"/>
          <w:color w:val="auto"/>
        </w:rPr>
        <w:t xml:space="preserve"> potenciál úspor násobne väčší.</w:t>
      </w:r>
      <w:r>
        <w:rPr>
          <w:rStyle w:val="Zstupntext"/>
          <w:color w:val="auto"/>
        </w:rPr>
        <w:t xml:space="preserve"> </w:t>
      </w:r>
      <w:r w:rsidR="002E596C">
        <w:rPr>
          <w:rStyle w:val="Zstupntext"/>
          <w:color w:val="auto"/>
        </w:rPr>
        <w:t>Malé hodnotenia pred verejným ob</w:t>
      </w:r>
      <w:r w:rsidR="009D50E1">
        <w:rPr>
          <w:rStyle w:val="Zstupntext"/>
          <w:color w:val="auto"/>
        </w:rPr>
        <w:t>starávaním sa väčšinou obmedzujú</w:t>
      </w:r>
      <w:r w:rsidR="002E596C">
        <w:rPr>
          <w:rStyle w:val="Zstupntext"/>
          <w:color w:val="auto"/>
        </w:rPr>
        <w:t xml:space="preserve"> len na porovnávanie jednotkových cien</w:t>
      </w:r>
      <w:r w:rsidR="009D50E1">
        <w:rPr>
          <w:rStyle w:val="Zstupntext"/>
          <w:color w:val="auto"/>
        </w:rPr>
        <w:t xml:space="preserve"> a súlad so stratégiou</w:t>
      </w:r>
      <w:r w:rsidR="002E596C">
        <w:rPr>
          <w:rStyle w:val="Zstupntext"/>
          <w:color w:val="auto"/>
        </w:rPr>
        <w:t>.</w:t>
      </w:r>
    </w:p>
    <w:p w:rsidR="00B1793B" w:rsidP="00330706" w:rsidRDefault="00B1793B" w14:paraId="1F836101" w14:textId="4E4C90B8">
      <w:pPr>
        <w:jc w:val="both"/>
        <w:rPr>
          <w:rStyle w:val="Zstupntext"/>
          <w:color w:val="auto"/>
        </w:rPr>
      </w:pPr>
    </w:p>
    <w:tbl>
      <w:tblPr>
        <w:tblStyle w:val="Mriekatabuky"/>
        <w:tblW w:w="4639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5"/>
        <w:gridCol w:w="2257"/>
        <w:gridCol w:w="146"/>
        <w:gridCol w:w="747"/>
        <w:gridCol w:w="3845"/>
      </w:tblGrid>
      <w:tr w:rsidRPr="000F0C53" w:rsidR="00B1793B" w:rsidTr="003E63A7" w14:paraId="2391446B" w14:textId="77777777">
        <w:trPr>
          <w:trHeight w:val="19"/>
        </w:trPr>
        <w:tc>
          <w:tcPr>
            <w:tcW w:w="5000" w:type="pct"/>
            <w:gridSpan w:val="5"/>
          </w:tcPr>
          <w:p w:rsidRPr="000F0C53" w:rsidR="00B1793B" w:rsidP="003E63A7" w:rsidRDefault="00B1793B" w14:paraId="4841E8EA" w14:textId="77777777">
            <w:pPr>
              <w:jc w:val="both"/>
              <w:rPr>
                <w:b/>
                <w:sz w:val="22"/>
              </w:rPr>
            </w:pPr>
            <w:r w:rsidRPr="000F0C53">
              <w:rPr>
                <w:b/>
                <w:sz w:val="22"/>
              </w:rPr>
              <w:t>Graf 1: Počet hodnotených projektov (vľavo) a potenciálna úspora (vpravo v mil. eur) za rok 2022</w:t>
            </w:r>
          </w:p>
        </w:tc>
      </w:tr>
      <w:tr w:rsidRPr="00297608" w:rsidR="00B1793B" w:rsidTr="003E63A7" w14:paraId="05A340CA" w14:textId="77777777">
        <w:trPr>
          <w:trHeight w:val="1521"/>
        </w:trPr>
        <w:tc>
          <w:tcPr>
            <w:tcW w:w="2332" w:type="pct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:rsidRPr="006037E9" w:rsidR="00B1793B" w:rsidP="003E63A7" w:rsidRDefault="00B1793B" w14:paraId="16FA9224" w14:textId="77777777">
            <w:pPr>
              <w:jc w:val="both"/>
              <w:rPr>
                <w:b/>
              </w:rPr>
            </w:pPr>
            <w:r w:rsidRPr="006037E9">
              <w:rPr>
                <w:noProof/>
              </w:rPr>
              <mc:AlternateContent>
                <mc:Choice Requires="cx1">
                  <w:drawing>
                    <wp:inline distT="0" distB="0" distL="0" distR="0" wp14:anchorId="71F05B37" wp14:editId="2CE8428B">
                      <wp:extent cx="2867025" cy="2390775"/>
                      <wp:effectExtent l="0" t="0" r="9525" b="9525"/>
                      <wp:docPr id="3" name="Graf 3"/>
                      <wp:cNvGraphicFramePr/>
                      <a:graphic xmlns:a="http://schemas.openxmlformats.org/drawingml/2006/main">
                        <a:graphicData uri="http://schemas.microsoft.com/office/drawing/2014/chartex">
                          <cx:chart xmlns:cx="http://schemas.microsoft.com/office/drawing/2014/chartex" xmlns:r="http://schemas.openxmlformats.org/officeDocument/2006/relationships" r:id="rId11"/>
                        </a:graphicData>
                      </a:graphic>
                    </wp:inline>
                  </w:drawing>
                </mc:Choice>
                <mc:Fallback xmlns:a="http://schemas.openxmlformats.org/drawingml/2006/main" xmlns:pic="http://schemas.openxmlformats.org/drawingml/2006/picture">
                  <w:drawing>
                    <wp:inline distT="0" distB="0" distL="0" distR="0" wp14:anchorId="71F05B37" wp14:editId="2CE8428B">
                      <wp:extent cx="2867025" cy="2390775"/>
                      <wp:effectExtent l="0" t="0" r="9525" b="9525"/>
                      <wp:docPr id="3" name="Graf 3"/>
                      <wp:cNvGraphicFramePr>
                        <a:graphicFrameLocks xmlns:a="http://schemas.openxmlformats.org/drawingml/2006/main" noGrp="1" noDrilldown="1" noSelect="1" noChangeAspect="1" noMove="1" noResize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Graf 3"/>
                              <pic:cNvPicPr>
                                <a:picLocks noGrp="1" noRot="1" noChangeAspect="1" noMove="1" noResize="1" noEditPoints="1" noAdjustHandles="1" noChangeArrowheads="1" noChangeShapeType="1"/>
                              </pic:cNvPicPr>
                            </pic:nvPicPr>
                            <pic:blipFill>
                              <a:blip r:embed="rId1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867025" cy="23907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78" w:type="pct"/>
          </w:tcPr>
          <w:p w:rsidRPr="00297608" w:rsidR="00B1793B" w:rsidP="003E63A7" w:rsidRDefault="00B1793B" w14:paraId="25C53DAE" w14:textId="77777777">
            <w:pPr>
              <w:jc w:val="both"/>
              <w:rPr>
                <w:b/>
              </w:rPr>
            </w:pPr>
          </w:p>
        </w:tc>
        <w:tc>
          <w:tcPr>
            <w:tcW w:w="2590" w:type="pct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:rsidRPr="00F047D1" w:rsidR="00B1793B" w:rsidP="003E63A7" w:rsidRDefault="00B1793B" w14:paraId="1ADC0472" w14:textId="77777777">
            <w:pPr>
              <w:jc w:val="both"/>
              <w:rPr>
                <w:b/>
              </w:rPr>
            </w:pPr>
            <w:r>
              <w:rPr>
                <w:noProof/>
              </w:rPr>
              <mc:AlternateContent>
                <mc:Choice Requires="cx1">
                  <w:drawing>
                    <wp:inline distT="0" distB="0" distL="0" distR="0" wp14:anchorId="654DA82F" wp14:editId="6F39FD2C">
                      <wp:extent cx="2847975" cy="2381250"/>
                      <wp:effectExtent l="0" t="0" r="9525" b="0"/>
                      <wp:docPr id="4" name="Graf 4"/>
                      <wp:cNvGraphicFramePr/>
                      <a:graphic xmlns:a="http://schemas.openxmlformats.org/drawingml/2006/main">
                        <a:graphicData uri="http://schemas.microsoft.com/office/drawing/2014/chartex">
                          <cx:chart xmlns:cx="http://schemas.microsoft.com/office/drawing/2014/chartex" xmlns:r="http://schemas.openxmlformats.org/officeDocument/2006/relationships" r:id="rId13"/>
                        </a:graphicData>
                      </a:graphic>
                    </wp:inline>
                  </w:drawing>
                </mc:Choice>
                <mc:Fallback xmlns:a="http://schemas.openxmlformats.org/drawingml/2006/main" xmlns:pic="http://schemas.openxmlformats.org/drawingml/2006/picture">
                  <w:drawing>
                    <wp:inline distT="0" distB="0" distL="0" distR="0" wp14:anchorId="654DA82F" wp14:editId="6F39FD2C">
                      <wp:extent cx="2847975" cy="2381250"/>
                      <wp:effectExtent l="0" t="0" r="9525" b="0"/>
                      <wp:docPr id="4" name="Graf 4"/>
                      <wp:cNvGraphicFramePr>
                        <a:graphicFrameLocks xmlns:a="http://schemas.openxmlformats.org/drawingml/2006/main" noGrp="1" noDrilldown="1" noSelect="1" noChangeAspect="1" noMove="1" noResize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Graf 4"/>
                              <pic:cNvPicPr>
                                <a:picLocks noGrp="1" noRot="1" noChangeAspect="1" noMove="1" noResize="1" noEditPoints="1" noAdjustHandles="1" noChangeArrowheads="1" noChangeShapeType="1"/>
                              </pic:cNvPicPr>
                            </pic:nvPicPr>
                            <pic:blipFill>
                              <a:blip r:embed="rId14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847975" cy="23812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</w:tr>
      <w:tr w:rsidRPr="00297608" w:rsidR="00B1793B" w:rsidTr="003E63A7" w14:paraId="2F448007" w14:textId="77777777">
        <w:trPr>
          <w:trHeight w:val="19"/>
        </w:trPr>
        <w:tc>
          <w:tcPr>
            <w:tcW w:w="1193" w:type="pct"/>
          </w:tcPr>
          <w:p w:rsidRPr="00297608" w:rsidR="00B1793B" w:rsidP="003E63A7" w:rsidRDefault="00B1793B" w14:paraId="62F941C6" w14:textId="77777777">
            <w:pPr>
              <w:rPr>
                <w:i/>
                <w:noProof/>
                <w:lang w:eastAsia="sk-SK"/>
              </w:rPr>
            </w:pPr>
          </w:p>
        </w:tc>
        <w:tc>
          <w:tcPr>
            <w:tcW w:w="1638" w:type="pct"/>
            <w:gridSpan w:val="3"/>
          </w:tcPr>
          <w:p w:rsidR="00B1793B" w:rsidP="003E63A7" w:rsidRDefault="00B1793B" w14:paraId="0F5D3235" w14:textId="77777777">
            <w:pPr>
              <w:rPr>
                <w:i/>
                <w:noProof/>
                <w:sz w:val="18"/>
                <w:lang w:eastAsia="sk-SK"/>
              </w:rPr>
            </w:pPr>
          </w:p>
        </w:tc>
        <w:tc>
          <w:tcPr>
            <w:tcW w:w="2168" w:type="pct"/>
          </w:tcPr>
          <w:p w:rsidR="00B1793B" w:rsidP="003E63A7" w:rsidRDefault="00B1793B" w14:paraId="055BD69A" w14:textId="77777777">
            <w:pPr>
              <w:jc w:val="right"/>
              <w:rPr>
                <w:i/>
                <w:noProof/>
                <w:sz w:val="18"/>
                <w:lang w:eastAsia="sk-SK"/>
              </w:rPr>
            </w:pPr>
            <w:r>
              <w:rPr>
                <w:i/>
                <w:noProof/>
                <w:sz w:val="18"/>
                <w:lang w:eastAsia="sk-SK"/>
              </w:rPr>
              <w:t>Zdroj: MF SR</w:t>
            </w:r>
          </w:p>
        </w:tc>
      </w:tr>
    </w:tbl>
    <w:p w:rsidRPr="00B1793B" w:rsidR="002E596C" w:rsidP="00330706" w:rsidRDefault="002E596C" w14:paraId="02538E51" w14:textId="11160C13">
      <w:pPr>
        <w:jc w:val="both"/>
        <w:rPr>
          <w:rStyle w:val="Zstupntext"/>
          <w:color w:val="auto"/>
        </w:rPr>
      </w:pPr>
    </w:p>
    <w:tbl>
      <w:tblPr>
        <w:tblStyle w:val="Mriekatabuky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8"/>
        <w:gridCol w:w="2303"/>
        <w:gridCol w:w="146"/>
        <w:gridCol w:w="854"/>
        <w:gridCol w:w="3544"/>
        <w:gridCol w:w="105"/>
      </w:tblGrid>
      <w:tr w:rsidRPr="00F047D1" w:rsidR="00B1793B" w:rsidTr="003E63A7" w14:paraId="4BDA361B" w14:textId="77777777">
        <w:trPr>
          <w:trHeight w:val="34"/>
        </w:trPr>
        <w:tc>
          <w:tcPr>
            <w:tcW w:w="5000" w:type="pct"/>
            <w:gridSpan w:val="6"/>
          </w:tcPr>
          <w:p w:rsidRPr="00F047D1" w:rsidR="00B1793B" w:rsidP="003E63A7" w:rsidRDefault="00B1793B" w14:paraId="647A88AD" w14:textId="77777777">
            <w:pPr>
              <w:keepNext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Graf 2</w:t>
            </w:r>
            <w:r w:rsidRPr="00F047D1">
              <w:rPr>
                <w:b/>
                <w:sz w:val="22"/>
              </w:rPr>
              <w:t>: Počet hodnotených projektov (vľavo) a potenciálna úspora (vpravo v mil. eur) za rok 2021</w:t>
            </w:r>
          </w:p>
        </w:tc>
      </w:tr>
      <w:tr w:rsidRPr="00297608" w:rsidR="00B1793B" w:rsidTr="003E63A7" w14:paraId="147085EB" w14:textId="77777777">
        <w:trPr>
          <w:trHeight w:val="2585"/>
        </w:trPr>
        <w:tc>
          <w:tcPr>
            <w:tcW w:w="2485" w:type="pct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:rsidRPr="00F047D1" w:rsidR="00B1793B" w:rsidP="003E63A7" w:rsidRDefault="00B1793B" w14:paraId="0D5A7ACF" w14:textId="77777777">
            <w:pPr>
              <w:keepNext/>
              <w:jc w:val="both"/>
              <w:rPr>
                <w:b/>
              </w:rPr>
            </w:pPr>
            <w:r>
              <w:rPr>
                <w:noProof/>
              </w:rPr>
              <mc:AlternateContent>
                <mc:Choice Requires="cx1">
                  <w:drawing>
                    <wp:inline distT="0" distB="0" distL="0" distR="0" wp14:anchorId="56F293A0" wp14:editId="33163665">
                      <wp:extent cx="2914650" cy="2228850"/>
                      <wp:effectExtent l="0" t="0" r="0" b="0"/>
                      <wp:docPr id="5" name="Graf 5"/>
                      <wp:cNvGraphicFramePr/>
                      <a:graphic xmlns:a="http://schemas.openxmlformats.org/drawingml/2006/main">
                        <a:graphicData uri="http://schemas.microsoft.com/office/drawing/2014/chartex">
                          <cx:chart xmlns:cx="http://schemas.microsoft.com/office/drawing/2014/chartex" xmlns:r="http://schemas.openxmlformats.org/officeDocument/2006/relationships" r:id="rId15"/>
                        </a:graphicData>
                      </a:graphic>
                    </wp:inline>
                  </w:drawing>
                </mc:Choice>
                <mc:Fallback xmlns:a="http://schemas.openxmlformats.org/drawingml/2006/main" xmlns:pic="http://schemas.openxmlformats.org/drawingml/2006/picture">
                  <w:drawing>
                    <wp:inline distT="0" distB="0" distL="0" distR="0" wp14:anchorId="56F293A0" wp14:editId="33163665">
                      <wp:extent cx="2914650" cy="2228850"/>
                      <wp:effectExtent l="0" t="0" r="0" b="0"/>
                      <wp:docPr id="5" name="Graf 5"/>
                      <wp:cNvGraphicFramePr>
                        <a:graphicFrameLocks xmlns:a="http://schemas.openxmlformats.org/drawingml/2006/main" noGrp="1" noDrilldown="1" noSelect="1" noChangeAspect="1" noMove="1" noResize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Graf 5"/>
                              <pic:cNvPicPr>
                                <a:picLocks noGrp="1" noRot="1" noChangeAspect="1" noMove="1" noResize="1" noEditPoints="1" noAdjustHandles="1" noChangeArrowheads="1" noChangeShapeType="1"/>
                              </pic:cNvPicPr>
                            </pic:nvPicPr>
                            <pic:blipFill>
                              <a:blip r:embed="rId16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914650" cy="22288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80" w:type="pct"/>
          </w:tcPr>
          <w:p w:rsidRPr="00297608" w:rsidR="00B1793B" w:rsidP="003E63A7" w:rsidRDefault="00B1793B" w14:paraId="6326183C" w14:textId="77777777">
            <w:pPr>
              <w:keepNext/>
              <w:jc w:val="both"/>
              <w:rPr>
                <w:b/>
              </w:rPr>
            </w:pPr>
          </w:p>
        </w:tc>
        <w:tc>
          <w:tcPr>
            <w:tcW w:w="2436" w:type="pct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Pr="00F047D1" w:rsidR="00B1793B" w:rsidP="003E63A7" w:rsidRDefault="00B1793B" w14:paraId="477CA91D" w14:textId="77777777">
            <w:pPr>
              <w:keepNext/>
              <w:jc w:val="both"/>
              <w:rPr>
                <w:b/>
              </w:rPr>
            </w:pPr>
            <w:r>
              <w:rPr>
                <w:noProof/>
              </w:rPr>
              <mc:AlternateContent>
                <mc:Choice Requires="cx1">
                  <w:drawing>
                    <wp:inline distT="0" distB="0" distL="0" distR="0" wp14:anchorId="76318F4A" wp14:editId="6652F87A">
                      <wp:extent cx="2781300" cy="2219325"/>
                      <wp:effectExtent l="0" t="0" r="0" b="9525"/>
                      <wp:docPr id="6" name="Graf 6"/>
                      <wp:cNvGraphicFramePr/>
                      <a:graphic xmlns:a="http://schemas.openxmlformats.org/drawingml/2006/main">
                        <a:graphicData uri="http://schemas.microsoft.com/office/drawing/2014/chartex">
                          <cx:chart xmlns:cx="http://schemas.microsoft.com/office/drawing/2014/chartex" xmlns:r="http://schemas.openxmlformats.org/officeDocument/2006/relationships" r:id="rId17"/>
                        </a:graphicData>
                      </a:graphic>
                    </wp:inline>
                  </w:drawing>
                </mc:Choice>
                <mc:Fallback xmlns:a="http://schemas.openxmlformats.org/drawingml/2006/main" xmlns:pic="http://schemas.openxmlformats.org/drawingml/2006/picture">
                  <w:drawing>
                    <wp:inline distT="0" distB="0" distL="0" distR="0" wp14:anchorId="76318F4A" wp14:editId="6652F87A">
                      <wp:extent cx="2781300" cy="2219325"/>
                      <wp:effectExtent l="0" t="0" r="0" b="9525"/>
                      <wp:docPr id="6" name="Graf 6"/>
                      <wp:cNvGraphicFramePr>
                        <a:graphicFrameLocks xmlns:a="http://schemas.openxmlformats.org/drawingml/2006/main" noGrp="1" noDrilldown="1" noSelect="1" noChangeAspect="1" noMove="1" noResize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Graf 6"/>
                              <pic:cNvPicPr>
                                <a:picLocks noGrp="1" noRot="1" noChangeAspect="1" noMove="1" noResize="1" noEditPoints="1" noAdjustHandles="1" noChangeArrowheads="1" noChangeShapeType="1"/>
                              </pic:cNvPicPr>
                            </pic:nvPicPr>
                            <pic:blipFill>
                              <a:blip r:embed="rId18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81300" cy="22193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</w:tr>
      <w:tr w:rsidRPr="00297608" w:rsidR="00B1793B" w:rsidTr="003E63A7" w14:paraId="30C37F2C" w14:textId="77777777">
        <w:trPr>
          <w:gridAfter w:val="1"/>
          <w:wAfter w:w="57" w:type="pct"/>
          <w:trHeight w:val="34"/>
        </w:trPr>
        <w:tc>
          <w:tcPr>
            <w:tcW w:w="1270" w:type="pct"/>
          </w:tcPr>
          <w:p w:rsidRPr="00297608" w:rsidR="00B1793B" w:rsidP="003E63A7" w:rsidRDefault="00B1793B" w14:paraId="3BCE4DAE" w14:textId="77777777">
            <w:pPr>
              <w:keepNext/>
              <w:rPr>
                <w:i/>
                <w:noProof/>
                <w:lang w:eastAsia="sk-SK"/>
              </w:rPr>
            </w:pPr>
          </w:p>
        </w:tc>
        <w:tc>
          <w:tcPr>
            <w:tcW w:w="1757" w:type="pct"/>
            <w:gridSpan w:val="3"/>
          </w:tcPr>
          <w:p w:rsidR="00B1793B" w:rsidP="003E63A7" w:rsidRDefault="00B1793B" w14:paraId="7486E6B9" w14:textId="77777777">
            <w:pPr>
              <w:keepNext/>
              <w:rPr>
                <w:i/>
                <w:noProof/>
                <w:sz w:val="18"/>
                <w:lang w:eastAsia="sk-SK"/>
              </w:rPr>
            </w:pPr>
          </w:p>
        </w:tc>
        <w:tc>
          <w:tcPr>
            <w:tcW w:w="1917" w:type="pct"/>
          </w:tcPr>
          <w:p w:rsidR="00B1793B" w:rsidP="003E63A7" w:rsidRDefault="00B1793B" w14:paraId="764E313A" w14:textId="77777777">
            <w:pPr>
              <w:keepNext/>
              <w:jc w:val="right"/>
              <w:rPr>
                <w:i/>
                <w:noProof/>
                <w:sz w:val="18"/>
                <w:lang w:eastAsia="sk-SK"/>
              </w:rPr>
            </w:pPr>
            <w:r>
              <w:rPr>
                <w:i/>
                <w:noProof/>
                <w:sz w:val="18"/>
                <w:lang w:eastAsia="sk-SK"/>
              </w:rPr>
              <w:t>Zdroj: MF SR</w:t>
            </w:r>
          </w:p>
        </w:tc>
      </w:tr>
    </w:tbl>
    <w:p w:rsidR="00330706" w:rsidP="00330706" w:rsidRDefault="008E79DF" w14:paraId="0860C8E0" w14:textId="005139E6">
      <w:pPr>
        <w:jc w:val="both"/>
        <w:rPr>
          <w:rStyle w:val="Zstupntext"/>
          <w:color w:val="auto"/>
        </w:rPr>
      </w:pPr>
      <w:r w:rsidRPr="00FD4D3E">
        <w:rPr>
          <w:rStyle w:val="Zstupntext"/>
          <w:b/>
          <w:color w:val="auto"/>
        </w:rPr>
        <w:t>O</w:t>
      </w:r>
      <w:r w:rsidRPr="00FD4D3E" w:rsidR="00B53BC9">
        <w:rPr>
          <w:rStyle w:val="Zstupntext"/>
          <w:b/>
          <w:color w:val="auto"/>
        </w:rPr>
        <w:t>dporúčania pri malých projektoch sú, na rozdiel od väčších</w:t>
      </w:r>
      <w:r w:rsidR="0065391E">
        <w:rPr>
          <w:rStyle w:val="Zstupntext"/>
          <w:b/>
          <w:color w:val="auto"/>
        </w:rPr>
        <w:t xml:space="preserve"> projektov</w:t>
      </w:r>
      <w:r w:rsidRPr="00FD4D3E" w:rsidR="00B53BC9">
        <w:rPr>
          <w:rStyle w:val="Zstupntext"/>
          <w:b/>
          <w:color w:val="auto"/>
        </w:rPr>
        <w:t>, rezortami len zriedka zapracovávané.</w:t>
      </w:r>
      <w:r w:rsidRPr="00015959" w:rsidR="00330706">
        <w:rPr>
          <w:rStyle w:val="Zstupntext"/>
          <w:color w:val="auto"/>
        </w:rPr>
        <w:t xml:space="preserve"> </w:t>
      </w:r>
      <w:r>
        <w:rPr>
          <w:rStyle w:val="Zstupntext"/>
          <w:color w:val="auto"/>
        </w:rPr>
        <w:t>Na zvýšenie hodnoty za peniaze obsahuje väčšina hodnotení ÚHP odporúčania smerom na úpravu projektu (54 %) alebo zmen</w:t>
      </w:r>
      <w:r w:rsidR="00F9600D">
        <w:rPr>
          <w:rStyle w:val="Zstupntext"/>
          <w:color w:val="auto"/>
        </w:rPr>
        <w:t>u</w:t>
      </w:r>
      <w:r>
        <w:rPr>
          <w:rStyle w:val="Zstupntext"/>
          <w:color w:val="auto"/>
        </w:rPr>
        <w:t xml:space="preserve"> predpokladanej hodnoty zákazky (36 %). Len zriedka ÚHP projekt neodporúča</w:t>
      </w:r>
      <w:r w:rsidR="00A634A1">
        <w:rPr>
          <w:rStyle w:val="Zstupntext"/>
          <w:color w:val="auto"/>
        </w:rPr>
        <w:t xml:space="preserve"> realizovať (3,7 %), alebo odporúča bez pripomienok (6,6 %). </w:t>
      </w:r>
      <w:r w:rsidR="002E596C">
        <w:rPr>
          <w:rStyle w:val="Zstupntext"/>
          <w:color w:val="auto"/>
        </w:rPr>
        <w:t xml:space="preserve">Rezorty až z dvoch tretín odporúčania pri malých projektoch </w:t>
      </w:r>
      <w:r w:rsidR="00A40CAB">
        <w:rPr>
          <w:rStyle w:val="Zstupntext"/>
          <w:color w:val="auto"/>
        </w:rPr>
        <w:t>nezapracovávajú</w:t>
      </w:r>
      <w:r w:rsidR="002E596C">
        <w:rPr>
          <w:rStyle w:val="Zstupntext"/>
          <w:color w:val="auto"/>
        </w:rPr>
        <w:t>. Pri</w:t>
      </w:r>
      <w:r w:rsidR="0065391E">
        <w:rPr>
          <w:rStyle w:val="Zstupntext"/>
          <w:color w:val="auto"/>
        </w:rPr>
        <w:t> </w:t>
      </w:r>
      <w:r w:rsidR="002E596C">
        <w:rPr>
          <w:rStyle w:val="Zstupntext"/>
          <w:color w:val="auto"/>
        </w:rPr>
        <w:t>väčších</w:t>
      </w:r>
      <w:r w:rsidR="0065391E">
        <w:rPr>
          <w:rStyle w:val="Zstupntext"/>
          <w:color w:val="auto"/>
        </w:rPr>
        <w:t xml:space="preserve"> projektov</w:t>
      </w:r>
      <w:r w:rsidR="002E596C">
        <w:rPr>
          <w:rStyle w:val="Zstupntext"/>
          <w:color w:val="auto"/>
        </w:rPr>
        <w:t xml:space="preserve">, ktoré sú vykonávané zo zákona, je tento pomer opačný. </w:t>
      </w:r>
    </w:p>
    <w:p w:rsidR="0065391E" w:rsidP="00330706" w:rsidRDefault="0065391E" w14:paraId="63F2D21C" w14:textId="77777777">
      <w:pPr>
        <w:jc w:val="both"/>
      </w:pPr>
    </w:p>
    <w:p w:rsidRPr="00FD4D3E" w:rsidR="002E596C" w:rsidP="002E596C" w:rsidRDefault="008E79DF" w14:paraId="2948AFF0" w14:textId="654FF7CB">
      <w:pPr>
        <w:jc w:val="both"/>
        <w:rPr>
          <w:rStyle w:val="Zstupntext"/>
          <w:color w:val="auto"/>
        </w:rPr>
      </w:pPr>
      <w:r w:rsidRPr="00E250FB">
        <w:t xml:space="preserve">Navrhovaná zmena prinesie investorom väčšiu flexibilitu a úsporu času pri </w:t>
      </w:r>
      <w:r>
        <w:t>príprave menších projektov</w:t>
      </w:r>
      <w:r w:rsidRPr="00E250FB">
        <w:t>.</w:t>
      </w:r>
      <w:r>
        <w:t xml:space="preserve"> </w:t>
      </w:r>
      <w:r w:rsidRPr="00EC4823" w:rsidR="00330706">
        <w:rPr>
          <w:rStyle w:val="Zstupntext"/>
          <w:color w:val="auto"/>
        </w:rPr>
        <w:t xml:space="preserve">Kapacity alokované na hodnotenia </w:t>
      </w:r>
      <w:r w:rsidR="00330706">
        <w:rPr>
          <w:rStyle w:val="Zstupntext"/>
          <w:color w:val="auto"/>
        </w:rPr>
        <w:t xml:space="preserve">projektov </w:t>
      </w:r>
      <w:r w:rsidRPr="00EC4823" w:rsidR="00330706">
        <w:rPr>
          <w:rStyle w:val="Zstupntext"/>
          <w:color w:val="auto"/>
        </w:rPr>
        <w:t xml:space="preserve">do 10 mil. eur by mohli byť </w:t>
      </w:r>
      <w:r w:rsidR="00B53BC9">
        <w:rPr>
          <w:rStyle w:val="Zstupntext"/>
          <w:color w:val="auto"/>
        </w:rPr>
        <w:t xml:space="preserve">lepšie </w:t>
      </w:r>
      <w:r w:rsidRPr="00EC4823" w:rsidR="00330706">
        <w:rPr>
          <w:rStyle w:val="Zstupntext"/>
          <w:color w:val="auto"/>
        </w:rPr>
        <w:t>využité na väčšie projekty</w:t>
      </w:r>
      <w:r w:rsidR="00330706">
        <w:rPr>
          <w:rStyle w:val="Zstupntext"/>
          <w:color w:val="auto"/>
        </w:rPr>
        <w:t>,</w:t>
      </w:r>
      <w:r>
        <w:rPr>
          <w:rStyle w:val="Zstupntext"/>
          <w:color w:val="auto"/>
        </w:rPr>
        <w:t xml:space="preserve"> </w:t>
      </w:r>
      <w:r w:rsidR="00330706">
        <w:rPr>
          <w:rStyle w:val="Zstupntext"/>
          <w:color w:val="auto"/>
        </w:rPr>
        <w:t>strategické plánovacie dokumenty</w:t>
      </w:r>
      <w:r w:rsidRPr="00EC4823" w:rsidR="00330706">
        <w:rPr>
          <w:rStyle w:val="Zstupntext"/>
          <w:color w:val="auto"/>
        </w:rPr>
        <w:t xml:space="preserve"> a </w:t>
      </w:r>
      <w:r w:rsidR="00330706">
        <w:rPr>
          <w:rStyle w:val="Zstupntext"/>
          <w:color w:val="auto"/>
        </w:rPr>
        <w:t>na pomoc rezortom pri projektovej príprave a tvorbe štúdi</w:t>
      </w:r>
      <w:r w:rsidR="00F9600D">
        <w:rPr>
          <w:rStyle w:val="Zstupntext"/>
          <w:color w:val="auto"/>
        </w:rPr>
        <w:t>í</w:t>
      </w:r>
      <w:r w:rsidR="00330706">
        <w:rPr>
          <w:rStyle w:val="Zstupntext"/>
          <w:color w:val="auto"/>
        </w:rPr>
        <w:t xml:space="preserve"> uskutočniteľnosti.</w:t>
      </w:r>
      <w:r w:rsidRPr="00EC4823" w:rsidR="00330706">
        <w:t xml:space="preserve"> </w:t>
      </w:r>
      <w:r w:rsidR="00330706">
        <w:t>Zjednotením hranice sa zár</w:t>
      </w:r>
      <w:r w:rsidR="0065391E">
        <w:t>oveň sprehľadní legislatívna úprava</w:t>
      </w:r>
      <w:r w:rsidR="002E596C">
        <w:t xml:space="preserve">, keďže momentálne </w:t>
      </w:r>
      <w:r w:rsidR="0065391E">
        <w:t>Ministerstvo financií SR</w:t>
      </w:r>
      <w:r w:rsidR="002E596C">
        <w:t xml:space="preserve"> hodnotí na základe </w:t>
      </w:r>
      <w:r w:rsidRPr="00FD4D3E" w:rsidR="002E596C">
        <w:rPr>
          <w:rStyle w:val="Zstupntext"/>
          <w:color w:val="auto"/>
        </w:rPr>
        <w:t xml:space="preserve">zákona č. 523/2004 </w:t>
      </w:r>
      <w:r w:rsidR="0065391E">
        <w:rPr>
          <w:rStyle w:val="Zstupntext"/>
          <w:color w:val="auto"/>
        </w:rPr>
        <w:t xml:space="preserve">Z. z. </w:t>
      </w:r>
      <w:r w:rsidRPr="00FD4D3E" w:rsidR="002E596C">
        <w:rPr>
          <w:rStyle w:val="Zstupntext"/>
          <w:color w:val="auto"/>
        </w:rPr>
        <w:t>(nad 40 mil. eur)</w:t>
      </w:r>
      <w:r w:rsidR="009D50E1">
        <w:rPr>
          <w:rStyle w:val="Zstupntext"/>
          <w:color w:val="auto"/>
        </w:rPr>
        <w:t xml:space="preserve"> a zároveň</w:t>
      </w:r>
      <w:r w:rsidRPr="00FD4D3E" w:rsidR="002E596C">
        <w:rPr>
          <w:rStyle w:val="Zstupntext"/>
          <w:color w:val="auto"/>
        </w:rPr>
        <w:t xml:space="preserve"> uznesenia vlády č. 649</w:t>
      </w:r>
      <w:r w:rsidR="009D50E1">
        <w:rPr>
          <w:rStyle w:val="Zstupntext"/>
          <w:color w:val="auto"/>
        </w:rPr>
        <w:t>/</w:t>
      </w:r>
      <w:r w:rsidRPr="00FD4D3E" w:rsidR="002E596C">
        <w:rPr>
          <w:rStyle w:val="Zstupntext"/>
          <w:color w:val="auto"/>
        </w:rPr>
        <w:t>2020.</w:t>
      </w:r>
    </w:p>
    <w:p w:rsidR="00330706" w:rsidP="00330706" w:rsidRDefault="00330706" w14:paraId="0D8514B7" w14:textId="1F9A0910">
      <w:pPr>
        <w:jc w:val="both"/>
      </w:pPr>
    </w:p>
    <w:p w:rsidRPr="00A7224A" w:rsidR="00C66178" w:rsidP="76979F60" w:rsidRDefault="008429DB" w14:paraId="0CD239A0" w14:textId="46733E2A">
      <w:pPr>
        <w:jc w:val="both"/>
      </w:pPr>
      <w:r w:rsidR="008429DB">
        <w:rPr/>
        <w:t>Súčasne s navrhova</w:t>
      </w:r>
      <w:r w:rsidR="008429DB">
        <w:rPr/>
        <w:t xml:space="preserve">nou zmenou </w:t>
      </w:r>
      <w:r w:rsidR="4075E49F">
        <w:rPr/>
        <w:t>sa vykoná</w:t>
      </w:r>
      <w:r w:rsidR="2B80FD8D">
        <w:rPr/>
        <w:t xml:space="preserve"> a</w:t>
      </w:r>
      <w:r w:rsidR="4A99C477">
        <w:rPr/>
        <w:t>ktualizácia</w:t>
      </w:r>
      <w:r w:rsidR="2B80FD8D">
        <w:rPr/>
        <w:t xml:space="preserve"> </w:t>
      </w:r>
      <w:r w:rsidR="008429DB">
        <w:rPr/>
        <w:t>M</w:t>
      </w:r>
      <w:r w:rsidR="008429DB">
        <w:rPr/>
        <w:t xml:space="preserve">etodiky prípravy a hodnotenia investičných projektov schválená uznesením vlády SR č. 181/2022. V Metodike je popísaný rozsah štúdie pre rôzne veľkosti a typy investičných projektov s cieľom sprehľadniť, zrýchliť a skvalitniť prípravu investičných projektov. </w:t>
      </w:r>
      <w:bookmarkStart w:name="_GoBack" w:id="0"/>
      <w:bookmarkEnd w:id="0"/>
      <w:r w:rsidR="008429DB">
        <w:rPr/>
        <w:t>Cieľom aktualizácie je zmena podkapitoly 4.</w:t>
      </w:r>
      <w:r w:rsidR="00725C99">
        <w:rPr/>
        <w:t>2.</w:t>
      </w:r>
      <w:r w:rsidR="35177271">
        <w:rPr/>
        <w:t>1</w:t>
      </w:r>
      <w:r w:rsidR="008429DB">
        <w:rPr/>
        <w:t xml:space="preserve"> a nevyhnutné úpravy spojené so zmenou hraníc hodnotenia a prípravy štúdie.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825"/>
        <w:gridCol w:w="825"/>
        <w:gridCol w:w="855"/>
        <w:gridCol w:w="825"/>
        <w:gridCol w:w="825"/>
        <w:gridCol w:w="855"/>
        <w:gridCol w:w="825"/>
        <w:gridCol w:w="825"/>
        <w:gridCol w:w="885"/>
      </w:tblGrid>
      <w:tr w:rsidRPr="00A7224A" w:rsidR="00A7224A" w:rsidTr="00A7224A" w14:paraId="4613CC54" w14:textId="77777777">
        <w:trPr>
          <w:trHeight w:val="450"/>
        </w:trPr>
        <w:tc>
          <w:tcPr>
            <w:tcW w:w="90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7224A" w:rsidR="00A7224A" w:rsidP="00A7224A" w:rsidRDefault="00920A49" w14:paraId="7F6AFA5D" w14:textId="110BAD12">
            <w:pPr>
              <w:widowControl/>
              <w:adjustRightInd/>
              <w:textAlignment w:val="baseline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Tabuľka 1</w:t>
            </w:r>
            <w:r w:rsidRPr="00920A49" w:rsidR="00A7224A">
              <w:rPr>
                <w:b/>
                <w:bCs/>
                <w:color w:val="000000"/>
                <w:sz w:val="22"/>
                <w:szCs w:val="22"/>
              </w:rPr>
              <w:t>: Prehľad na oblasti po zmene hranice</w:t>
            </w:r>
            <w:r w:rsidRPr="00920A49" w:rsidR="00A7224A">
              <w:rPr>
                <w:color w:val="000000"/>
                <w:sz w:val="22"/>
                <w:szCs w:val="22"/>
              </w:rPr>
              <w:t> </w:t>
            </w:r>
          </w:p>
        </w:tc>
      </w:tr>
      <w:tr w:rsidRPr="00A7224A" w:rsidR="00A7224A" w:rsidTr="00A7224A" w14:paraId="668C7CD5" w14:textId="77777777">
        <w:trPr>
          <w:trHeight w:val="285"/>
        </w:trPr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  <w:vAlign w:val="bottom"/>
            <w:hideMark/>
          </w:tcPr>
          <w:p w:rsidRPr="00A7224A" w:rsidR="00A7224A" w:rsidP="00A7224A" w:rsidRDefault="00A7224A" w14:paraId="009286D0" w14:textId="77777777">
            <w:pPr>
              <w:widowControl/>
              <w:adjustRightInd/>
              <w:textAlignment w:val="baseline"/>
              <w:rPr>
                <w:sz w:val="18"/>
                <w:szCs w:val="18"/>
              </w:rPr>
            </w:pPr>
            <w:r w:rsidRPr="00920A49">
              <w:t> </w:t>
            </w:r>
          </w:p>
        </w:tc>
        <w:tc>
          <w:tcPr>
            <w:tcW w:w="250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D9D9D9"/>
            <w:vAlign w:val="bottom"/>
            <w:hideMark/>
          </w:tcPr>
          <w:p w:rsidRPr="00A7224A" w:rsidR="00A7224A" w:rsidP="00A7224A" w:rsidRDefault="00A7224A" w14:paraId="104A9A4E" w14:textId="77777777">
            <w:pPr>
              <w:widowControl/>
              <w:adjustRightInd/>
              <w:jc w:val="center"/>
              <w:textAlignment w:val="baseline"/>
              <w:rPr>
                <w:sz w:val="18"/>
                <w:szCs w:val="18"/>
              </w:rPr>
            </w:pPr>
            <w:r w:rsidRPr="00920A49">
              <w:rPr>
                <w:b/>
                <w:bCs/>
                <w:color w:val="000000"/>
                <w:sz w:val="22"/>
                <w:szCs w:val="22"/>
              </w:rPr>
              <w:t>Hranica 1 mil. eur</w:t>
            </w:r>
            <w:r w:rsidRPr="00920A4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D9D9D9"/>
            <w:vAlign w:val="bottom"/>
            <w:hideMark/>
          </w:tcPr>
          <w:p w:rsidRPr="00A7224A" w:rsidR="00A7224A" w:rsidP="00A7224A" w:rsidRDefault="00A7224A" w14:paraId="190E536B" w14:textId="77777777">
            <w:pPr>
              <w:widowControl/>
              <w:adjustRightInd/>
              <w:jc w:val="center"/>
              <w:textAlignment w:val="baseline"/>
              <w:rPr>
                <w:sz w:val="18"/>
                <w:szCs w:val="18"/>
              </w:rPr>
            </w:pPr>
            <w:r w:rsidRPr="00920A49">
              <w:rPr>
                <w:b/>
                <w:bCs/>
                <w:color w:val="000000"/>
                <w:sz w:val="22"/>
                <w:szCs w:val="22"/>
              </w:rPr>
              <w:t>Hranica 10 mil. eur</w:t>
            </w:r>
            <w:r w:rsidRPr="00920A4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5" w:type="dxa"/>
            <w:gridSpan w:val="3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D9D9D9"/>
            <w:vAlign w:val="bottom"/>
            <w:hideMark/>
          </w:tcPr>
          <w:p w:rsidRPr="00A7224A" w:rsidR="00A7224A" w:rsidP="00A7224A" w:rsidRDefault="00A7224A" w14:paraId="55A2EDE0" w14:textId="77777777">
            <w:pPr>
              <w:widowControl/>
              <w:adjustRightInd/>
              <w:jc w:val="center"/>
              <w:textAlignment w:val="baseline"/>
              <w:rPr>
                <w:sz w:val="18"/>
                <w:szCs w:val="18"/>
              </w:rPr>
            </w:pPr>
            <w:r w:rsidRPr="00920A49">
              <w:rPr>
                <w:b/>
                <w:bCs/>
                <w:color w:val="000000"/>
                <w:sz w:val="22"/>
                <w:szCs w:val="22"/>
              </w:rPr>
              <w:t>Hranica 10/40 mil. eur</w:t>
            </w:r>
            <w:r w:rsidRPr="00920A49">
              <w:rPr>
                <w:color w:val="000000"/>
                <w:sz w:val="22"/>
                <w:szCs w:val="22"/>
              </w:rPr>
              <w:t> </w:t>
            </w:r>
          </w:p>
        </w:tc>
      </w:tr>
      <w:tr w:rsidRPr="00A7224A" w:rsidR="00A7224A" w:rsidTr="00A7224A" w14:paraId="6E8EAE6B" w14:textId="77777777">
        <w:trPr>
          <w:trHeight w:val="255"/>
        </w:trPr>
        <w:tc>
          <w:tcPr>
            <w:tcW w:w="1515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  <w:vAlign w:val="bottom"/>
            <w:hideMark/>
          </w:tcPr>
          <w:p w:rsidRPr="00A7224A" w:rsidR="00A7224A" w:rsidP="00A7224A" w:rsidRDefault="00A7224A" w14:paraId="369DE06E" w14:textId="77777777">
            <w:pPr>
              <w:widowControl/>
              <w:adjustRightInd/>
              <w:textAlignment w:val="baseline"/>
              <w:rPr>
                <w:sz w:val="18"/>
                <w:szCs w:val="18"/>
              </w:rPr>
            </w:pPr>
            <w:r w:rsidRPr="00920A49">
              <w:rPr>
                <w:b/>
                <w:bCs/>
                <w:color w:val="FFFFFF"/>
                <w:sz w:val="22"/>
                <w:szCs w:val="22"/>
              </w:rPr>
              <w:t> </w:t>
            </w:r>
            <w:r w:rsidRPr="00920A49">
              <w:rPr>
                <w:color w:val="FFFFFF"/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vAlign w:val="bottom"/>
            <w:hideMark/>
          </w:tcPr>
          <w:p w:rsidRPr="00A7224A" w:rsidR="00A7224A" w:rsidP="00A7224A" w:rsidRDefault="00A7224A" w14:paraId="61B7A8C3" w14:textId="77777777">
            <w:pPr>
              <w:widowControl/>
              <w:adjustRightInd/>
              <w:jc w:val="center"/>
              <w:textAlignment w:val="baseline"/>
              <w:rPr>
                <w:sz w:val="18"/>
                <w:szCs w:val="18"/>
              </w:rPr>
            </w:pPr>
            <w:r w:rsidRPr="00920A49">
              <w:rPr>
                <w:b/>
                <w:bCs/>
                <w:sz w:val="22"/>
                <w:szCs w:val="22"/>
              </w:rPr>
              <w:t>Počet</w:t>
            </w:r>
            <w:r w:rsidRPr="00920A49">
              <w:rPr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  <w:vAlign w:val="bottom"/>
            <w:hideMark/>
          </w:tcPr>
          <w:p w:rsidRPr="00A7224A" w:rsidR="00A7224A" w:rsidP="00A7224A" w:rsidRDefault="00A7224A" w14:paraId="5DD221A5" w14:textId="77777777">
            <w:pPr>
              <w:widowControl/>
              <w:adjustRightInd/>
              <w:jc w:val="center"/>
              <w:textAlignment w:val="baseline"/>
              <w:rPr>
                <w:sz w:val="18"/>
                <w:szCs w:val="18"/>
              </w:rPr>
            </w:pPr>
            <w:r w:rsidRPr="00920A49">
              <w:rPr>
                <w:b/>
                <w:bCs/>
                <w:sz w:val="22"/>
                <w:szCs w:val="22"/>
              </w:rPr>
              <w:t>Suma</w:t>
            </w:r>
            <w:r w:rsidRPr="00920A49">
              <w:rPr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  <w:vAlign w:val="bottom"/>
            <w:hideMark/>
          </w:tcPr>
          <w:p w:rsidRPr="00A7224A" w:rsidR="00A7224A" w:rsidP="00A7224A" w:rsidRDefault="00A7224A" w14:paraId="6161AADB" w14:textId="77777777">
            <w:pPr>
              <w:widowControl/>
              <w:adjustRightInd/>
              <w:jc w:val="center"/>
              <w:textAlignment w:val="baseline"/>
              <w:rPr>
                <w:sz w:val="18"/>
                <w:szCs w:val="18"/>
              </w:rPr>
            </w:pPr>
            <w:r w:rsidRPr="00920A49">
              <w:rPr>
                <w:b/>
                <w:bCs/>
                <w:sz w:val="22"/>
                <w:szCs w:val="22"/>
              </w:rPr>
              <w:t>Úspora</w:t>
            </w:r>
            <w:r w:rsidRPr="00920A49">
              <w:rPr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vAlign w:val="bottom"/>
            <w:hideMark/>
          </w:tcPr>
          <w:p w:rsidRPr="00A7224A" w:rsidR="00A7224A" w:rsidP="00A7224A" w:rsidRDefault="00A7224A" w14:paraId="7AE46D52" w14:textId="77777777">
            <w:pPr>
              <w:widowControl/>
              <w:adjustRightInd/>
              <w:jc w:val="center"/>
              <w:textAlignment w:val="baseline"/>
              <w:rPr>
                <w:sz w:val="18"/>
                <w:szCs w:val="18"/>
              </w:rPr>
            </w:pPr>
            <w:r w:rsidRPr="00920A49">
              <w:rPr>
                <w:b/>
                <w:bCs/>
                <w:sz w:val="22"/>
                <w:szCs w:val="22"/>
              </w:rPr>
              <w:t>Počet</w:t>
            </w:r>
            <w:r w:rsidRPr="00920A49">
              <w:rPr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  <w:vAlign w:val="bottom"/>
            <w:hideMark/>
          </w:tcPr>
          <w:p w:rsidRPr="00A7224A" w:rsidR="00A7224A" w:rsidP="00A7224A" w:rsidRDefault="00A7224A" w14:paraId="2842D3DC" w14:textId="77777777">
            <w:pPr>
              <w:widowControl/>
              <w:adjustRightInd/>
              <w:jc w:val="center"/>
              <w:textAlignment w:val="baseline"/>
              <w:rPr>
                <w:sz w:val="18"/>
                <w:szCs w:val="18"/>
              </w:rPr>
            </w:pPr>
            <w:r w:rsidRPr="00920A49">
              <w:rPr>
                <w:b/>
                <w:bCs/>
                <w:sz w:val="22"/>
                <w:szCs w:val="22"/>
              </w:rPr>
              <w:t>Suma</w:t>
            </w:r>
            <w:r w:rsidRPr="00920A49">
              <w:rPr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  <w:vAlign w:val="bottom"/>
            <w:hideMark/>
          </w:tcPr>
          <w:p w:rsidRPr="00A7224A" w:rsidR="00A7224A" w:rsidP="00A7224A" w:rsidRDefault="00A7224A" w14:paraId="26C65625" w14:textId="77777777">
            <w:pPr>
              <w:widowControl/>
              <w:adjustRightInd/>
              <w:jc w:val="center"/>
              <w:textAlignment w:val="baseline"/>
              <w:rPr>
                <w:sz w:val="18"/>
                <w:szCs w:val="18"/>
              </w:rPr>
            </w:pPr>
            <w:r w:rsidRPr="00920A49">
              <w:rPr>
                <w:b/>
                <w:bCs/>
                <w:sz w:val="22"/>
                <w:szCs w:val="22"/>
              </w:rPr>
              <w:t>Úspora</w:t>
            </w:r>
            <w:r w:rsidRPr="00920A49">
              <w:rPr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vAlign w:val="bottom"/>
            <w:hideMark/>
          </w:tcPr>
          <w:p w:rsidRPr="00A7224A" w:rsidR="00A7224A" w:rsidP="00A7224A" w:rsidRDefault="00A7224A" w14:paraId="21E39E43" w14:textId="77777777">
            <w:pPr>
              <w:widowControl/>
              <w:adjustRightInd/>
              <w:jc w:val="center"/>
              <w:textAlignment w:val="baseline"/>
              <w:rPr>
                <w:sz w:val="18"/>
                <w:szCs w:val="18"/>
              </w:rPr>
            </w:pPr>
            <w:r w:rsidRPr="00920A49">
              <w:rPr>
                <w:b/>
                <w:bCs/>
                <w:sz w:val="22"/>
                <w:szCs w:val="22"/>
              </w:rPr>
              <w:t>Počet</w:t>
            </w:r>
            <w:r w:rsidRPr="00920A49">
              <w:rPr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  <w:vAlign w:val="bottom"/>
            <w:hideMark/>
          </w:tcPr>
          <w:p w:rsidRPr="00A7224A" w:rsidR="00A7224A" w:rsidP="00A7224A" w:rsidRDefault="00A7224A" w14:paraId="343B3B7E" w14:textId="77777777">
            <w:pPr>
              <w:widowControl/>
              <w:adjustRightInd/>
              <w:jc w:val="center"/>
              <w:textAlignment w:val="baseline"/>
              <w:rPr>
                <w:sz w:val="18"/>
                <w:szCs w:val="18"/>
              </w:rPr>
            </w:pPr>
            <w:r w:rsidRPr="00920A49">
              <w:rPr>
                <w:b/>
                <w:bCs/>
                <w:sz w:val="22"/>
                <w:szCs w:val="22"/>
              </w:rPr>
              <w:t>Suma</w:t>
            </w:r>
            <w:r w:rsidRPr="00920A49">
              <w:rPr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  <w:vAlign w:val="bottom"/>
            <w:hideMark/>
          </w:tcPr>
          <w:p w:rsidRPr="00A7224A" w:rsidR="00A7224A" w:rsidP="00A7224A" w:rsidRDefault="00A7224A" w14:paraId="5F6631BB" w14:textId="77777777">
            <w:pPr>
              <w:widowControl/>
              <w:adjustRightInd/>
              <w:jc w:val="center"/>
              <w:textAlignment w:val="baseline"/>
              <w:rPr>
                <w:sz w:val="18"/>
                <w:szCs w:val="18"/>
              </w:rPr>
            </w:pPr>
            <w:r w:rsidRPr="00920A49">
              <w:rPr>
                <w:b/>
                <w:bCs/>
                <w:sz w:val="22"/>
                <w:szCs w:val="22"/>
              </w:rPr>
              <w:t>Úspora</w:t>
            </w:r>
            <w:r w:rsidRPr="00920A49">
              <w:rPr>
                <w:sz w:val="22"/>
                <w:szCs w:val="22"/>
              </w:rPr>
              <w:t> </w:t>
            </w:r>
          </w:p>
        </w:tc>
      </w:tr>
      <w:tr w:rsidRPr="00A7224A" w:rsidR="00A7224A" w:rsidTr="00A7224A" w14:paraId="355D010E" w14:textId="77777777">
        <w:trPr>
          <w:trHeight w:val="255"/>
        </w:trPr>
        <w:tc>
          <w:tcPr>
            <w:tcW w:w="1515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7224A" w:rsidR="00A7224A" w:rsidP="00A7224A" w:rsidRDefault="00A7224A" w14:paraId="72C636C1" w14:textId="77777777">
            <w:pPr>
              <w:widowControl/>
              <w:adjustRightInd/>
              <w:textAlignment w:val="baseline"/>
              <w:rPr>
                <w:sz w:val="18"/>
                <w:szCs w:val="18"/>
              </w:rPr>
            </w:pPr>
            <w:r w:rsidRPr="00920A49">
              <w:rPr>
                <w:color w:val="000000"/>
                <w:sz w:val="22"/>
                <w:szCs w:val="22"/>
              </w:rPr>
              <w:t>Automobily 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7224A" w:rsidR="00A7224A" w:rsidP="00A7224A" w:rsidRDefault="00A7224A" w14:paraId="392F7BEE" w14:textId="77777777">
            <w:pPr>
              <w:widowControl/>
              <w:adjustRightInd/>
              <w:jc w:val="right"/>
              <w:textAlignment w:val="baseline"/>
              <w:rPr>
                <w:sz w:val="18"/>
                <w:szCs w:val="18"/>
              </w:rPr>
            </w:pPr>
            <w:r w:rsidRPr="00920A49">
              <w:rPr>
                <w:color w:val="000000"/>
                <w:sz w:val="22"/>
                <w:szCs w:val="22"/>
              </w:rPr>
              <w:t>18 </w:t>
            </w:r>
          </w:p>
        </w:tc>
        <w:tc>
          <w:tcPr>
            <w:tcW w:w="825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7224A" w:rsidR="00A7224A" w:rsidP="00A7224A" w:rsidRDefault="00A7224A" w14:paraId="6DB23000" w14:textId="77777777">
            <w:pPr>
              <w:widowControl/>
              <w:adjustRightInd/>
              <w:jc w:val="right"/>
              <w:textAlignment w:val="baseline"/>
              <w:rPr>
                <w:sz w:val="18"/>
                <w:szCs w:val="18"/>
              </w:rPr>
            </w:pPr>
            <w:r w:rsidRPr="00920A49">
              <w:rPr>
                <w:color w:val="000000"/>
                <w:sz w:val="22"/>
                <w:szCs w:val="22"/>
              </w:rPr>
              <w:t>217 </w:t>
            </w:r>
          </w:p>
        </w:tc>
        <w:tc>
          <w:tcPr>
            <w:tcW w:w="825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7224A" w:rsidR="00A7224A" w:rsidP="00A7224A" w:rsidRDefault="00A7224A" w14:paraId="67E86855" w14:textId="77777777">
            <w:pPr>
              <w:widowControl/>
              <w:adjustRightInd/>
              <w:jc w:val="right"/>
              <w:textAlignment w:val="baseline"/>
              <w:rPr>
                <w:sz w:val="18"/>
                <w:szCs w:val="18"/>
              </w:rPr>
            </w:pPr>
            <w:r w:rsidRPr="00920A49">
              <w:rPr>
                <w:color w:val="000000"/>
                <w:sz w:val="22"/>
                <w:szCs w:val="22"/>
              </w:rPr>
              <w:t>18 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7224A" w:rsidR="00A7224A" w:rsidP="00A7224A" w:rsidRDefault="00A7224A" w14:paraId="59F77A4A" w14:textId="77777777">
            <w:pPr>
              <w:widowControl/>
              <w:adjustRightInd/>
              <w:jc w:val="right"/>
              <w:textAlignment w:val="baseline"/>
              <w:rPr>
                <w:sz w:val="18"/>
                <w:szCs w:val="18"/>
              </w:rPr>
            </w:pPr>
            <w:r w:rsidRPr="00920A49">
              <w:rPr>
                <w:color w:val="000000"/>
                <w:sz w:val="22"/>
                <w:szCs w:val="22"/>
              </w:rPr>
              <w:t>5 </w:t>
            </w:r>
          </w:p>
        </w:tc>
        <w:tc>
          <w:tcPr>
            <w:tcW w:w="825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7224A" w:rsidR="00A7224A" w:rsidP="00A7224A" w:rsidRDefault="00A7224A" w14:paraId="061B5AED" w14:textId="77777777">
            <w:pPr>
              <w:widowControl/>
              <w:adjustRightInd/>
              <w:jc w:val="right"/>
              <w:textAlignment w:val="baseline"/>
              <w:rPr>
                <w:sz w:val="18"/>
                <w:szCs w:val="18"/>
              </w:rPr>
            </w:pPr>
            <w:r w:rsidRPr="00920A49">
              <w:rPr>
                <w:color w:val="000000"/>
                <w:sz w:val="22"/>
                <w:szCs w:val="22"/>
              </w:rPr>
              <w:t>171 </w:t>
            </w:r>
          </w:p>
        </w:tc>
        <w:tc>
          <w:tcPr>
            <w:tcW w:w="825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7224A" w:rsidR="00A7224A" w:rsidP="00A7224A" w:rsidRDefault="00A7224A" w14:paraId="627BFB1B" w14:textId="77777777">
            <w:pPr>
              <w:widowControl/>
              <w:adjustRightInd/>
              <w:jc w:val="right"/>
              <w:textAlignment w:val="baseline"/>
              <w:rPr>
                <w:sz w:val="18"/>
                <w:szCs w:val="18"/>
              </w:rPr>
            </w:pPr>
            <w:r w:rsidRPr="00920A49">
              <w:rPr>
                <w:color w:val="000000"/>
                <w:sz w:val="22"/>
                <w:szCs w:val="22"/>
              </w:rPr>
              <w:t>17 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7224A" w:rsidR="00A7224A" w:rsidP="00A7224A" w:rsidRDefault="00A7224A" w14:paraId="495D1FD0" w14:textId="77777777">
            <w:pPr>
              <w:widowControl/>
              <w:adjustRightInd/>
              <w:jc w:val="right"/>
              <w:textAlignment w:val="baseline"/>
              <w:rPr>
                <w:sz w:val="18"/>
                <w:szCs w:val="18"/>
              </w:rPr>
            </w:pPr>
            <w:r w:rsidRPr="00920A49">
              <w:rPr>
                <w:color w:val="000000"/>
                <w:sz w:val="22"/>
                <w:szCs w:val="22"/>
              </w:rPr>
              <w:t>1 </w:t>
            </w:r>
          </w:p>
        </w:tc>
        <w:tc>
          <w:tcPr>
            <w:tcW w:w="825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7224A" w:rsidR="00A7224A" w:rsidP="00A7224A" w:rsidRDefault="00A7224A" w14:paraId="149A42B6" w14:textId="77777777">
            <w:pPr>
              <w:widowControl/>
              <w:adjustRightInd/>
              <w:jc w:val="right"/>
              <w:textAlignment w:val="baseline"/>
              <w:rPr>
                <w:sz w:val="18"/>
                <w:szCs w:val="18"/>
              </w:rPr>
            </w:pPr>
            <w:r w:rsidRPr="00920A49">
              <w:rPr>
                <w:color w:val="000000"/>
                <w:sz w:val="22"/>
                <w:szCs w:val="22"/>
              </w:rPr>
              <w:t>66 </w:t>
            </w:r>
          </w:p>
        </w:tc>
        <w:tc>
          <w:tcPr>
            <w:tcW w:w="840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7224A" w:rsidR="00A7224A" w:rsidP="00A7224A" w:rsidRDefault="00A7224A" w14:paraId="7CFDF2EA" w14:textId="77777777">
            <w:pPr>
              <w:widowControl/>
              <w:adjustRightInd/>
              <w:jc w:val="right"/>
              <w:textAlignment w:val="baseline"/>
              <w:rPr>
                <w:sz w:val="18"/>
                <w:szCs w:val="18"/>
              </w:rPr>
            </w:pPr>
            <w:r w:rsidRPr="00920A49">
              <w:rPr>
                <w:color w:val="000000"/>
                <w:sz w:val="22"/>
                <w:szCs w:val="22"/>
              </w:rPr>
              <w:t>10 </w:t>
            </w:r>
          </w:p>
        </w:tc>
      </w:tr>
      <w:tr w:rsidRPr="00A7224A" w:rsidR="00A7224A" w:rsidTr="00A7224A" w14:paraId="3A2E10E8" w14:textId="77777777">
        <w:trPr>
          <w:trHeight w:val="255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7224A" w:rsidR="00A7224A" w:rsidP="00A7224A" w:rsidRDefault="00A7224A" w14:paraId="4BFE4E47" w14:textId="77777777">
            <w:pPr>
              <w:widowControl/>
              <w:adjustRightInd/>
              <w:textAlignment w:val="baseline"/>
              <w:rPr>
                <w:sz w:val="18"/>
                <w:szCs w:val="18"/>
              </w:rPr>
            </w:pPr>
            <w:r w:rsidRPr="00920A49">
              <w:rPr>
                <w:color w:val="000000"/>
                <w:sz w:val="22"/>
                <w:szCs w:val="22"/>
              </w:rPr>
              <w:t>Budovy 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7224A" w:rsidR="00A7224A" w:rsidP="00A7224A" w:rsidRDefault="00A7224A" w14:paraId="760DCB9D" w14:textId="77777777">
            <w:pPr>
              <w:widowControl/>
              <w:adjustRightInd/>
              <w:jc w:val="right"/>
              <w:textAlignment w:val="baseline"/>
              <w:rPr>
                <w:sz w:val="18"/>
                <w:szCs w:val="18"/>
              </w:rPr>
            </w:pPr>
            <w:r w:rsidRPr="00920A49">
              <w:rPr>
                <w:color w:val="000000"/>
                <w:sz w:val="22"/>
                <w:szCs w:val="22"/>
              </w:rPr>
              <w:t>58 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7224A" w:rsidR="00A7224A" w:rsidP="00A7224A" w:rsidRDefault="00A7224A" w14:paraId="0A492D5D" w14:textId="77777777">
            <w:pPr>
              <w:widowControl/>
              <w:adjustRightInd/>
              <w:jc w:val="right"/>
              <w:textAlignment w:val="baseline"/>
              <w:rPr>
                <w:sz w:val="18"/>
                <w:szCs w:val="18"/>
              </w:rPr>
            </w:pPr>
            <w:r w:rsidRPr="00920A49">
              <w:rPr>
                <w:color w:val="000000"/>
                <w:sz w:val="22"/>
                <w:szCs w:val="22"/>
              </w:rPr>
              <w:t>1 720 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7224A" w:rsidR="00A7224A" w:rsidP="00A7224A" w:rsidRDefault="00A7224A" w14:paraId="345E0ED8" w14:textId="77777777">
            <w:pPr>
              <w:widowControl/>
              <w:adjustRightInd/>
              <w:jc w:val="right"/>
              <w:textAlignment w:val="baseline"/>
              <w:rPr>
                <w:sz w:val="18"/>
                <w:szCs w:val="18"/>
              </w:rPr>
            </w:pPr>
            <w:r w:rsidRPr="00920A49">
              <w:rPr>
                <w:color w:val="000000"/>
                <w:sz w:val="22"/>
                <w:szCs w:val="22"/>
              </w:rPr>
              <w:t>128 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7224A" w:rsidR="00A7224A" w:rsidP="00A7224A" w:rsidRDefault="00A7224A" w14:paraId="176C47F1" w14:textId="77777777">
            <w:pPr>
              <w:widowControl/>
              <w:adjustRightInd/>
              <w:jc w:val="right"/>
              <w:textAlignment w:val="baseline"/>
              <w:rPr>
                <w:sz w:val="18"/>
                <w:szCs w:val="18"/>
              </w:rPr>
            </w:pPr>
            <w:r w:rsidRPr="00920A49">
              <w:rPr>
                <w:color w:val="000000"/>
                <w:sz w:val="22"/>
                <w:szCs w:val="22"/>
              </w:rPr>
              <w:t>12 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7224A" w:rsidR="00A7224A" w:rsidP="00A7224A" w:rsidRDefault="00A7224A" w14:paraId="3010A95D" w14:textId="77777777">
            <w:pPr>
              <w:widowControl/>
              <w:adjustRightInd/>
              <w:jc w:val="right"/>
              <w:textAlignment w:val="baseline"/>
              <w:rPr>
                <w:sz w:val="18"/>
                <w:szCs w:val="18"/>
              </w:rPr>
            </w:pPr>
            <w:r w:rsidRPr="00920A49">
              <w:rPr>
                <w:color w:val="000000"/>
                <w:sz w:val="22"/>
                <w:szCs w:val="22"/>
              </w:rPr>
              <w:t>1 581 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7224A" w:rsidR="00A7224A" w:rsidP="00A7224A" w:rsidRDefault="00A7224A" w14:paraId="0A3E3333" w14:textId="77777777">
            <w:pPr>
              <w:widowControl/>
              <w:adjustRightInd/>
              <w:jc w:val="right"/>
              <w:textAlignment w:val="baseline"/>
              <w:rPr>
                <w:sz w:val="18"/>
                <w:szCs w:val="18"/>
              </w:rPr>
            </w:pPr>
            <w:r w:rsidRPr="00920A49">
              <w:rPr>
                <w:color w:val="000000"/>
                <w:sz w:val="22"/>
                <w:szCs w:val="22"/>
              </w:rPr>
              <w:t>117 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7224A" w:rsidR="00A7224A" w:rsidP="00A7224A" w:rsidRDefault="00A7224A" w14:paraId="0F3ED9E9" w14:textId="77777777">
            <w:pPr>
              <w:widowControl/>
              <w:adjustRightInd/>
              <w:jc w:val="right"/>
              <w:textAlignment w:val="baseline"/>
              <w:rPr>
                <w:sz w:val="18"/>
                <w:szCs w:val="18"/>
              </w:rPr>
            </w:pPr>
            <w:r w:rsidRPr="00920A49">
              <w:rPr>
                <w:color w:val="000000"/>
                <w:sz w:val="22"/>
                <w:szCs w:val="22"/>
              </w:rPr>
              <w:t>6 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7224A" w:rsidR="00A7224A" w:rsidP="00A7224A" w:rsidRDefault="00A7224A" w14:paraId="793A83D3" w14:textId="77777777">
            <w:pPr>
              <w:widowControl/>
              <w:adjustRightInd/>
              <w:jc w:val="right"/>
              <w:textAlignment w:val="baseline"/>
              <w:rPr>
                <w:sz w:val="18"/>
                <w:szCs w:val="18"/>
              </w:rPr>
            </w:pPr>
            <w:r w:rsidRPr="00920A49">
              <w:rPr>
                <w:color w:val="000000"/>
                <w:sz w:val="22"/>
                <w:szCs w:val="22"/>
              </w:rPr>
              <w:t>1 453 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7224A" w:rsidR="00A7224A" w:rsidP="00A7224A" w:rsidRDefault="00A7224A" w14:paraId="54E04118" w14:textId="77777777">
            <w:pPr>
              <w:widowControl/>
              <w:adjustRightInd/>
              <w:jc w:val="right"/>
              <w:textAlignment w:val="baseline"/>
              <w:rPr>
                <w:sz w:val="18"/>
                <w:szCs w:val="18"/>
              </w:rPr>
            </w:pPr>
            <w:r w:rsidRPr="00920A49">
              <w:rPr>
                <w:color w:val="000000"/>
                <w:sz w:val="22"/>
                <w:szCs w:val="22"/>
              </w:rPr>
              <w:t>115 </w:t>
            </w:r>
          </w:p>
        </w:tc>
      </w:tr>
      <w:tr w:rsidRPr="00A7224A" w:rsidR="00A7224A" w:rsidTr="00A7224A" w14:paraId="4BEC9822" w14:textId="77777777">
        <w:trPr>
          <w:trHeight w:val="255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7224A" w:rsidR="00A7224A" w:rsidP="00A7224A" w:rsidRDefault="00A7224A" w14:paraId="144B704C" w14:textId="77777777">
            <w:pPr>
              <w:widowControl/>
              <w:adjustRightInd/>
              <w:textAlignment w:val="baseline"/>
              <w:rPr>
                <w:sz w:val="18"/>
                <w:szCs w:val="18"/>
              </w:rPr>
            </w:pPr>
            <w:r w:rsidRPr="00920A49">
              <w:rPr>
                <w:color w:val="000000"/>
                <w:sz w:val="22"/>
                <w:szCs w:val="22"/>
              </w:rPr>
              <w:t>Doprava 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7224A" w:rsidR="00A7224A" w:rsidP="00A7224A" w:rsidRDefault="00A7224A" w14:paraId="2D1FC92F" w14:textId="77777777">
            <w:pPr>
              <w:widowControl/>
              <w:adjustRightInd/>
              <w:jc w:val="right"/>
              <w:textAlignment w:val="baseline"/>
              <w:rPr>
                <w:sz w:val="18"/>
                <w:szCs w:val="18"/>
              </w:rPr>
            </w:pPr>
            <w:r w:rsidRPr="00920A49">
              <w:rPr>
                <w:color w:val="000000"/>
                <w:sz w:val="22"/>
                <w:szCs w:val="22"/>
              </w:rPr>
              <w:t>51 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7224A" w:rsidR="00A7224A" w:rsidP="00A7224A" w:rsidRDefault="00A7224A" w14:paraId="3775E50B" w14:textId="77777777">
            <w:pPr>
              <w:widowControl/>
              <w:adjustRightInd/>
              <w:jc w:val="right"/>
              <w:textAlignment w:val="baseline"/>
              <w:rPr>
                <w:sz w:val="18"/>
                <w:szCs w:val="18"/>
              </w:rPr>
            </w:pPr>
            <w:r w:rsidRPr="00920A49">
              <w:rPr>
                <w:color w:val="000000"/>
                <w:sz w:val="22"/>
                <w:szCs w:val="22"/>
              </w:rPr>
              <w:t>5 590 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7224A" w:rsidR="00A7224A" w:rsidP="00A7224A" w:rsidRDefault="00A7224A" w14:paraId="40E0B016" w14:textId="77777777">
            <w:pPr>
              <w:widowControl/>
              <w:adjustRightInd/>
              <w:jc w:val="right"/>
              <w:textAlignment w:val="baseline"/>
              <w:rPr>
                <w:sz w:val="18"/>
                <w:szCs w:val="18"/>
              </w:rPr>
            </w:pPr>
            <w:r w:rsidRPr="00920A49">
              <w:rPr>
                <w:color w:val="000000"/>
                <w:sz w:val="22"/>
                <w:szCs w:val="22"/>
              </w:rPr>
              <w:t>469 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7224A" w:rsidR="00A7224A" w:rsidP="00A7224A" w:rsidRDefault="00A7224A" w14:paraId="06D014B6" w14:textId="77777777">
            <w:pPr>
              <w:widowControl/>
              <w:adjustRightInd/>
              <w:jc w:val="right"/>
              <w:textAlignment w:val="baseline"/>
              <w:rPr>
                <w:sz w:val="18"/>
                <w:szCs w:val="18"/>
              </w:rPr>
            </w:pPr>
            <w:r w:rsidRPr="00920A49">
              <w:rPr>
                <w:color w:val="000000"/>
                <w:sz w:val="22"/>
                <w:szCs w:val="22"/>
              </w:rPr>
              <w:t>30 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7224A" w:rsidR="00A7224A" w:rsidP="00A7224A" w:rsidRDefault="00A7224A" w14:paraId="77B73FFD" w14:textId="77777777">
            <w:pPr>
              <w:widowControl/>
              <w:adjustRightInd/>
              <w:jc w:val="right"/>
              <w:textAlignment w:val="baseline"/>
              <w:rPr>
                <w:sz w:val="18"/>
                <w:szCs w:val="18"/>
              </w:rPr>
            </w:pPr>
            <w:r w:rsidRPr="00920A49">
              <w:rPr>
                <w:color w:val="000000"/>
                <w:sz w:val="22"/>
                <w:szCs w:val="22"/>
              </w:rPr>
              <w:t>5 519 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7224A" w:rsidR="00A7224A" w:rsidP="00A7224A" w:rsidRDefault="00A7224A" w14:paraId="4C1EBDC0" w14:textId="77777777">
            <w:pPr>
              <w:widowControl/>
              <w:adjustRightInd/>
              <w:jc w:val="right"/>
              <w:textAlignment w:val="baseline"/>
              <w:rPr>
                <w:sz w:val="18"/>
                <w:szCs w:val="18"/>
              </w:rPr>
            </w:pPr>
            <w:r w:rsidRPr="00920A49">
              <w:rPr>
                <w:color w:val="000000"/>
                <w:sz w:val="22"/>
                <w:szCs w:val="22"/>
              </w:rPr>
              <w:t>453 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7224A" w:rsidR="00A7224A" w:rsidP="00A7224A" w:rsidRDefault="00A7224A" w14:paraId="52625DDE" w14:textId="77777777">
            <w:pPr>
              <w:widowControl/>
              <w:adjustRightInd/>
              <w:jc w:val="right"/>
              <w:textAlignment w:val="baseline"/>
              <w:rPr>
                <w:sz w:val="18"/>
                <w:szCs w:val="18"/>
              </w:rPr>
            </w:pPr>
            <w:r w:rsidRPr="00920A49">
              <w:rPr>
                <w:color w:val="000000"/>
                <w:sz w:val="22"/>
                <w:szCs w:val="22"/>
              </w:rPr>
              <w:t>19 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7224A" w:rsidR="00A7224A" w:rsidP="00A7224A" w:rsidRDefault="00A7224A" w14:paraId="22B7F5CD" w14:textId="77777777">
            <w:pPr>
              <w:widowControl/>
              <w:adjustRightInd/>
              <w:jc w:val="right"/>
              <w:textAlignment w:val="baseline"/>
              <w:rPr>
                <w:sz w:val="18"/>
                <w:szCs w:val="18"/>
              </w:rPr>
            </w:pPr>
            <w:r w:rsidRPr="00920A49">
              <w:rPr>
                <w:color w:val="000000"/>
                <w:sz w:val="22"/>
                <w:szCs w:val="22"/>
              </w:rPr>
              <w:t>5 336 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7224A" w:rsidR="00A7224A" w:rsidP="00A7224A" w:rsidRDefault="00A7224A" w14:paraId="065D7F62" w14:textId="77777777">
            <w:pPr>
              <w:widowControl/>
              <w:adjustRightInd/>
              <w:jc w:val="right"/>
              <w:textAlignment w:val="baseline"/>
              <w:rPr>
                <w:sz w:val="18"/>
                <w:szCs w:val="18"/>
              </w:rPr>
            </w:pPr>
            <w:r w:rsidRPr="00920A49">
              <w:rPr>
                <w:color w:val="000000"/>
                <w:sz w:val="22"/>
                <w:szCs w:val="22"/>
              </w:rPr>
              <w:t>399 </w:t>
            </w:r>
          </w:p>
        </w:tc>
      </w:tr>
      <w:tr w:rsidRPr="00A7224A" w:rsidR="00A7224A" w:rsidTr="00A7224A" w14:paraId="5CBA3DB4" w14:textId="77777777">
        <w:trPr>
          <w:trHeight w:val="255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7224A" w:rsidR="00A7224A" w:rsidP="00A7224A" w:rsidRDefault="00A7224A" w14:paraId="4E953FC5" w14:textId="77777777">
            <w:pPr>
              <w:widowControl/>
              <w:adjustRightInd/>
              <w:textAlignment w:val="baseline"/>
              <w:rPr>
                <w:sz w:val="18"/>
                <w:szCs w:val="18"/>
              </w:rPr>
            </w:pPr>
            <w:r w:rsidRPr="00920A49">
              <w:rPr>
                <w:color w:val="000000"/>
                <w:sz w:val="22"/>
                <w:szCs w:val="22"/>
              </w:rPr>
              <w:t>IT 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7224A" w:rsidR="00A7224A" w:rsidP="00A7224A" w:rsidRDefault="00A7224A" w14:paraId="4EBC463A" w14:textId="77777777">
            <w:pPr>
              <w:widowControl/>
              <w:adjustRightInd/>
              <w:jc w:val="right"/>
              <w:textAlignment w:val="baseline"/>
              <w:rPr>
                <w:sz w:val="18"/>
                <w:szCs w:val="18"/>
              </w:rPr>
            </w:pPr>
            <w:r w:rsidRPr="00920A49">
              <w:rPr>
                <w:color w:val="000000"/>
                <w:sz w:val="22"/>
                <w:szCs w:val="22"/>
              </w:rPr>
              <w:t>78 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7224A" w:rsidR="00A7224A" w:rsidP="00A7224A" w:rsidRDefault="00A7224A" w14:paraId="27DEFADC" w14:textId="77777777">
            <w:pPr>
              <w:widowControl/>
              <w:adjustRightInd/>
              <w:jc w:val="right"/>
              <w:textAlignment w:val="baseline"/>
              <w:rPr>
                <w:sz w:val="18"/>
                <w:szCs w:val="18"/>
              </w:rPr>
            </w:pPr>
            <w:r w:rsidRPr="00920A49">
              <w:rPr>
                <w:color w:val="000000"/>
                <w:sz w:val="22"/>
                <w:szCs w:val="22"/>
              </w:rPr>
              <w:t>571 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7224A" w:rsidR="00A7224A" w:rsidP="00A7224A" w:rsidRDefault="00A7224A" w14:paraId="304A90F5" w14:textId="77777777">
            <w:pPr>
              <w:widowControl/>
              <w:adjustRightInd/>
              <w:jc w:val="right"/>
              <w:textAlignment w:val="baseline"/>
              <w:rPr>
                <w:sz w:val="18"/>
                <w:szCs w:val="18"/>
              </w:rPr>
            </w:pPr>
            <w:r w:rsidRPr="00920A49">
              <w:rPr>
                <w:color w:val="000000"/>
                <w:sz w:val="22"/>
                <w:szCs w:val="22"/>
              </w:rPr>
              <w:t>29 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7224A" w:rsidR="00A7224A" w:rsidP="00A7224A" w:rsidRDefault="00A7224A" w14:paraId="37A7C1F9" w14:textId="77777777">
            <w:pPr>
              <w:widowControl/>
              <w:adjustRightInd/>
              <w:jc w:val="right"/>
              <w:textAlignment w:val="baseline"/>
              <w:rPr>
                <w:sz w:val="18"/>
                <w:szCs w:val="18"/>
              </w:rPr>
            </w:pPr>
            <w:r w:rsidRPr="00920A49">
              <w:rPr>
                <w:color w:val="000000"/>
                <w:sz w:val="22"/>
                <w:szCs w:val="22"/>
              </w:rPr>
              <w:t>12 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7224A" w:rsidR="00A7224A" w:rsidP="00A7224A" w:rsidRDefault="00A7224A" w14:paraId="39C9456C" w14:textId="77777777">
            <w:pPr>
              <w:widowControl/>
              <w:adjustRightInd/>
              <w:jc w:val="right"/>
              <w:textAlignment w:val="baseline"/>
              <w:rPr>
                <w:sz w:val="18"/>
                <w:szCs w:val="18"/>
              </w:rPr>
            </w:pPr>
            <w:r w:rsidRPr="00920A49">
              <w:rPr>
                <w:color w:val="000000"/>
                <w:sz w:val="22"/>
                <w:szCs w:val="22"/>
              </w:rPr>
              <w:t>298 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7224A" w:rsidR="00A7224A" w:rsidP="00A7224A" w:rsidRDefault="00A7224A" w14:paraId="79792383" w14:textId="77777777">
            <w:pPr>
              <w:widowControl/>
              <w:adjustRightInd/>
              <w:jc w:val="right"/>
              <w:textAlignment w:val="baseline"/>
              <w:rPr>
                <w:sz w:val="18"/>
                <w:szCs w:val="18"/>
              </w:rPr>
            </w:pPr>
            <w:r w:rsidRPr="00920A49">
              <w:rPr>
                <w:color w:val="000000"/>
                <w:sz w:val="22"/>
                <w:szCs w:val="22"/>
              </w:rPr>
              <w:t>8 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7224A" w:rsidR="00A7224A" w:rsidP="00A7224A" w:rsidRDefault="00A7224A" w14:paraId="37544C48" w14:textId="77777777">
            <w:pPr>
              <w:widowControl/>
              <w:adjustRightInd/>
              <w:jc w:val="right"/>
              <w:textAlignment w:val="baseline"/>
              <w:rPr>
                <w:sz w:val="18"/>
                <w:szCs w:val="18"/>
              </w:rPr>
            </w:pPr>
            <w:r w:rsidRPr="00920A49">
              <w:rPr>
                <w:color w:val="000000"/>
                <w:sz w:val="22"/>
                <w:szCs w:val="22"/>
              </w:rPr>
              <w:t>12 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7224A" w:rsidR="00A7224A" w:rsidP="00A7224A" w:rsidRDefault="00A7224A" w14:paraId="37FF2B04" w14:textId="77777777">
            <w:pPr>
              <w:widowControl/>
              <w:adjustRightInd/>
              <w:jc w:val="right"/>
              <w:textAlignment w:val="baseline"/>
              <w:rPr>
                <w:sz w:val="18"/>
                <w:szCs w:val="18"/>
              </w:rPr>
            </w:pPr>
            <w:r w:rsidRPr="00920A49">
              <w:rPr>
                <w:color w:val="000000"/>
                <w:sz w:val="22"/>
                <w:szCs w:val="22"/>
              </w:rPr>
              <w:t>298 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7224A" w:rsidR="00A7224A" w:rsidP="00A7224A" w:rsidRDefault="00A7224A" w14:paraId="53220F85" w14:textId="77777777">
            <w:pPr>
              <w:widowControl/>
              <w:adjustRightInd/>
              <w:jc w:val="right"/>
              <w:textAlignment w:val="baseline"/>
              <w:rPr>
                <w:sz w:val="18"/>
                <w:szCs w:val="18"/>
              </w:rPr>
            </w:pPr>
            <w:r w:rsidRPr="00920A49">
              <w:rPr>
                <w:color w:val="000000"/>
                <w:sz w:val="22"/>
                <w:szCs w:val="22"/>
              </w:rPr>
              <w:t>8 </w:t>
            </w:r>
          </w:p>
        </w:tc>
      </w:tr>
      <w:tr w:rsidRPr="00A7224A" w:rsidR="00A7224A" w:rsidTr="00A7224A" w14:paraId="53220726" w14:textId="77777777">
        <w:trPr>
          <w:trHeight w:val="255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7224A" w:rsidR="00A7224A" w:rsidP="00A7224A" w:rsidRDefault="00A7224A" w14:paraId="6FDDFACE" w14:textId="77777777">
            <w:pPr>
              <w:widowControl/>
              <w:adjustRightInd/>
              <w:textAlignment w:val="baseline"/>
              <w:rPr>
                <w:sz w:val="18"/>
                <w:szCs w:val="18"/>
              </w:rPr>
            </w:pPr>
            <w:r w:rsidRPr="00920A49">
              <w:rPr>
                <w:color w:val="000000"/>
                <w:sz w:val="22"/>
                <w:szCs w:val="22"/>
              </w:rPr>
              <w:t>Obrana 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7224A" w:rsidR="00A7224A" w:rsidP="00A7224A" w:rsidRDefault="00A7224A" w14:paraId="31EB9790" w14:textId="77777777">
            <w:pPr>
              <w:widowControl/>
              <w:adjustRightInd/>
              <w:jc w:val="right"/>
              <w:textAlignment w:val="baseline"/>
              <w:rPr>
                <w:sz w:val="18"/>
                <w:szCs w:val="18"/>
              </w:rPr>
            </w:pPr>
            <w:r w:rsidRPr="00920A49">
              <w:rPr>
                <w:color w:val="000000"/>
                <w:sz w:val="22"/>
                <w:szCs w:val="22"/>
              </w:rPr>
              <w:t>8 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7224A" w:rsidR="00A7224A" w:rsidP="00A7224A" w:rsidRDefault="00A7224A" w14:paraId="36224A5A" w14:textId="77777777">
            <w:pPr>
              <w:widowControl/>
              <w:adjustRightInd/>
              <w:jc w:val="right"/>
              <w:textAlignment w:val="baseline"/>
              <w:rPr>
                <w:sz w:val="18"/>
                <w:szCs w:val="18"/>
              </w:rPr>
            </w:pPr>
            <w:r w:rsidRPr="00920A49">
              <w:rPr>
                <w:color w:val="000000"/>
                <w:sz w:val="22"/>
                <w:szCs w:val="22"/>
              </w:rPr>
              <w:t>2 202 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7224A" w:rsidR="00A7224A" w:rsidP="00A7224A" w:rsidRDefault="00A7224A" w14:paraId="5C8B2CC5" w14:textId="77777777">
            <w:pPr>
              <w:widowControl/>
              <w:adjustRightInd/>
              <w:jc w:val="right"/>
              <w:textAlignment w:val="baseline"/>
              <w:rPr>
                <w:sz w:val="18"/>
                <w:szCs w:val="18"/>
              </w:rPr>
            </w:pPr>
            <w:r w:rsidRPr="00920A49">
              <w:rPr>
                <w:color w:val="000000"/>
                <w:sz w:val="22"/>
                <w:szCs w:val="22"/>
              </w:rPr>
              <w:t>N/A 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7224A" w:rsidR="00A7224A" w:rsidP="00A7224A" w:rsidRDefault="00A7224A" w14:paraId="624165BE" w14:textId="77777777">
            <w:pPr>
              <w:widowControl/>
              <w:adjustRightInd/>
              <w:jc w:val="right"/>
              <w:textAlignment w:val="baseline"/>
              <w:rPr>
                <w:sz w:val="18"/>
                <w:szCs w:val="18"/>
              </w:rPr>
            </w:pPr>
            <w:r w:rsidRPr="00920A49">
              <w:rPr>
                <w:color w:val="000000"/>
                <w:sz w:val="22"/>
                <w:szCs w:val="22"/>
              </w:rPr>
              <w:t>5 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7224A" w:rsidR="00A7224A" w:rsidP="00A7224A" w:rsidRDefault="00A7224A" w14:paraId="01E9249C" w14:textId="77777777">
            <w:pPr>
              <w:widowControl/>
              <w:adjustRightInd/>
              <w:jc w:val="right"/>
              <w:textAlignment w:val="baseline"/>
              <w:rPr>
                <w:sz w:val="18"/>
                <w:szCs w:val="18"/>
              </w:rPr>
            </w:pPr>
            <w:r w:rsidRPr="00920A49">
              <w:rPr>
                <w:color w:val="000000"/>
                <w:sz w:val="22"/>
                <w:szCs w:val="22"/>
              </w:rPr>
              <w:t>2 182 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7224A" w:rsidR="00A7224A" w:rsidP="00A7224A" w:rsidRDefault="00A7224A" w14:paraId="682E2E71" w14:textId="77777777">
            <w:pPr>
              <w:widowControl/>
              <w:adjustRightInd/>
              <w:jc w:val="right"/>
              <w:textAlignment w:val="baseline"/>
              <w:rPr>
                <w:sz w:val="18"/>
                <w:szCs w:val="18"/>
              </w:rPr>
            </w:pPr>
            <w:r w:rsidRPr="00920A49">
              <w:rPr>
                <w:color w:val="000000"/>
                <w:sz w:val="22"/>
                <w:szCs w:val="22"/>
              </w:rPr>
              <w:t>- 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7224A" w:rsidR="00A7224A" w:rsidP="00A7224A" w:rsidRDefault="00A7224A" w14:paraId="4EB8809D" w14:textId="77777777">
            <w:pPr>
              <w:widowControl/>
              <w:adjustRightInd/>
              <w:jc w:val="right"/>
              <w:textAlignment w:val="baseline"/>
              <w:rPr>
                <w:sz w:val="18"/>
                <w:szCs w:val="18"/>
              </w:rPr>
            </w:pPr>
            <w:r w:rsidRPr="00920A49">
              <w:rPr>
                <w:color w:val="000000"/>
                <w:sz w:val="22"/>
                <w:szCs w:val="22"/>
              </w:rPr>
              <w:t>2 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7224A" w:rsidR="00A7224A" w:rsidP="00A7224A" w:rsidRDefault="00A7224A" w14:paraId="172AF688" w14:textId="77777777">
            <w:pPr>
              <w:widowControl/>
              <w:adjustRightInd/>
              <w:jc w:val="right"/>
              <w:textAlignment w:val="baseline"/>
              <w:rPr>
                <w:sz w:val="18"/>
                <w:szCs w:val="18"/>
              </w:rPr>
            </w:pPr>
            <w:r w:rsidRPr="00920A49">
              <w:rPr>
                <w:color w:val="000000"/>
                <w:sz w:val="22"/>
                <w:szCs w:val="22"/>
              </w:rPr>
              <w:t>2 142 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7224A" w:rsidR="00A7224A" w:rsidP="00A7224A" w:rsidRDefault="00A7224A" w14:paraId="66407DAB" w14:textId="77777777">
            <w:pPr>
              <w:widowControl/>
              <w:adjustRightInd/>
              <w:jc w:val="right"/>
              <w:textAlignment w:val="baseline"/>
              <w:rPr>
                <w:sz w:val="18"/>
                <w:szCs w:val="18"/>
              </w:rPr>
            </w:pPr>
            <w:r w:rsidRPr="00920A49">
              <w:rPr>
                <w:color w:val="000000"/>
                <w:sz w:val="22"/>
                <w:szCs w:val="22"/>
              </w:rPr>
              <w:t>N/A </w:t>
            </w:r>
          </w:p>
        </w:tc>
      </w:tr>
      <w:tr w:rsidRPr="00A7224A" w:rsidR="00A7224A" w:rsidTr="00A7224A" w14:paraId="7570BF16" w14:textId="77777777">
        <w:trPr>
          <w:trHeight w:val="255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7224A" w:rsidR="00A7224A" w:rsidP="00A7224A" w:rsidRDefault="00A7224A" w14:paraId="5B792A93" w14:textId="77777777">
            <w:pPr>
              <w:widowControl/>
              <w:adjustRightInd/>
              <w:textAlignment w:val="baseline"/>
              <w:rPr>
                <w:sz w:val="18"/>
                <w:szCs w:val="18"/>
              </w:rPr>
            </w:pPr>
            <w:r w:rsidRPr="00920A49">
              <w:rPr>
                <w:color w:val="000000"/>
                <w:sz w:val="22"/>
                <w:szCs w:val="22"/>
              </w:rPr>
              <w:t>Ostatné 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7224A" w:rsidR="00A7224A" w:rsidP="00A7224A" w:rsidRDefault="00A7224A" w14:paraId="52632736" w14:textId="77777777">
            <w:pPr>
              <w:widowControl/>
              <w:adjustRightInd/>
              <w:jc w:val="right"/>
              <w:textAlignment w:val="baseline"/>
              <w:rPr>
                <w:sz w:val="18"/>
                <w:szCs w:val="18"/>
              </w:rPr>
            </w:pPr>
            <w:r w:rsidRPr="00920A49">
              <w:rPr>
                <w:color w:val="000000"/>
                <w:sz w:val="22"/>
                <w:szCs w:val="22"/>
              </w:rPr>
              <w:t>18 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7224A" w:rsidR="00A7224A" w:rsidP="00A7224A" w:rsidRDefault="00A7224A" w14:paraId="40E42C57" w14:textId="77777777">
            <w:pPr>
              <w:widowControl/>
              <w:adjustRightInd/>
              <w:jc w:val="right"/>
              <w:textAlignment w:val="baseline"/>
              <w:rPr>
                <w:sz w:val="18"/>
                <w:szCs w:val="18"/>
              </w:rPr>
            </w:pPr>
            <w:r w:rsidRPr="00920A49">
              <w:rPr>
                <w:color w:val="000000"/>
                <w:sz w:val="22"/>
                <w:szCs w:val="22"/>
              </w:rPr>
              <w:t>48 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A7224A" w:rsidR="00A7224A" w:rsidP="00A7224A" w:rsidRDefault="00A7224A" w14:paraId="0C85EAC3" w14:textId="77777777">
            <w:pPr>
              <w:widowControl/>
              <w:adjustRightInd/>
              <w:jc w:val="right"/>
              <w:textAlignment w:val="baseline"/>
              <w:rPr>
                <w:sz w:val="18"/>
                <w:szCs w:val="18"/>
              </w:rPr>
            </w:pPr>
            <w:r w:rsidRPr="00920A49">
              <w:rPr>
                <w:color w:val="000000"/>
                <w:sz w:val="22"/>
                <w:szCs w:val="22"/>
              </w:rPr>
              <w:t>4 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7224A" w:rsidR="00A7224A" w:rsidP="00A7224A" w:rsidRDefault="00A7224A" w14:paraId="088BF690" w14:textId="77777777">
            <w:pPr>
              <w:widowControl/>
              <w:adjustRightInd/>
              <w:jc w:val="right"/>
              <w:textAlignment w:val="baseline"/>
              <w:rPr>
                <w:sz w:val="18"/>
                <w:szCs w:val="18"/>
              </w:rPr>
            </w:pPr>
            <w:r w:rsidRPr="00920A49">
              <w:rPr>
                <w:color w:val="000000"/>
                <w:sz w:val="22"/>
                <w:szCs w:val="22"/>
              </w:rPr>
              <w:t>-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7224A" w:rsidR="00A7224A" w:rsidP="00A7224A" w:rsidRDefault="00A7224A" w14:paraId="7C7E9CDE" w14:textId="77777777">
            <w:pPr>
              <w:widowControl/>
              <w:adjustRightInd/>
              <w:jc w:val="right"/>
              <w:textAlignment w:val="baseline"/>
              <w:rPr>
                <w:sz w:val="18"/>
                <w:szCs w:val="18"/>
              </w:rPr>
            </w:pPr>
            <w:r w:rsidRPr="00920A49">
              <w:rPr>
                <w:color w:val="000000"/>
                <w:sz w:val="22"/>
                <w:szCs w:val="22"/>
              </w:rPr>
              <w:t>-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7224A" w:rsidR="00A7224A" w:rsidP="00A7224A" w:rsidRDefault="00A7224A" w14:paraId="2054F772" w14:textId="77777777">
            <w:pPr>
              <w:widowControl/>
              <w:adjustRightInd/>
              <w:jc w:val="right"/>
              <w:textAlignment w:val="baseline"/>
              <w:rPr>
                <w:sz w:val="18"/>
                <w:szCs w:val="18"/>
              </w:rPr>
            </w:pPr>
            <w:r w:rsidRPr="00920A49">
              <w:rPr>
                <w:color w:val="000000"/>
                <w:sz w:val="22"/>
                <w:szCs w:val="22"/>
              </w:rPr>
              <w:t>- 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7224A" w:rsidR="00A7224A" w:rsidP="00A7224A" w:rsidRDefault="00A7224A" w14:paraId="76A5A18F" w14:textId="77777777">
            <w:pPr>
              <w:widowControl/>
              <w:adjustRightInd/>
              <w:jc w:val="right"/>
              <w:textAlignment w:val="baseline"/>
              <w:rPr>
                <w:sz w:val="18"/>
                <w:szCs w:val="18"/>
              </w:rPr>
            </w:pPr>
            <w:r w:rsidRPr="00920A49">
              <w:rPr>
                <w:color w:val="000000"/>
                <w:sz w:val="22"/>
                <w:szCs w:val="22"/>
              </w:rPr>
              <w:t>0 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7224A" w:rsidR="00A7224A" w:rsidP="00A7224A" w:rsidRDefault="00A7224A" w14:paraId="4B33E049" w14:textId="77777777">
            <w:pPr>
              <w:widowControl/>
              <w:adjustRightInd/>
              <w:jc w:val="right"/>
              <w:textAlignment w:val="baseline"/>
              <w:rPr>
                <w:sz w:val="18"/>
                <w:szCs w:val="18"/>
              </w:rPr>
            </w:pPr>
            <w:r w:rsidRPr="00920A49">
              <w:rPr>
                <w:color w:val="000000"/>
                <w:sz w:val="22"/>
                <w:szCs w:val="22"/>
              </w:rPr>
              <w:t>-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7224A" w:rsidR="00A7224A" w:rsidP="00A7224A" w:rsidRDefault="00A7224A" w14:paraId="20303BBF" w14:textId="77777777">
            <w:pPr>
              <w:widowControl/>
              <w:adjustRightInd/>
              <w:jc w:val="right"/>
              <w:textAlignment w:val="baseline"/>
              <w:rPr>
                <w:sz w:val="18"/>
                <w:szCs w:val="18"/>
              </w:rPr>
            </w:pPr>
            <w:r w:rsidRPr="00920A49">
              <w:rPr>
                <w:color w:val="000000"/>
                <w:sz w:val="22"/>
                <w:szCs w:val="22"/>
              </w:rPr>
              <w:t>- </w:t>
            </w:r>
          </w:p>
        </w:tc>
      </w:tr>
      <w:tr w:rsidRPr="00A7224A" w:rsidR="00A7224A" w:rsidTr="00A7224A" w14:paraId="3C5CDE8E" w14:textId="77777777">
        <w:trPr>
          <w:trHeight w:val="255"/>
        </w:trPr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  <w:vAlign w:val="bottom"/>
            <w:hideMark/>
          </w:tcPr>
          <w:p w:rsidRPr="00A7224A" w:rsidR="00A7224A" w:rsidP="00A7224A" w:rsidRDefault="00A7224A" w14:paraId="015FB1BF" w14:textId="77777777">
            <w:pPr>
              <w:widowControl/>
              <w:adjustRightInd/>
              <w:textAlignment w:val="baseline"/>
              <w:rPr>
                <w:sz w:val="18"/>
                <w:szCs w:val="18"/>
              </w:rPr>
            </w:pPr>
            <w:r w:rsidRPr="00920A49">
              <w:rPr>
                <w:color w:val="000000"/>
                <w:sz w:val="22"/>
                <w:szCs w:val="22"/>
              </w:rPr>
              <w:t>Zdravie 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vAlign w:val="bottom"/>
            <w:hideMark/>
          </w:tcPr>
          <w:p w:rsidRPr="00A7224A" w:rsidR="00A7224A" w:rsidP="00A7224A" w:rsidRDefault="00A7224A" w14:paraId="4F329E83" w14:textId="77777777">
            <w:pPr>
              <w:widowControl/>
              <w:adjustRightInd/>
              <w:jc w:val="right"/>
              <w:textAlignment w:val="baseline"/>
              <w:rPr>
                <w:sz w:val="18"/>
                <w:szCs w:val="18"/>
              </w:rPr>
            </w:pPr>
            <w:r w:rsidRPr="00920A49">
              <w:rPr>
                <w:color w:val="000000"/>
                <w:sz w:val="22"/>
                <w:szCs w:val="22"/>
              </w:rPr>
              <w:t>16 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  <w:vAlign w:val="bottom"/>
            <w:hideMark/>
          </w:tcPr>
          <w:p w:rsidRPr="00A7224A" w:rsidR="00A7224A" w:rsidP="00A7224A" w:rsidRDefault="00A7224A" w14:paraId="63F7F549" w14:textId="77777777">
            <w:pPr>
              <w:widowControl/>
              <w:adjustRightInd/>
              <w:jc w:val="right"/>
              <w:textAlignment w:val="baseline"/>
              <w:rPr>
                <w:sz w:val="18"/>
                <w:szCs w:val="18"/>
              </w:rPr>
            </w:pPr>
            <w:r w:rsidRPr="00920A49">
              <w:rPr>
                <w:color w:val="000000"/>
                <w:sz w:val="22"/>
                <w:szCs w:val="22"/>
              </w:rPr>
              <w:t>53 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  <w:vAlign w:val="bottom"/>
            <w:hideMark/>
          </w:tcPr>
          <w:p w:rsidRPr="00A7224A" w:rsidR="00A7224A" w:rsidP="00A7224A" w:rsidRDefault="00A7224A" w14:paraId="3A89D3D3" w14:textId="77777777">
            <w:pPr>
              <w:widowControl/>
              <w:adjustRightInd/>
              <w:jc w:val="right"/>
              <w:textAlignment w:val="baseline"/>
              <w:rPr>
                <w:sz w:val="18"/>
                <w:szCs w:val="18"/>
              </w:rPr>
            </w:pPr>
            <w:r w:rsidRPr="00920A49">
              <w:rPr>
                <w:color w:val="000000"/>
                <w:sz w:val="22"/>
                <w:szCs w:val="22"/>
              </w:rPr>
              <w:t>4 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vAlign w:val="bottom"/>
            <w:hideMark/>
          </w:tcPr>
          <w:p w:rsidRPr="00A7224A" w:rsidR="00A7224A" w:rsidP="00A7224A" w:rsidRDefault="00A7224A" w14:paraId="54902B7B" w14:textId="77777777">
            <w:pPr>
              <w:widowControl/>
              <w:adjustRightInd/>
              <w:jc w:val="right"/>
              <w:textAlignment w:val="baseline"/>
              <w:rPr>
                <w:sz w:val="18"/>
                <w:szCs w:val="18"/>
              </w:rPr>
            </w:pPr>
            <w:r w:rsidRPr="00920A49">
              <w:rPr>
                <w:color w:val="000000"/>
                <w:sz w:val="22"/>
                <w:szCs w:val="22"/>
              </w:rPr>
              <w:t>1 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  <w:vAlign w:val="bottom"/>
            <w:hideMark/>
          </w:tcPr>
          <w:p w:rsidRPr="00A7224A" w:rsidR="00A7224A" w:rsidP="00A7224A" w:rsidRDefault="00A7224A" w14:paraId="39E0E1C1" w14:textId="77777777">
            <w:pPr>
              <w:widowControl/>
              <w:adjustRightInd/>
              <w:jc w:val="right"/>
              <w:textAlignment w:val="baseline"/>
              <w:rPr>
                <w:sz w:val="18"/>
                <w:szCs w:val="18"/>
              </w:rPr>
            </w:pPr>
            <w:r w:rsidRPr="00920A49">
              <w:rPr>
                <w:color w:val="000000"/>
                <w:sz w:val="22"/>
                <w:szCs w:val="22"/>
              </w:rPr>
              <w:t>17 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  <w:vAlign w:val="bottom"/>
            <w:hideMark/>
          </w:tcPr>
          <w:p w:rsidRPr="00A7224A" w:rsidR="00A7224A" w:rsidP="00A7224A" w:rsidRDefault="00A7224A" w14:paraId="03417B50" w14:textId="77777777">
            <w:pPr>
              <w:widowControl/>
              <w:adjustRightInd/>
              <w:jc w:val="right"/>
              <w:textAlignment w:val="baseline"/>
              <w:rPr>
                <w:sz w:val="18"/>
                <w:szCs w:val="18"/>
              </w:rPr>
            </w:pPr>
            <w:r w:rsidRPr="00920A49">
              <w:rPr>
                <w:color w:val="000000"/>
                <w:sz w:val="22"/>
                <w:szCs w:val="22"/>
              </w:rPr>
              <w:t>- 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vAlign w:val="bottom"/>
            <w:hideMark/>
          </w:tcPr>
          <w:p w:rsidRPr="00A7224A" w:rsidR="00A7224A" w:rsidP="00A7224A" w:rsidRDefault="00A7224A" w14:paraId="02246982" w14:textId="77777777">
            <w:pPr>
              <w:widowControl/>
              <w:adjustRightInd/>
              <w:jc w:val="right"/>
              <w:textAlignment w:val="baseline"/>
              <w:rPr>
                <w:sz w:val="18"/>
                <w:szCs w:val="18"/>
              </w:rPr>
            </w:pPr>
            <w:r w:rsidRPr="00920A49">
              <w:rPr>
                <w:color w:val="000000"/>
                <w:sz w:val="22"/>
                <w:szCs w:val="22"/>
              </w:rPr>
              <w:t>0 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  <w:vAlign w:val="bottom"/>
            <w:hideMark/>
          </w:tcPr>
          <w:p w:rsidRPr="00A7224A" w:rsidR="00A7224A" w:rsidP="00A7224A" w:rsidRDefault="00A7224A" w14:paraId="49F0519B" w14:textId="77777777">
            <w:pPr>
              <w:widowControl/>
              <w:adjustRightInd/>
              <w:jc w:val="right"/>
              <w:textAlignment w:val="baseline"/>
              <w:rPr>
                <w:sz w:val="18"/>
                <w:szCs w:val="18"/>
              </w:rPr>
            </w:pPr>
            <w:r w:rsidRPr="00920A49">
              <w:rPr>
                <w:color w:val="000000"/>
                <w:sz w:val="22"/>
                <w:szCs w:val="22"/>
              </w:rPr>
              <w:t>- 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  <w:vAlign w:val="bottom"/>
            <w:hideMark/>
          </w:tcPr>
          <w:p w:rsidRPr="00A7224A" w:rsidR="00A7224A" w:rsidP="00A7224A" w:rsidRDefault="00A7224A" w14:paraId="23778CAF" w14:textId="77777777">
            <w:pPr>
              <w:widowControl/>
              <w:adjustRightInd/>
              <w:jc w:val="right"/>
              <w:textAlignment w:val="baseline"/>
              <w:rPr>
                <w:sz w:val="18"/>
                <w:szCs w:val="18"/>
              </w:rPr>
            </w:pPr>
            <w:r w:rsidRPr="00920A49">
              <w:rPr>
                <w:color w:val="000000"/>
                <w:sz w:val="22"/>
                <w:szCs w:val="22"/>
              </w:rPr>
              <w:t>- </w:t>
            </w:r>
          </w:p>
        </w:tc>
      </w:tr>
      <w:tr w:rsidRPr="00A7224A" w:rsidR="00A7224A" w:rsidTr="00A7224A" w14:paraId="5D50A20C" w14:textId="77777777">
        <w:trPr>
          <w:trHeight w:val="255"/>
        </w:trPr>
        <w:tc>
          <w:tcPr>
            <w:tcW w:w="1515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  <w:vAlign w:val="bottom"/>
            <w:hideMark/>
          </w:tcPr>
          <w:p w:rsidRPr="00A7224A" w:rsidR="00A7224A" w:rsidP="00A7224A" w:rsidRDefault="00A7224A" w14:paraId="51D2C447" w14:textId="77777777">
            <w:pPr>
              <w:widowControl/>
              <w:adjustRightInd/>
              <w:textAlignment w:val="baseline"/>
              <w:rPr>
                <w:sz w:val="18"/>
                <w:szCs w:val="18"/>
              </w:rPr>
            </w:pPr>
            <w:r w:rsidRPr="00920A49">
              <w:rPr>
                <w:b/>
                <w:bCs/>
                <w:color w:val="000000"/>
                <w:sz w:val="22"/>
                <w:szCs w:val="22"/>
              </w:rPr>
              <w:t>Spolu</w:t>
            </w:r>
            <w:r w:rsidRPr="00920A4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vAlign w:val="bottom"/>
            <w:hideMark/>
          </w:tcPr>
          <w:p w:rsidRPr="00A7224A" w:rsidR="00A7224A" w:rsidP="00A7224A" w:rsidRDefault="00A7224A" w14:paraId="1DC0B7B4" w14:textId="77777777">
            <w:pPr>
              <w:widowControl/>
              <w:adjustRightInd/>
              <w:jc w:val="right"/>
              <w:textAlignment w:val="baseline"/>
              <w:rPr>
                <w:sz w:val="18"/>
                <w:szCs w:val="18"/>
              </w:rPr>
            </w:pPr>
            <w:r w:rsidRPr="00920A49">
              <w:rPr>
                <w:b/>
                <w:bCs/>
                <w:color w:val="000000"/>
                <w:sz w:val="22"/>
                <w:szCs w:val="22"/>
              </w:rPr>
              <w:t>247</w:t>
            </w:r>
            <w:r w:rsidRPr="00920A4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  <w:vAlign w:val="bottom"/>
            <w:hideMark/>
          </w:tcPr>
          <w:p w:rsidRPr="00A7224A" w:rsidR="00A7224A" w:rsidP="00A7224A" w:rsidRDefault="00A7224A" w14:paraId="05543B0D" w14:textId="77777777">
            <w:pPr>
              <w:widowControl/>
              <w:adjustRightInd/>
              <w:jc w:val="right"/>
              <w:textAlignment w:val="baseline"/>
              <w:rPr>
                <w:sz w:val="18"/>
                <w:szCs w:val="18"/>
              </w:rPr>
            </w:pPr>
            <w:r w:rsidRPr="00920A49">
              <w:rPr>
                <w:b/>
                <w:bCs/>
                <w:color w:val="000000"/>
                <w:sz w:val="22"/>
                <w:szCs w:val="22"/>
              </w:rPr>
              <w:t>10 401</w:t>
            </w:r>
            <w:r w:rsidRPr="00920A4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  <w:vAlign w:val="bottom"/>
            <w:hideMark/>
          </w:tcPr>
          <w:p w:rsidRPr="00A7224A" w:rsidR="00A7224A" w:rsidP="00A7224A" w:rsidRDefault="00A7224A" w14:paraId="0B6A2037" w14:textId="77777777">
            <w:pPr>
              <w:widowControl/>
              <w:adjustRightInd/>
              <w:jc w:val="right"/>
              <w:textAlignment w:val="baseline"/>
              <w:rPr>
                <w:sz w:val="18"/>
                <w:szCs w:val="18"/>
              </w:rPr>
            </w:pPr>
            <w:r w:rsidRPr="00920A49">
              <w:rPr>
                <w:b/>
                <w:bCs/>
                <w:color w:val="000000"/>
                <w:sz w:val="22"/>
                <w:szCs w:val="22"/>
              </w:rPr>
              <w:t>653</w:t>
            </w:r>
            <w:r w:rsidRPr="00920A4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vAlign w:val="bottom"/>
            <w:hideMark/>
          </w:tcPr>
          <w:p w:rsidRPr="00A7224A" w:rsidR="00A7224A" w:rsidP="00A7224A" w:rsidRDefault="00A7224A" w14:paraId="0162A431" w14:textId="77777777">
            <w:pPr>
              <w:widowControl/>
              <w:adjustRightInd/>
              <w:jc w:val="right"/>
              <w:textAlignment w:val="baseline"/>
              <w:rPr>
                <w:sz w:val="18"/>
                <w:szCs w:val="18"/>
              </w:rPr>
            </w:pPr>
            <w:r w:rsidRPr="00920A49">
              <w:rPr>
                <w:b/>
                <w:bCs/>
                <w:color w:val="000000"/>
                <w:sz w:val="22"/>
                <w:szCs w:val="22"/>
              </w:rPr>
              <w:t>65</w:t>
            </w:r>
            <w:r w:rsidRPr="00920A4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  <w:vAlign w:val="bottom"/>
            <w:hideMark/>
          </w:tcPr>
          <w:p w:rsidRPr="00A7224A" w:rsidR="00A7224A" w:rsidP="00A7224A" w:rsidRDefault="00A7224A" w14:paraId="4041A6D8" w14:textId="77777777">
            <w:pPr>
              <w:widowControl/>
              <w:adjustRightInd/>
              <w:jc w:val="right"/>
              <w:textAlignment w:val="baseline"/>
              <w:rPr>
                <w:sz w:val="18"/>
                <w:szCs w:val="18"/>
              </w:rPr>
            </w:pPr>
            <w:r w:rsidRPr="00920A49">
              <w:rPr>
                <w:b/>
                <w:bCs/>
                <w:color w:val="000000"/>
                <w:sz w:val="22"/>
                <w:szCs w:val="22"/>
              </w:rPr>
              <w:t>9 768</w:t>
            </w:r>
            <w:r w:rsidRPr="00920A4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  <w:vAlign w:val="bottom"/>
            <w:hideMark/>
          </w:tcPr>
          <w:p w:rsidRPr="00A7224A" w:rsidR="00A7224A" w:rsidP="00A7224A" w:rsidRDefault="00A7224A" w14:paraId="31AA8B68" w14:textId="77777777">
            <w:pPr>
              <w:widowControl/>
              <w:adjustRightInd/>
              <w:jc w:val="right"/>
              <w:textAlignment w:val="baseline"/>
              <w:rPr>
                <w:sz w:val="18"/>
                <w:szCs w:val="18"/>
              </w:rPr>
            </w:pPr>
            <w:r w:rsidRPr="00920A49">
              <w:rPr>
                <w:b/>
                <w:bCs/>
                <w:color w:val="000000"/>
                <w:sz w:val="22"/>
                <w:szCs w:val="22"/>
              </w:rPr>
              <w:t>595</w:t>
            </w:r>
            <w:r w:rsidRPr="00920A4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vAlign w:val="bottom"/>
            <w:hideMark/>
          </w:tcPr>
          <w:p w:rsidRPr="00A7224A" w:rsidR="00A7224A" w:rsidP="00A7224A" w:rsidRDefault="00A7224A" w14:paraId="76B2D90A" w14:textId="77777777">
            <w:pPr>
              <w:widowControl/>
              <w:adjustRightInd/>
              <w:jc w:val="right"/>
              <w:textAlignment w:val="baseline"/>
              <w:rPr>
                <w:sz w:val="18"/>
                <w:szCs w:val="18"/>
              </w:rPr>
            </w:pPr>
            <w:r w:rsidRPr="00920A49">
              <w:rPr>
                <w:b/>
                <w:bCs/>
                <w:color w:val="000000"/>
                <w:sz w:val="22"/>
                <w:szCs w:val="22"/>
              </w:rPr>
              <w:t>40</w:t>
            </w:r>
            <w:r w:rsidRPr="00920A4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  <w:vAlign w:val="bottom"/>
            <w:hideMark/>
          </w:tcPr>
          <w:p w:rsidRPr="00A7224A" w:rsidR="00A7224A" w:rsidP="00A7224A" w:rsidRDefault="00A7224A" w14:paraId="463D40AE" w14:textId="77777777">
            <w:pPr>
              <w:widowControl/>
              <w:adjustRightInd/>
              <w:jc w:val="right"/>
              <w:textAlignment w:val="baseline"/>
              <w:rPr>
                <w:sz w:val="18"/>
                <w:szCs w:val="18"/>
              </w:rPr>
            </w:pPr>
            <w:r w:rsidRPr="00920A49">
              <w:rPr>
                <w:b/>
                <w:bCs/>
                <w:color w:val="000000"/>
                <w:sz w:val="22"/>
                <w:szCs w:val="22"/>
              </w:rPr>
              <w:t>9 297</w:t>
            </w:r>
            <w:r w:rsidRPr="00920A4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  <w:vAlign w:val="bottom"/>
            <w:hideMark/>
          </w:tcPr>
          <w:p w:rsidRPr="00A7224A" w:rsidR="00A7224A" w:rsidP="00A7224A" w:rsidRDefault="00A7224A" w14:paraId="36E72A5A" w14:textId="77777777">
            <w:pPr>
              <w:widowControl/>
              <w:adjustRightInd/>
              <w:jc w:val="right"/>
              <w:textAlignment w:val="baseline"/>
              <w:rPr>
                <w:sz w:val="18"/>
                <w:szCs w:val="18"/>
              </w:rPr>
            </w:pPr>
            <w:r w:rsidRPr="00920A49">
              <w:rPr>
                <w:b/>
                <w:bCs/>
                <w:color w:val="000000"/>
                <w:sz w:val="22"/>
                <w:szCs w:val="22"/>
              </w:rPr>
              <w:t>532</w:t>
            </w:r>
            <w:r w:rsidRPr="00920A49">
              <w:rPr>
                <w:color w:val="000000"/>
                <w:sz w:val="22"/>
                <w:szCs w:val="22"/>
              </w:rPr>
              <w:t> </w:t>
            </w:r>
          </w:p>
        </w:tc>
      </w:tr>
      <w:tr w:rsidRPr="00A7224A" w:rsidR="00A7224A" w:rsidTr="00A7224A" w14:paraId="3F19913E" w14:textId="77777777">
        <w:trPr>
          <w:trHeight w:val="210"/>
        </w:trPr>
        <w:tc>
          <w:tcPr>
            <w:tcW w:w="1515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7224A" w:rsidR="00A7224A" w:rsidP="00A7224A" w:rsidRDefault="00A7224A" w14:paraId="7965A104" w14:textId="77777777">
            <w:pPr>
              <w:widowControl/>
              <w:adjustRightInd/>
              <w:jc w:val="right"/>
              <w:textAlignment w:val="baseline"/>
              <w:rPr>
                <w:sz w:val="18"/>
                <w:szCs w:val="18"/>
              </w:rPr>
            </w:pPr>
            <w:r w:rsidRPr="00920A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7224A" w:rsidR="00A7224A" w:rsidP="00A7224A" w:rsidRDefault="00A7224A" w14:paraId="4ADEFD8E" w14:textId="77777777">
            <w:pPr>
              <w:widowControl/>
              <w:adjustRightInd/>
              <w:jc w:val="right"/>
              <w:textAlignment w:val="baseline"/>
              <w:rPr>
                <w:sz w:val="18"/>
                <w:szCs w:val="18"/>
              </w:rPr>
            </w:pPr>
            <w:r w:rsidRPr="00920A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7224A" w:rsidR="00A7224A" w:rsidP="00A7224A" w:rsidRDefault="00A7224A" w14:paraId="67B20806" w14:textId="77777777">
            <w:pPr>
              <w:widowControl/>
              <w:adjustRightInd/>
              <w:jc w:val="right"/>
              <w:textAlignment w:val="baseline"/>
              <w:rPr>
                <w:sz w:val="18"/>
                <w:szCs w:val="18"/>
              </w:rPr>
            </w:pPr>
            <w:r w:rsidRPr="00920A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7224A" w:rsidR="00A7224A" w:rsidP="00A7224A" w:rsidRDefault="00A7224A" w14:paraId="33EACD69" w14:textId="77777777">
            <w:pPr>
              <w:widowControl/>
              <w:adjustRightInd/>
              <w:jc w:val="right"/>
              <w:textAlignment w:val="baseline"/>
              <w:rPr>
                <w:sz w:val="18"/>
                <w:szCs w:val="18"/>
              </w:rPr>
            </w:pPr>
            <w:r w:rsidRPr="00920A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25" w:type="dxa"/>
            <w:gridSpan w:val="6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7224A" w:rsidR="00A7224A" w:rsidP="00A7224A" w:rsidRDefault="00A7224A" w14:paraId="51D6F8F4" w14:textId="77777777">
            <w:pPr>
              <w:widowControl/>
              <w:adjustRightInd/>
              <w:jc w:val="right"/>
              <w:textAlignment w:val="baseline"/>
              <w:rPr>
                <w:sz w:val="18"/>
                <w:szCs w:val="18"/>
              </w:rPr>
            </w:pPr>
            <w:r w:rsidRPr="00920A49">
              <w:rPr>
                <w:i/>
                <w:iCs/>
                <w:color w:val="000000"/>
                <w:sz w:val="18"/>
                <w:szCs w:val="18"/>
              </w:rPr>
              <w:t>Zdroj: ÚHP</w:t>
            </w:r>
            <w:r w:rsidRPr="00920A49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76979F60" w:rsidP="76979F60" w:rsidRDefault="76979F60" w14:paraId="333C7F89" w14:textId="7118A77B">
      <w:pPr>
        <w:jc w:val="both"/>
        <w:rPr>
          <w:rStyle w:val="Zstupntext"/>
          <w:color w:val="auto"/>
        </w:rPr>
      </w:pPr>
    </w:p>
    <w:p w:rsidRPr="009213C7" w:rsidR="00962984" w:rsidP="00962984" w:rsidRDefault="00962984" w14:paraId="4E1D1BAE" w14:textId="61265A23">
      <w:pPr>
        <w:jc w:val="both"/>
      </w:pPr>
      <w:r w:rsidRPr="009213C7">
        <w:t>Väčšiu efektivitu celého procesu riadenia verejných investícií</w:t>
      </w:r>
      <w:r w:rsidR="00D66F8B">
        <w:t xml:space="preserve"> sa</w:t>
      </w:r>
      <w:r w:rsidRPr="009213C7">
        <w:t xml:space="preserve"> dosiahne zameraním sa na väčšie projekty a strategické určovanie investičných priorít. Preto </w:t>
      </w:r>
      <w:r w:rsidR="0065391E">
        <w:t xml:space="preserve">sa </w:t>
      </w:r>
      <w:r w:rsidRPr="009213C7">
        <w:t>navrhuje</w:t>
      </w:r>
    </w:p>
    <w:p w:rsidRPr="009213C7" w:rsidR="00C66178" w:rsidP="00C66178" w:rsidRDefault="6FD255F7" w14:paraId="711D638F" w14:textId="3F03EDBA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74661BA8">
        <w:rPr>
          <w:rFonts w:ascii="Times New Roman" w:hAnsi="Times New Roman" w:cs="Times New Roman"/>
          <w:sz w:val="24"/>
          <w:szCs w:val="24"/>
        </w:rPr>
        <w:t xml:space="preserve">zrušiť </w:t>
      </w:r>
      <w:r w:rsidRPr="74661BA8" w:rsidR="00D66F8B">
        <w:rPr>
          <w:rFonts w:ascii="Times New Roman" w:hAnsi="Times New Roman" w:cs="Times New Roman"/>
          <w:sz w:val="24"/>
          <w:szCs w:val="24"/>
        </w:rPr>
        <w:t>úlohy C.5 a C.6 uznesenia vlády č. 649/2020 s povinnosťou hodnotiť investičné projekty nad 1 mil. eur</w:t>
      </w:r>
    </w:p>
    <w:p w:rsidRPr="009213C7" w:rsidR="002C63E7" w:rsidP="002C63E7" w:rsidRDefault="002C63E7" w14:paraId="387755E2" w14:textId="77777777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9213C7">
        <w:rPr>
          <w:rFonts w:ascii="Times New Roman" w:hAnsi="Times New Roman" w:cs="Times New Roman"/>
          <w:sz w:val="24"/>
          <w:szCs w:val="24"/>
        </w:rPr>
        <w:t xml:space="preserve"> nariadení vlády nastaviť jednotnú hranicu 10 mil. eur na hodnotenie všetkých projektov podľa §19a zákona č. 523/2004 Z. z.</w:t>
      </w:r>
      <w:r>
        <w:rPr>
          <w:rFonts w:ascii="Times New Roman" w:hAnsi="Times New Roman" w:cs="Times New Roman"/>
          <w:sz w:val="24"/>
          <w:szCs w:val="24"/>
        </w:rPr>
        <w:t xml:space="preserve"> o rozpočtových pravidlách verejnej správy. </w:t>
      </w:r>
    </w:p>
    <w:p w:rsidRPr="005D1861" w:rsidR="005D1861" w:rsidP="005D1861" w:rsidRDefault="005D1861" w14:paraId="2E2E86F5" w14:textId="1E24BC16">
      <w:pPr>
        <w:widowControl/>
        <w:spacing w:after="280" w:afterAutospacing="1"/>
        <w:jc w:val="both"/>
        <w:rPr>
          <w:rStyle w:val="Zstupntext"/>
          <w:color w:val="000000"/>
        </w:rPr>
      </w:pPr>
      <w:r w:rsidRPr="005D1861">
        <w:rPr>
          <w:rStyle w:val="Zstupntext"/>
          <w:color w:val="000000"/>
        </w:rPr>
        <w:t xml:space="preserve">Návrh </w:t>
      </w:r>
      <w:r w:rsidR="006A2885">
        <w:rPr>
          <w:rStyle w:val="Zstupntext"/>
          <w:color w:val="000000"/>
        </w:rPr>
        <w:t>n</w:t>
      </w:r>
      <w:r w:rsidRPr="006A2885" w:rsidR="006A2885">
        <w:rPr>
          <w:rStyle w:val="Zstupntext"/>
          <w:color w:val="000000"/>
        </w:rPr>
        <w:t>ariadeni</w:t>
      </w:r>
      <w:r w:rsidR="006A2885">
        <w:rPr>
          <w:rStyle w:val="Zstupntext"/>
          <w:color w:val="000000"/>
        </w:rPr>
        <w:t>a</w:t>
      </w:r>
      <w:r w:rsidRPr="006A2885" w:rsidR="006A2885">
        <w:rPr>
          <w:rStyle w:val="Zstupntext"/>
          <w:color w:val="000000"/>
        </w:rPr>
        <w:t xml:space="preserve"> vlády Slovenskej republiky, ktorým sa ustanovujú hodnota investície a koncesie a základné náležitosti štúdie uskutočniteľnosti investície a štúdie uskutočniteľnosti koncesie</w:t>
      </w:r>
      <w:r w:rsidRPr="00575842" w:rsidR="006A2885">
        <w:rPr>
          <w:rStyle w:val="Zstupntext"/>
          <w:color w:val="000000"/>
        </w:rPr>
        <w:t xml:space="preserve"> </w:t>
      </w:r>
      <w:r w:rsidRPr="005D1861">
        <w:rPr>
          <w:rStyle w:val="Zstupntext"/>
          <w:color w:val="000000"/>
        </w:rPr>
        <w:t>nebude mať vplyv na rozpočet verejnej správy, sociálny vplyv, vplyv na podnikateľské prostredie, životné prostredie, informatizáciu spoločnosti</w:t>
      </w:r>
      <w:r w:rsidR="000E43D7">
        <w:t>, služby verejnej správy pre občana a manželstvo, rodičovstvo a rodinu</w:t>
      </w:r>
      <w:r w:rsidRPr="005D1861">
        <w:rPr>
          <w:rStyle w:val="Zstupntext"/>
          <w:color w:val="000000"/>
        </w:rPr>
        <w:t xml:space="preserve">. </w:t>
      </w:r>
      <w:r w:rsidR="000E43D7">
        <w:rPr>
          <w:rStyle w:val="Zstupntext"/>
          <w:color w:val="000000"/>
        </w:rPr>
        <w:t xml:space="preserve"> </w:t>
      </w:r>
      <w:r w:rsidR="00152696">
        <w:rPr>
          <w:rStyle w:val="Zstupntext"/>
          <w:color w:val="000000"/>
        </w:rPr>
        <w:t xml:space="preserve"> </w:t>
      </w:r>
    </w:p>
    <w:p w:rsidR="00152696" w:rsidP="00BB54C8" w:rsidRDefault="001E500F" w14:paraId="49FC2CDC" w14:textId="77777777">
      <w:pPr>
        <w:widowControl/>
        <w:spacing w:after="280" w:afterAutospacing="1"/>
        <w:jc w:val="both"/>
        <w:rPr>
          <w:rStyle w:val="Zstupntext"/>
          <w:color w:val="000000"/>
        </w:rPr>
      </w:pPr>
      <w:r w:rsidRPr="005D1861">
        <w:rPr>
          <w:rStyle w:val="Zstupntext"/>
          <w:color w:val="000000"/>
        </w:rPr>
        <w:t xml:space="preserve">Návrh nariadenia vlády Slovenskej republiky je v súlade s </w:t>
      </w:r>
      <w:r w:rsidRPr="005D1861" w:rsidR="00726356">
        <w:rPr>
          <w:rStyle w:val="Zstupntext"/>
          <w:color w:val="000000"/>
        </w:rPr>
        <w:t>Ústavou Slovenskej republiky, s </w:t>
      </w:r>
      <w:r w:rsidRPr="005D1861">
        <w:rPr>
          <w:rStyle w:val="Zstupntext"/>
          <w:color w:val="000000"/>
        </w:rPr>
        <w:t>ústavnými zákonmi a nálezmi Ústavného súdu Slovenskej republiky, so zákonmi a ostatnými všeobecne záväznými právnymi predpismi platnými v Slovenskej republike, s medzinárodnými zmluvami, ktorými je Slovenská republika viazaná, ako aj s právom Európskej únie.</w:t>
      </w:r>
    </w:p>
    <w:sectPr w:rsidR="00152696">
      <w:footerReference w:type="default" r:id="rId19"/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93F" w:rsidP="00414B81" w:rsidRDefault="00C2793F" w14:paraId="62D1920B" w14:textId="77777777">
      <w:r>
        <w:separator/>
      </w:r>
    </w:p>
  </w:endnote>
  <w:endnote w:type="continuationSeparator" w:id="0">
    <w:p w:rsidR="00C2793F" w:rsidP="00414B81" w:rsidRDefault="00C2793F" w14:paraId="5829F42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414B81" w:rsidR="00414B81" w:rsidRDefault="00414B81" w14:paraId="09FBAEB3" w14:textId="54BD0023">
    <w:pPr>
      <w:pStyle w:val="Pta"/>
      <w:jc w:val="center"/>
      <w:rPr>
        <w:sz w:val="22"/>
        <w:szCs w:val="22"/>
      </w:rPr>
    </w:pPr>
    <w:r w:rsidRPr="00414B81">
      <w:rPr>
        <w:sz w:val="22"/>
        <w:szCs w:val="22"/>
      </w:rPr>
      <w:fldChar w:fldCharType="begin"/>
    </w:r>
    <w:r w:rsidRPr="00414B81">
      <w:rPr>
        <w:sz w:val="22"/>
        <w:szCs w:val="22"/>
      </w:rPr>
      <w:instrText>PAGE   \* MERGEFORMAT</w:instrText>
    </w:r>
    <w:r w:rsidRPr="00414B81">
      <w:rPr>
        <w:sz w:val="22"/>
        <w:szCs w:val="22"/>
      </w:rPr>
      <w:fldChar w:fldCharType="separate"/>
    </w:r>
    <w:r w:rsidR="002C2714">
      <w:rPr>
        <w:noProof/>
        <w:sz w:val="22"/>
        <w:szCs w:val="22"/>
      </w:rPr>
      <w:t>3</w:t>
    </w:r>
    <w:r w:rsidRPr="00414B81">
      <w:rPr>
        <w:sz w:val="22"/>
        <w:szCs w:val="22"/>
      </w:rPr>
      <w:fldChar w:fldCharType="end"/>
    </w:r>
  </w:p>
  <w:p w:rsidR="00414B81" w:rsidRDefault="00414B81" w14:paraId="1769D17C" w14:textId="7777777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93F" w:rsidP="00414B81" w:rsidRDefault="00C2793F" w14:paraId="48FA096D" w14:textId="77777777">
      <w:r>
        <w:separator/>
      </w:r>
    </w:p>
  </w:footnote>
  <w:footnote w:type="continuationSeparator" w:id="0">
    <w:p w:rsidR="00C2793F" w:rsidP="00414B81" w:rsidRDefault="00C2793F" w14:paraId="6853DF94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F25B8"/>
    <w:multiLevelType w:val="hybridMultilevel"/>
    <w:tmpl w:val="63BE067C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trackRevisions w:val="false"/>
  <w:defaultTabStop w:val="720"/>
  <w:hyphenationZone w:val="425"/>
  <w:characterSpacingControl w:val="doNotCompress"/>
  <w:doNotValidateAgainstSchema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FB2"/>
    <w:rsid w:val="00015959"/>
    <w:rsid w:val="000209D3"/>
    <w:rsid w:val="00032391"/>
    <w:rsid w:val="000A4026"/>
    <w:rsid w:val="000E43D7"/>
    <w:rsid w:val="000F52B8"/>
    <w:rsid w:val="001258A8"/>
    <w:rsid w:val="00152696"/>
    <w:rsid w:val="00187613"/>
    <w:rsid w:val="001A17B7"/>
    <w:rsid w:val="001B0023"/>
    <w:rsid w:val="001E500F"/>
    <w:rsid w:val="001F4947"/>
    <w:rsid w:val="00204B88"/>
    <w:rsid w:val="002147F4"/>
    <w:rsid w:val="00242EF0"/>
    <w:rsid w:val="002430DE"/>
    <w:rsid w:val="00292E85"/>
    <w:rsid w:val="002A72C6"/>
    <w:rsid w:val="002A7A5B"/>
    <w:rsid w:val="002B0CBF"/>
    <w:rsid w:val="002C2714"/>
    <w:rsid w:val="002C63E7"/>
    <w:rsid w:val="002C7698"/>
    <w:rsid w:val="002E596C"/>
    <w:rsid w:val="00303A53"/>
    <w:rsid w:val="003130B1"/>
    <w:rsid w:val="003303C8"/>
    <w:rsid w:val="00330706"/>
    <w:rsid w:val="003524A2"/>
    <w:rsid w:val="0037605B"/>
    <w:rsid w:val="0038316D"/>
    <w:rsid w:val="0039152C"/>
    <w:rsid w:val="003D2FD4"/>
    <w:rsid w:val="003D6A54"/>
    <w:rsid w:val="00414B81"/>
    <w:rsid w:val="00416B3A"/>
    <w:rsid w:val="00456877"/>
    <w:rsid w:val="00462BB1"/>
    <w:rsid w:val="004D1FB2"/>
    <w:rsid w:val="004D32D1"/>
    <w:rsid w:val="004F67CA"/>
    <w:rsid w:val="00511549"/>
    <w:rsid w:val="0051169C"/>
    <w:rsid w:val="00516BE9"/>
    <w:rsid w:val="00527F30"/>
    <w:rsid w:val="00564BDA"/>
    <w:rsid w:val="00575842"/>
    <w:rsid w:val="00591DEF"/>
    <w:rsid w:val="00594F5F"/>
    <w:rsid w:val="005C5D18"/>
    <w:rsid w:val="005D1861"/>
    <w:rsid w:val="005D48D4"/>
    <w:rsid w:val="005E193F"/>
    <w:rsid w:val="005F4D2D"/>
    <w:rsid w:val="006034DE"/>
    <w:rsid w:val="006362B3"/>
    <w:rsid w:val="006472D8"/>
    <w:rsid w:val="0065391E"/>
    <w:rsid w:val="00660DFC"/>
    <w:rsid w:val="006724D0"/>
    <w:rsid w:val="006A2885"/>
    <w:rsid w:val="006F0781"/>
    <w:rsid w:val="00721578"/>
    <w:rsid w:val="00725C99"/>
    <w:rsid w:val="00726356"/>
    <w:rsid w:val="00730317"/>
    <w:rsid w:val="00734394"/>
    <w:rsid w:val="007838E8"/>
    <w:rsid w:val="007847D8"/>
    <w:rsid w:val="007A62B4"/>
    <w:rsid w:val="007D05E7"/>
    <w:rsid w:val="00801794"/>
    <w:rsid w:val="00802999"/>
    <w:rsid w:val="00822DA9"/>
    <w:rsid w:val="008429DB"/>
    <w:rsid w:val="0084634B"/>
    <w:rsid w:val="00852B0E"/>
    <w:rsid w:val="00861DCD"/>
    <w:rsid w:val="008A5103"/>
    <w:rsid w:val="008B25A6"/>
    <w:rsid w:val="008C1376"/>
    <w:rsid w:val="008D33A2"/>
    <w:rsid w:val="008E79DF"/>
    <w:rsid w:val="008F604A"/>
    <w:rsid w:val="008F61EC"/>
    <w:rsid w:val="00920A49"/>
    <w:rsid w:val="00951055"/>
    <w:rsid w:val="00952D08"/>
    <w:rsid w:val="00962493"/>
    <w:rsid w:val="00962984"/>
    <w:rsid w:val="00982CC8"/>
    <w:rsid w:val="00997984"/>
    <w:rsid w:val="009B0239"/>
    <w:rsid w:val="009D50E1"/>
    <w:rsid w:val="009E6C02"/>
    <w:rsid w:val="00A10F7B"/>
    <w:rsid w:val="00A24D13"/>
    <w:rsid w:val="00A40CAB"/>
    <w:rsid w:val="00A4115D"/>
    <w:rsid w:val="00A4665E"/>
    <w:rsid w:val="00A61E30"/>
    <w:rsid w:val="00A634A1"/>
    <w:rsid w:val="00A64D2D"/>
    <w:rsid w:val="00A7224A"/>
    <w:rsid w:val="00AC4C44"/>
    <w:rsid w:val="00AF179F"/>
    <w:rsid w:val="00B0350B"/>
    <w:rsid w:val="00B1793B"/>
    <w:rsid w:val="00B53BC9"/>
    <w:rsid w:val="00B854FC"/>
    <w:rsid w:val="00B94132"/>
    <w:rsid w:val="00BA1FEF"/>
    <w:rsid w:val="00BB54C8"/>
    <w:rsid w:val="00BC0C09"/>
    <w:rsid w:val="00BF5364"/>
    <w:rsid w:val="00BF7F2A"/>
    <w:rsid w:val="00C0489E"/>
    <w:rsid w:val="00C2793F"/>
    <w:rsid w:val="00C55002"/>
    <w:rsid w:val="00C66178"/>
    <w:rsid w:val="00C95BB2"/>
    <w:rsid w:val="00CC2954"/>
    <w:rsid w:val="00CD0AA0"/>
    <w:rsid w:val="00CD6DDE"/>
    <w:rsid w:val="00CE322D"/>
    <w:rsid w:val="00D43158"/>
    <w:rsid w:val="00D51C3F"/>
    <w:rsid w:val="00D52C03"/>
    <w:rsid w:val="00D66F8B"/>
    <w:rsid w:val="00D73D7A"/>
    <w:rsid w:val="00DA4435"/>
    <w:rsid w:val="00DD2A34"/>
    <w:rsid w:val="00DF141B"/>
    <w:rsid w:val="00E16FEA"/>
    <w:rsid w:val="00E57FD8"/>
    <w:rsid w:val="00E62EAB"/>
    <w:rsid w:val="00E870E1"/>
    <w:rsid w:val="00E91D5F"/>
    <w:rsid w:val="00E95179"/>
    <w:rsid w:val="00EC4823"/>
    <w:rsid w:val="00EE260C"/>
    <w:rsid w:val="00EF7832"/>
    <w:rsid w:val="00F047D1"/>
    <w:rsid w:val="00F32958"/>
    <w:rsid w:val="00F6147C"/>
    <w:rsid w:val="00F774B1"/>
    <w:rsid w:val="00F90DBE"/>
    <w:rsid w:val="00F93137"/>
    <w:rsid w:val="00F9528E"/>
    <w:rsid w:val="00F9600D"/>
    <w:rsid w:val="00FD4D3E"/>
    <w:rsid w:val="00FF03E6"/>
    <w:rsid w:val="04FD48F1"/>
    <w:rsid w:val="137B0B5C"/>
    <w:rsid w:val="22E921B8"/>
    <w:rsid w:val="276723EA"/>
    <w:rsid w:val="2B80FD8D"/>
    <w:rsid w:val="2F051199"/>
    <w:rsid w:val="35177271"/>
    <w:rsid w:val="36BCFFA6"/>
    <w:rsid w:val="3BF633EE"/>
    <w:rsid w:val="3E7A39A1"/>
    <w:rsid w:val="4075E49F"/>
    <w:rsid w:val="4A99C477"/>
    <w:rsid w:val="4AE47DB9"/>
    <w:rsid w:val="51962F3E"/>
    <w:rsid w:val="52C83459"/>
    <w:rsid w:val="66EF9719"/>
    <w:rsid w:val="68AAE35C"/>
    <w:rsid w:val="6FD255F7"/>
    <w:rsid w:val="74661BA8"/>
    <w:rsid w:val="764951DE"/>
    <w:rsid w:val="76979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0AAA55"/>
  <w14:defaultImageDpi w14:val="0"/>
  <w15:docId w15:val="{0828721B-84B7-433B-B234-F8C01FFF5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hAnsi="Calibri" w:eastAsia="Times New Roman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semiHidden="1" w:unhideWhenUsed="1" w:qFormat="1"/>
    <w:lsdException w:name="heading 3" w:locked="1" w:uiPriority="9" w:semiHidden="1" w:unhideWhenUsed="1" w:qFormat="1"/>
    <w:lsdException w:name="heading 4" w:locked="1" w:uiPriority="9" w:semiHidden="1" w:unhideWhenUsed="1" w:qFormat="1"/>
    <w:lsdException w:name="heading 5" w:locked="1" w:uiPriority="9" w:semiHidden="1" w:unhideWhenUsed="1" w:qFormat="1"/>
    <w:lsdException w:name="heading 6" w:locked="1" w:uiPriority="9" w:semiHidden="1" w:unhideWhenUsed="1" w:qFormat="1"/>
    <w:lsdException w:name="heading 7" w:locked="1" w:uiPriority="9" w:semiHidden="1" w:unhideWhenUsed="1" w:qFormat="1"/>
    <w:lsdException w:name="heading 8" w:locked="1" w:uiPriority="9" w:semiHidden="1" w:unhideWhenUsed="1" w:qFormat="1"/>
    <w:lsdException w:name="heading 9" w:locked="1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semiHidden="1" w:unhideWhenUsed="1"/>
    <w:lsdException w:name="toc 2" w:locked="1" w:uiPriority="39" w:semiHidden="1" w:unhideWhenUsed="1"/>
    <w:lsdException w:name="toc 3" w:locked="1" w:uiPriority="39" w:semiHidden="1" w:unhideWhenUsed="1"/>
    <w:lsdException w:name="toc 4" w:locked="1" w:uiPriority="39" w:semiHidden="1" w:unhideWhenUsed="1"/>
    <w:lsdException w:name="toc 5" w:locked="1" w:uiPriority="39" w:semiHidden="1" w:unhideWhenUsed="1"/>
    <w:lsdException w:name="toc 6" w:locked="1" w:uiPriority="39" w:semiHidden="1" w:unhideWhenUsed="1"/>
    <w:lsdException w:name="toc 7" w:locked="1" w:uiPriority="39" w:semiHidden="1" w:unhideWhenUsed="1"/>
    <w:lsdException w:name="toc 8" w:locked="1" w:uiPriority="39" w:semiHidden="1" w:unhideWhenUsed="1"/>
    <w:lsdException w:name="toc 9" w:locked="1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uiPriority="37" w:semiHidden="1" w:unhideWhenUsed="1"/>
    <w:lsdException w:name="TOC Heading" w:locked="1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y" w:default="1">
    <w:name w:val="Normal"/>
    <w:qFormat/>
    <w:rsid w:val="008B25A6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locked/>
    <w:rsid w:val="00982CC8"/>
    <w:pPr>
      <w:keepNext/>
      <w:spacing w:before="240" w:after="60"/>
      <w:outlineLvl w:val="0"/>
    </w:pPr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styleId="Predvolenpsmoodseku" w:default="1">
    <w:name w:val="Default Paragraph Font"/>
    <w:uiPriority w:val="1"/>
    <w:semiHidden/>
    <w:unhideWhenUsed/>
  </w:style>
  <w:style w:type="table" w:styleId="Normlnatabu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uiPriority w:val="99"/>
    <w:semiHidden/>
    <w:unhideWhenUsed/>
  </w:style>
  <w:style w:type="character" w:styleId="Nadpis1Char" w:customStyle="1">
    <w:name w:val="Nadpis 1 Char"/>
    <w:basedOn w:val="Predvolenpsmoodseku"/>
    <w:link w:val="Nadpis1"/>
    <w:uiPriority w:val="9"/>
    <w:locked/>
    <w:rsid w:val="00982CC8"/>
    <w:rPr>
      <w:rFonts w:cs="Times New Roman" w:asciiTheme="majorHAnsi" w:hAnsiTheme="majorHAnsi" w:eastAsiaTheme="majorEastAsia"/>
      <w:b/>
      <w:bCs/>
      <w:kern w:val="32"/>
      <w:sz w:val="32"/>
      <w:szCs w:val="32"/>
    </w:rPr>
  </w:style>
  <w:style w:type="character" w:styleId="Zstupntext">
    <w:name w:val="Placeholder Text"/>
    <w:basedOn w:val="Predvolenpsmoodseku"/>
    <w:uiPriority w:val="99"/>
    <w:semiHidden/>
    <w:rsid w:val="008B25A6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B25A6"/>
    <w:rPr>
      <w:rFonts w:ascii="Tahoma" w:hAnsi="Tahoma" w:cs="Tahoma"/>
      <w:sz w:val="16"/>
      <w:szCs w:val="16"/>
    </w:rPr>
  </w:style>
  <w:style w:type="character" w:styleId="TextbublinyChar" w:customStyle="1">
    <w:name w:val="Text bubliny Char"/>
    <w:basedOn w:val="Predvolenpsmoodseku"/>
    <w:link w:val="Textbubliny"/>
    <w:uiPriority w:val="99"/>
    <w:semiHidden/>
    <w:locked/>
    <w:rsid w:val="008B25A6"/>
    <w:rPr>
      <w:rFonts w:ascii="Tahoma" w:hAnsi="Tahoma" w:cs="Tahoma"/>
      <w:sz w:val="16"/>
      <w:szCs w:val="16"/>
      <w:lang w:val="sk-SK" w:eastAsia="sk-SK"/>
    </w:rPr>
  </w:style>
  <w:style w:type="paragraph" w:styleId="TableMsoNormalTable" w:customStyle="1">
    <w:name w:val="Table_MsoNormalTable"/>
    <w:basedOn w:val="Normlny"/>
    <w:pPr>
      <w:spacing w:line="276" w:lineRule="auto"/>
    </w:pPr>
    <w:rPr>
      <w:rFonts w:ascii="Calibri" w:hAnsi="Calibri" w:cs="Calibri"/>
      <w:sz w:val="22"/>
    </w:rPr>
  </w:style>
  <w:style w:type="character" w:styleId="Odkaznakomentr">
    <w:name w:val="annotation reference"/>
    <w:basedOn w:val="Predvolenpsmoodseku"/>
    <w:uiPriority w:val="99"/>
    <w:semiHidden/>
    <w:unhideWhenUsed/>
    <w:rsid w:val="00242EF0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42EF0"/>
    <w:rPr>
      <w:sz w:val="20"/>
      <w:szCs w:val="20"/>
    </w:rPr>
  </w:style>
  <w:style w:type="character" w:styleId="TextkomentraChar" w:customStyle="1">
    <w:name w:val="Text komentára Char"/>
    <w:basedOn w:val="Predvolenpsmoodseku"/>
    <w:link w:val="Textkomentra"/>
    <w:uiPriority w:val="99"/>
    <w:semiHidden/>
    <w:locked/>
    <w:rsid w:val="00242EF0"/>
    <w:rPr>
      <w:rFonts w:ascii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2EF0"/>
    <w:rPr>
      <w:b/>
      <w:bCs/>
    </w:rPr>
  </w:style>
  <w:style w:type="character" w:styleId="PredmetkomentraChar" w:customStyle="1">
    <w:name w:val="Predmet komentára Char"/>
    <w:basedOn w:val="TextkomentraChar"/>
    <w:link w:val="Predmetkomentra"/>
    <w:uiPriority w:val="99"/>
    <w:semiHidden/>
    <w:locked/>
    <w:rsid w:val="00242EF0"/>
    <w:rPr>
      <w:rFonts w:ascii="Times New Roman" w:hAnsi="Times New Roman" w:cs="Times New Roman"/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414B81"/>
    <w:pPr>
      <w:tabs>
        <w:tab w:val="center" w:pos="4536"/>
        <w:tab w:val="right" w:pos="9072"/>
      </w:tabs>
    </w:pPr>
  </w:style>
  <w:style w:type="character" w:styleId="HlavikaChar" w:customStyle="1">
    <w:name w:val="Hlavička Char"/>
    <w:basedOn w:val="Predvolenpsmoodseku"/>
    <w:link w:val="Hlavika"/>
    <w:uiPriority w:val="99"/>
    <w:locked/>
    <w:rsid w:val="00414B81"/>
    <w:rPr>
      <w:rFonts w:ascii="Times New Roman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414B81"/>
    <w:pPr>
      <w:tabs>
        <w:tab w:val="center" w:pos="4536"/>
        <w:tab w:val="right" w:pos="9072"/>
      </w:tabs>
    </w:pPr>
  </w:style>
  <w:style w:type="character" w:styleId="PtaChar" w:customStyle="1">
    <w:name w:val="Päta Char"/>
    <w:basedOn w:val="Predvolenpsmoodseku"/>
    <w:link w:val="Pta"/>
    <w:uiPriority w:val="99"/>
    <w:locked/>
    <w:rsid w:val="00414B81"/>
    <w:rPr>
      <w:rFonts w:ascii="Times New Roman" w:hAnsi="Times New Roman" w:cs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locked/>
    <w:rsid w:val="00962984"/>
    <w:pPr>
      <w:widowControl/>
      <w:adjustRightInd/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locked/>
    <w:rsid w:val="00BF7F2A"/>
    <w:pPr>
      <w:spacing w:after="0" w:line="240" w:lineRule="auto"/>
    </w:pPr>
    <w:rPr>
      <w:rFonts w:asciiTheme="minorHAnsi" w:hAnsiTheme="minorHAnsi" w:eastAsiaTheme="minorHAnsi" w:cstheme="minorBid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Normlny"/>
    <w:rsid w:val="00A7224A"/>
    <w:pPr>
      <w:widowControl/>
      <w:adjustRightInd/>
      <w:spacing w:before="100" w:beforeAutospacing="1" w:after="100" w:afterAutospacing="1"/>
    </w:pPr>
  </w:style>
  <w:style w:type="character" w:styleId="normaltextrun" w:customStyle="1">
    <w:name w:val="normaltextrun"/>
    <w:basedOn w:val="Predvolenpsmoodseku"/>
    <w:rsid w:val="00A7224A"/>
  </w:style>
  <w:style w:type="character" w:styleId="eop" w:customStyle="1">
    <w:name w:val="eop"/>
    <w:basedOn w:val="Predvolenpsmoodseku"/>
    <w:rsid w:val="00A72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1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8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4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8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6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57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5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33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5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05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5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8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07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8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0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79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5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0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3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0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7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4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5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32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9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5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80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2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50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1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0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5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1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7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04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7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9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2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6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9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4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26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0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7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12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6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4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1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2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0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2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9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96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77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0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5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9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4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9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7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7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4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3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2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2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1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2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1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7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8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1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2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2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44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6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1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0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3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9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2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8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6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5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3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4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4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9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0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2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73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4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7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6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7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02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8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4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2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5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8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5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5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6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5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1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0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2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4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0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6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4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2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1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8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3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9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2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6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02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3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1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5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7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5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8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2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9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6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9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78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0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2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1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8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0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1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22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8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7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4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8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4/relationships/chartEx" Target="charts/chartEx2.xml" Id="rId13" /><Relationship Type="http://schemas.openxmlformats.org/officeDocument/2006/relationships/image" Target="media/image4.png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ettings" Target="settings.xml" Id="rId7" /><Relationship Type="http://schemas.openxmlformats.org/officeDocument/2006/relationships/image" Target="media/image1.png" Id="rId12" /><Relationship Type="http://schemas.microsoft.com/office/2014/relationships/chartEx" Target="charts/chartEx4.xml" Id="rId17" /><Relationship Type="http://schemas.openxmlformats.org/officeDocument/2006/relationships/customXml" Target="../customXml/item2.xml" Id="rId2" /><Relationship Type="http://schemas.openxmlformats.org/officeDocument/2006/relationships/image" Target="media/image3.png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microsoft.com/office/2014/relationships/chartEx" Target="charts/chartEx1.xml" Id="rId11" /><Relationship Type="http://schemas.openxmlformats.org/officeDocument/2006/relationships/numbering" Target="numbering.xml" Id="rId5" /><Relationship Type="http://schemas.microsoft.com/office/2014/relationships/chartEx" Target="charts/chartEx3.xml" Id="rId15" /><Relationship Type="http://schemas.microsoft.com/office/2016/09/relationships/commentsIds" Target="commentsIds.xml" Id="R8b5f70d06a6d496f" /><Relationship Type="http://schemas.openxmlformats.org/officeDocument/2006/relationships/endnotes" Target="endnotes.xml" Id="rId10" /><Relationship Type="http://schemas.openxmlformats.org/officeDocument/2006/relationships/footer" Target="footer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image" Target="media/image2.png" Id="rId14" /></Relationships>
</file>

<file path=word/charts/_rels/chartEx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U:\UHP\00_HODNOTA_ZA_PENIAZE\01x_INVESTICIE\14_Dokon&#269;en&#233;%20projekty_backup\preh&#318;ady\thresholdy_preh&#318;ad.xlsx" TargetMode="External"/></Relationships>
</file>

<file path=word/charts/_rels/chartEx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U:\UHP\00_HODNOTA_ZA_PENIAZE\01x_INVESTICIE\14_Dokon&#269;en&#233;%20projekty_backup\preh&#318;ady\thresholdy_preh&#318;ad.xlsx" TargetMode="External"/></Relationships>
</file>

<file path=word/charts/_rels/chartEx3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oleObject" Target="file:///U:\UHP\00_HODNOTA_ZA_PENIAZE\01x_INVESTICIE\14_Dokon&#269;en&#233;%20projekty_backup\preh&#318;ady\thresholdy_preh&#318;ad.xlsx" TargetMode="External"/></Relationships>
</file>

<file path=word/charts/_rels/chartEx4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oleObject" Target="file:///U:\UHP\00_HODNOTA_ZA_PENIAZE\01x_INVESTICIE\14_Dokon&#269;en&#233;%20projekty_backup\preh&#318;ady\thresholdy_preh&#318;ad.xlsx" TargetMode="External"/></Relationships>
</file>

<file path=word/charts/chartEx1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strDim type="cat">
        <cx:f>Prehľad!$B$283:$B$292</cx:f>
        <cx:lvl ptCount="10">
          <cx:pt idx="0">Do 3 mil. eur</cx:pt>
          <cx:pt idx="1">&gt;= 3 mil. eur</cx:pt>
          <cx:pt idx="2">&gt;= 5 mil. eur</cx:pt>
          <cx:pt idx="3">&gt;= 10 mil. eur</cx:pt>
          <cx:pt idx="4">&gt;= 15 mil. eur</cx:pt>
          <cx:pt idx="5">&gt;= 20 mil. eur</cx:pt>
          <cx:pt idx="6">&gt; = 25 mil. eur</cx:pt>
          <cx:pt idx="7">&gt; = 30 mil. eur</cx:pt>
          <cx:pt idx="8">&gt;= 35 mil. eur</cx:pt>
          <cx:pt idx="9">&gt;= 40 mil. eur</cx:pt>
        </cx:lvl>
      </cx:strDim>
      <cx:numDim type="val">
        <cx:f>Prehľad!$C$283:$C$292</cx:f>
        <cx:lvl ptCount="10" formatCode="0">
          <cx:pt idx="0">105</cx:pt>
          <cx:pt idx="1">42</cx:pt>
          <cx:pt idx="2">35</cx:pt>
          <cx:pt idx="3">14</cx:pt>
          <cx:pt idx="4">8</cx:pt>
          <cx:pt idx="5">4</cx:pt>
          <cx:pt idx="6">3</cx:pt>
          <cx:pt idx="7">3</cx:pt>
          <cx:pt idx="8">3</cx:pt>
          <cx:pt idx="9">30</cx:pt>
        </cx:lvl>
      </cx:numDim>
    </cx:data>
  </cx:chartData>
  <cx:chart>
    <cx:plotArea>
      <cx:plotAreaRegion>
        <cx:series layoutId="waterfall" uniqueId="{642EF1EA-9B00-4121-8618-EC9A9590C4C4}">
          <cx:tx>
            <cx:txData>
              <cx:f>Prehľad!$C$282</cx:f>
              <cx:v>Počet</cx:v>
            </cx:txData>
          </cx:tx>
          <cx:dataLabels>
            <cx:txPr>
              <a:bodyPr spcFirstLastPara="1" vertOverflow="ellipsis" wrap="square" lIns="0" tIns="0" rIns="0" bIns="0" anchor="ctr" anchorCtr="1">
                <a:spAutoFit/>
              </a:bodyPr>
              <a:lstStyle/>
              <a:p>
                <a:pPr>
                  <a:defRPr sz="800">
                    <a:latin typeface="Times New Roman" panose="02020603050405020304" pitchFamily="18" charset="0"/>
                    <a:ea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sk-SK" sz="800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x:txPr>
            <cx:visibility seriesName="0" categoryName="0" value="1"/>
          </cx:dataLabels>
          <cx:dataId val="0"/>
          <cx:layoutPr>
            <cx:subtotals/>
          </cx:layoutPr>
        </cx:series>
      </cx:plotAreaRegion>
      <cx:axis id="0">
        <cx:catScaling gapWidth="0.5"/>
        <cx:tickLabels/>
        <cx:txPr>
          <a:bodyPr spcFirstLastPara="1" vertOverflow="ellipsis" wrap="square" lIns="0" tIns="0" rIns="0" bIns="0" anchor="ctr" anchorCtr="1"/>
          <a:lstStyle/>
          <a:p>
            <a:pPr>
              <a:defRPr sz="750">
                <a:latin typeface="Times New Roman" panose="02020603050405020304" pitchFamily="18" charset="0"/>
                <a:ea typeface="Times New Roman" panose="02020603050405020304" pitchFamily="18" charset="0"/>
                <a:cs typeface="Times New Roman" panose="02020603050405020304" pitchFamily="18" charset="0"/>
              </a:defRPr>
            </a:pPr>
            <a:endParaRPr lang="sk-SK" sz="750">
              <a:latin typeface="Times New Roman" panose="02020603050405020304" pitchFamily="18" charset="0"/>
              <a:cs typeface="Times New Roman" panose="02020603050405020304" pitchFamily="18" charset="0"/>
            </a:endParaRPr>
          </a:p>
        </cx:txPr>
      </cx:axis>
      <cx:axis id="1">
        <cx:valScaling/>
        <cx:majorGridlines>
          <cx:spPr>
            <a:ln>
              <a:solidFill>
                <a:schemeClr val="bg1">
                  <a:lumMod val="75000"/>
                </a:schemeClr>
              </a:solidFill>
              <a:prstDash val="dash"/>
            </a:ln>
          </cx:spPr>
        </cx:majorGridlines>
        <cx:tickLabels/>
        <cx:txPr>
          <a:bodyPr spcFirstLastPara="1" vertOverflow="ellipsis" wrap="square" lIns="0" tIns="0" rIns="0" bIns="0" anchor="ctr" anchorCtr="1"/>
          <a:lstStyle/>
          <a:p>
            <a:pPr>
              <a:defRPr sz="800">
                <a:latin typeface="Times New Roman" panose="02020603050405020304" pitchFamily="18" charset="0"/>
                <a:ea typeface="Times New Roman" panose="02020603050405020304" pitchFamily="18" charset="0"/>
                <a:cs typeface="Times New Roman" panose="02020603050405020304" pitchFamily="18" charset="0"/>
              </a:defRPr>
            </a:pPr>
            <a:endParaRPr lang="sk-SK" sz="8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x:txPr>
      </cx:axis>
    </cx:plotArea>
  </cx:chart>
  <cx:spPr>
    <a:ln>
      <a:noFill/>
    </a:ln>
  </cx:spPr>
  <cx:clrMapOvr bg1="lt1" tx1="dk1" bg2="lt2" tx2="dk2" accent1="accent1" accent2="accent2" accent3="accent3" accent4="accent4" accent5="accent5" accent6="accent6" hlink="hlink" folHlink="folHlink"/>
</cx:chartSpace>
</file>

<file path=word/charts/chartEx2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strDim type="cat">
        <cx:f>Prehľad!$T$281:$T$290</cx:f>
        <cx:lvl ptCount="10">
          <cx:pt idx="0">Do 3 mil. eur</cx:pt>
          <cx:pt idx="1">&gt;= 3 mil. eur</cx:pt>
          <cx:pt idx="2">&gt;= 5 mil. eur</cx:pt>
          <cx:pt idx="3">&gt;= 10 mil. eur</cx:pt>
          <cx:pt idx="4">&gt;= 15 mil. eur</cx:pt>
          <cx:pt idx="5">&gt;= 20 mil. eur</cx:pt>
          <cx:pt idx="6">&gt; = 25 mil. eur</cx:pt>
          <cx:pt idx="7">&gt; = 30 mil. eur</cx:pt>
          <cx:pt idx="8">&gt;= 35 mil. eur</cx:pt>
          <cx:pt idx="9">&gt;= 40 mil. eur</cx:pt>
        </cx:lvl>
      </cx:strDim>
      <cx:numDim type="val">
        <cx:f>Prehľad!$U$281:$U$290</cx:f>
        <cx:lvl ptCount="10" formatCode="0">
          <cx:pt idx="0">18.379933300000001</cx:pt>
          <cx:pt idx="1">13.949769629999999</cx:pt>
          <cx:pt idx="2">28.940593860000007</cx:pt>
          <cx:pt idx="3">25.714610950000001</cx:pt>
          <cx:pt idx="4">12.731999999999999</cx:pt>
          <cx:pt idx="5">3.2000000000000002</cx:pt>
          <cx:pt idx="6">12.16453739</cx:pt>
          <cx:pt idx="7">17.699999999999999</cx:pt>
          <cx:pt idx="8">0</cx:pt>
          <cx:pt idx="9">523.86671183500005</cx:pt>
        </cx:lvl>
      </cx:numDim>
    </cx:data>
  </cx:chartData>
  <cx:chart>
    <cx:plotArea>
      <cx:plotAreaRegion>
        <cx:series layoutId="waterfall" uniqueId="{9A869269-393B-4B35-AA3D-9836C9EFD853}">
          <cx:tx>
            <cx:txData>
              <cx:f>Prehľad!$U$280</cx:f>
              <cx:v>Úspora</cx:v>
            </cx:txData>
          </cx:tx>
          <cx:dataLabels>
            <cx:txPr>
              <a:bodyPr spcFirstLastPara="1" vertOverflow="ellipsis" wrap="square" lIns="0" tIns="0" rIns="0" bIns="0" anchor="ctr" anchorCtr="1">
                <a:spAutoFit/>
              </a:bodyPr>
              <a:lstStyle/>
              <a:p>
                <a:pPr>
                  <a:defRPr sz="800">
                    <a:latin typeface="Times New Roman" panose="02020603050405020304" pitchFamily="18" charset="0"/>
                    <a:ea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sk-SK" sz="800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x:txPr>
            <cx:visibility seriesName="0" categoryName="0" value="1"/>
          </cx:dataLabels>
          <cx:dataId val="0"/>
          <cx:layoutPr>
            <cx:subtotals/>
          </cx:layoutPr>
        </cx:series>
      </cx:plotAreaRegion>
      <cx:axis id="0">
        <cx:catScaling gapWidth="0.5"/>
        <cx:tickLabels/>
        <cx:txPr>
          <a:bodyPr spcFirstLastPara="1" vertOverflow="ellipsis" wrap="square" lIns="0" tIns="0" rIns="0" bIns="0" anchor="ctr" anchorCtr="1"/>
          <a:lstStyle/>
          <a:p>
            <a:pPr>
              <a:defRPr lang="sk-SK" sz="750" b="0" i="0" u="none" strike="noStrike" kern="120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imes New Roman" panose="02020603050405020304" pitchFamily="18" charset="0"/>
                <a:ea typeface="Times New Roman" panose="02020603050405020304" pitchFamily="18" charset="0"/>
                <a:cs typeface="Times New Roman" panose="02020603050405020304" pitchFamily="18" charset="0"/>
              </a:defRPr>
            </a:pPr>
            <a:endParaRPr lang="sk-SK" sz="750">
              <a:latin typeface="Times New Roman" panose="02020603050405020304" pitchFamily="18" charset="0"/>
              <a:cs typeface="Times New Roman" panose="02020603050405020304" pitchFamily="18" charset="0"/>
            </a:endParaRPr>
          </a:p>
        </cx:txPr>
      </cx:axis>
      <cx:axis id="1">
        <cx:valScaling/>
        <cx:majorGridlines>
          <cx:spPr>
            <a:ln>
              <a:solidFill>
                <a:schemeClr val="bg1">
                  <a:lumMod val="75000"/>
                </a:schemeClr>
              </a:solidFill>
              <a:prstDash val="dash"/>
            </a:ln>
          </cx:spPr>
        </cx:majorGridlines>
        <cx:tickLabels/>
        <cx:txPr>
          <a:bodyPr spcFirstLastPara="1" vertOverflow="ellipsis" wrap="square" lIns="0" tIns="0" rIns="0" bIns="0" anchor="ctr" anchorCtr="1"/>
          <a:lstStyle/>
          <a:p>
            <a:pPr>
              <a:defRPr sz="800">
                <a:latin typeface="Times New Roman" panose="02020603050405020304" pitchFamily="18" charset="0"/>
                <a:ea typeface="Times New Roman" panose="02020603050405020304" pitchFamily="18" charset="0"/>
                <a:cs typeface="Times New Roman" panose="02020603050405020304" pitchFamily="18" charset="0"/>
              </a:defRPr>
            </a:pPr>
            <a:endParaRPr lang="sk-SK" sz="8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x:txPr>
      </cx:axis>
    </cx:plotArea>
  </cx:chart>
  <cx:spPr>
    <a:ln>
      <a:noFill/>
    </a:ln>
  </cx:spPr>
</cx:chartSpace>
</file>

<file path=word/charts/chartEx3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strDim type="cat">
        <cx:f>Prehľad!$B$80:$B$89</cx:f>
        <cx:lvl ptCount="10">
          <cx:pt idx="0">Do 3 mil. eur</cx:pt>
          <cx:pt idx="1">&gt;= 3 mil. eur</cx:pt>
          <cx:pt idx="2">&gt;= 5 mil. eur</cx:pt>
          <cx:pt idx="3">&gt;= 10 mil. eur</cx:pt>
          <cx:pt idx="4">&gt;= 15 mil. eur</cx:pt>
          <cx:pt idx="5">&gt;= 20 mil. eur</cx:pt>
          <cx:pt idx="6">&gt; = 25 mil. eur</cx:pt>
          <cx:pt idx="7">&gt; = 30 mil. eur</cx:pt>
          <cx:pt idx="8">&gt;= 35 mil. eur</cx:pt>
          <cx:pt idx="9">&gt;= 40 mil. eur</cx:pt>
        </cx:lvl>
      </cx:strDim>
      <cx:numDim type="val">
        <cx:f>Prehľad!$C$80:$C$89</cx:f>
        <cx:lvl ptCount="10" formatCode="0">
          <cx:pt idx="0">111</cx:pt>
          <cx:pt idx="1">30</cx:pt>
          <cx:pt idx="2">54</cx:pt>
          <cx:pt idx="3">13</cx:pt>
          <cx:pt idx="4">6</cx:pt>
          <cx:pt idx="5">9</cx:pt>
          <cx:pt idx="6">1</cx:pt>
          <cx:pt idx="7">3</cx:pt>
          <cx:pt idx="8">3</cx:pt>
          <cx:pt idx="9">18</cx:pt>
        </cx:lvl>
      </cx:numDim>
    </cx:data>
  </cx:chartData>
  <cx:chart>
    <cx:plotArea>
      <cx:plotAreaRegion>
        <cx:series layoutId="waterfall" uniqueId="{2203805A-4B45-459F-B137-6BE89B2E204B}" formatIdx="0">
          <cx:tx>
            <cx:txData>
              <cx:f>Prehľad!$C$79</cx:f>
              <cx:v>Počet</cx:v>
            </cx:txData>
          </cx:tx>
          <cx:dataLabels pos="outEnd">
            <cx:txPr>
              <a:bodyPr spcFirstLastPara="1" vertOverflow="ellipsis" wrap="square" lIns="0" tIns="0" rIns="0" bIns="0" anchor="ctr" anchorCtr="1">
                <a:spAutoFit/>
              </a:bodyPr>
              <a:lstStyle/>
              <a:p>
                <a:pPr>
                  <a:defRPr sz="800">
                    <a:latin typeface="Times New Roman" panose="02020603050405020304" pitchFamily="18" charset="0"/>
                    <a:ea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sk-SK" sz="800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x:txPr>
            <cx:visibility seriesName="0" categoryName="0" value="1"/>
          </cx:dataLabels>
          <cx:dataId val="0"/>
          <cx:layoutPr>
            <cx:subtotals/>
          </cx:layoutPr>
        </cx:series>
      </cx:plotAreaRegion>
      <cx:axis id="0">
        <cx:catScaling gapWidth="0.5"/>
        <cx:tickLabels/>
        <cx:txPr>
          <a:bodyPr spcFirstLastPara="1" vertOverflow="ellipsis" wrap="square" lIns="0" tIns="0" rIns="0" bIns="0" anchor="ctr" anchorCtr="1"/>
          <a:lstStyle/>
          <a:p>
            <a:pPr>
              <a:defRPr sz="800">
                <a:latin typeface="Times New Roman" panose="02020603050405020304" pitchFamily="18" charset="0"/>
                <a:ea typeface="Times New Roman" panose="02020603050405020304" pitchFamily="18" charset="0"/>
                <a:cs typeface="Times New Roman" panose="02020603050405020304" pitchFamily="18" charset="0"/>
              </a:defRPr>
            </a:pPr>
            <a:endParaRPr lang="sk-SK" sz="8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x:txPr>
      </cx:axis>
      <cx:axis id="1">
        <cx:valScaling/>
        <cx:majorGridlines>
          <cx:spPr>
            <a:ln>
              <a:solidFill>
                <a:schemeClr val="bg1">
                  <a:lumMod val="75000"/>
                </a:schemeClr>
              </a:solidFill>
              <a:prstDash val="dash"/>
            </a:ln>
          </cx:spPr>
        </cx:majorGridlines>
        <cx:tickLabels/>
        <cx:txPr>
          <a:bodyPr spcFirstLastPara="1" vertOverflow="ellipsis" wrap="square" lIns="0" tIns="0" rIns="0" bIns="0" anchor="ctr" anchorCtr="1"/>
          <a:lstStyle/>
          <a:p>
            <a:pPr>
              <a:defRPr sz="800">
                <a:latin typeface="Times New Roman" panose="02020603050405020304" pitchFamily="18" charset="0"/>
                <a:ea typeface="Times New Roman" panose="02020603050405020304" pitchFamily="18" charset="0"/>
                <a:cs typeface="Times New Roman" panose="02020603050405020304" pitchFamily="18" charset="0"/>
              </a:defRPr>
            </a:pPr>
            <a:endParaRPr lang="sk-SK" sz="8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x:txPr>
      </cx:axis>
    </cx:plotArea>
  </cx:chart>
  <cx:spPr>
    <a:ln>
      <a:noFill/>
    </a:ln>
  </cx:spPr>
  <cx:clrMapOvr bg1="lt1" tx1="dk1" bg2="lt2" tx2="dk2" accent1="accent1" accent2="accent2" accent3="accent3" accent4="accent4" accent5="accent5" accent6="accent6" hlink="hlink" folHlink="folHlink"/>
</cx:chartSpace>
</file>

<file path=word/charts/chartEx4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strDim type="cat">
        <cx:f>Prehľad!$S$78:$S$87</cx:f>
        <cx:lvl ptCount="10">
          <cx:pt idx="0">Do 3 mil. eur</cx:pt>
          <cx:pt idx="1">&gt;= 3 mil. eur</cx:pt>
          <cx:pt idx="2">&gt;= 5 mil. eur</cx:pt>
          <cx:pt idx="3">&gt;= 10 mil. eur</cx:pt>
          <cx:pt idx="4">&gt;= 15 mil. eur</cx:pt>
          <cx:pt idx="5">&gt;= 20 mil. eur</cx:pt>
          <cx:pt idx="6">&gt; = 25 mil. eur</cx:pt>
          <cx:pt idx="7">&gt; = 30 mil. eur</cx:pt>
          <cx:pt idx="8">&gt;= 35 mil. eur</cx:pt>
          <cx:pt idx="9">&gt;= 40 mil. eur</cx:pt>
        </cx:lvl>
      </cx:strDim>
      <cx:numDim type="val">
        <cx:f>Prehľad!$T$78:$T$87</cx:f>
        <cx:lvl ptCount="10" formatCode="0">
          <cx:pt idx="0">26</cx:pt>
          <cx:pt idx="1">23</cx:pt>
          <cx:pt idx="2">62.893999999999998</cx:pt>
          <cx:pt idx="3">32.553999999999995</cx:pt>
          <cx:pt idx="4">36.221999999999994</cx:pt>
          <cx:pt idx="5">54.771999999999991</cx:pt>
          <cx:pt idx="6">7.2599999999999998</cx:pt>
          <cx:pt idx="7">15.262</cx:pt>
          <cx:pt idx="8">59.399999999999999</cx:pt>
          <cx:pt idx="9">126.22000000000003</cx:pt>
        </cx:lvl>
      </cx:numDim>
    </cx:data>
  </cx:chartData>
  <cx:chart>
    <cx:plotArea>
      <cx:plotAreaRegion>
        <cx:series layoutId="waterfall" uniqueId="{983AC3BC-D0D3-4154-8837-C61C483E6D76}">
          <cx:tx>
            <cx:txData>
              <cx:f>Prehľad!$T$77</cx:f>
              <cx:v>Úspora</cx:v>
            </cx:txData>
          </cx:tx>
          <cx:dataLabels>
            <cx:txPr>
              <a:bodyPr spcFirstLastPara="1" vertOverflow="ellipsis" wrap="square" lIns="0" tIns="0" rIns="0" bIns="0" anchor="ctr" anchorCtr="1">
                <a:spAutoFit/>
              </a:bodyPr>
              <a:lstStyle/>
              <a:p>
                <a:pPr>
                  <a:defRPr sz="800">
                    <a:latin typeface="Times New Roman" panose="02020603050405020304" pitchFamily="18" charset="0"/>
                    <a:ea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sk-SK" sz="800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x:txPr>
            <cx:visibility seriesName="0" categoryName="0" value="1"/>
          </cx:dataLabels>
          <cx:dataId val="0"/>
          <cx:layoutPr>
            <cx:subtotals/>
          </cx:layoutPr>
        </cx:series>
      </cx:plotAreaRegion>
      <cx:axis id="0">
        <cx:catScaling gapWidth="0.5"/>
        <cx:tickLabels/>
        <cx:txPr>
          <a:bodyPr spcFirstLastPara="1" vertOverflow="ellipsis" wrap="square" lIns="0" tIns="0" rIns="0" bIns="0" anchor="ctr" anchorCtr="1"/>
          <a:lstStyle/>
          <a:p>
            <a:pPr>
              <a:defRPr sz="800">
                <a:latin typeface="Times New Roman" panose="02020603050405020304" pitchFamily="18" charset="0"/>
                <a:ea typeface="Times New Roman" panose="02020603050405020304" pitchFamily="18" charset="0"/>
                <a:cs typeface="Times New Roman" panose="02020603050405020304" pitchFamily="18" charset="0"/>
              </a:defRPr>
            </a:pPr>
            <a:endParaRPr lang="sk-SK" sz="8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x:txPr>
      </cx:axis>
      <cx:axis id="1">
        <cx:valScaling/>
        <cx:majorGridlines>
          <cx:spPr>
            <a:ln>
              <a:solidFill>
                <a:schemeClr val="bg1">
                  <a:lumMod val="75000"/>
                </a:schemeClr>
              </a:solidFill>
              <a:prstDash val="dash"/>
            </a:ln>
          </cx:spPr>
        </cx:majorGridlines>
        <cx:tickLabels/>
        <cx:txPr>
          <a:bodyPr spcFirstLastPara="1" vertOverflow="ellipsis" wrap="square" lIns="0" tIns="0" rIns="0" bIns="0" anchor="ctr" anchorCtr="1"/>
          <a:lstStyle/>
          <a:p>
            <a:pPr>
              <a:defRPr sz="800">
                <a:latin typeface="Times New Roman" panose="02020603050405020304" pitchFamily="18" charset="0"/>
                <a:ea typeface="Times New Roman" panose="02020603050405020304" pitchFamily="18" charset="0"/>
                <a:cs typeface="Times New Roman" panose="02020603050405020304" pitchFamily="18" charset="0"/>
              </a:defRPr>
            </a:pPr>
            <a:endParaRPr lang="sk-SK" sz="8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x:txPr>
      </cx:axis>
    </cx:plotArea>
  </cx:chart>
  <cx:spPr>
    <a:ln>
      <a:noFill/>
    </a:ln>
  </cx:spPr>
</cx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9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  <cs:bodyPr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  <cs:bodyPr wrap="square" lIns="38100" tIns="19050" rIns="38100" bIns="19050" anchor="ctr">
      <a:spAutoFit/>
    </cs:bodyPr>
  </cs:dataLabel>
  <cs:dataLabelCallout>
    <cs:lnRef idx="0"/>
    <cs:fillRef idx="0"/>
    <cs:effectRef idx="0"/>
    <cs:fontRef idx="minor">
      <a:schemeClr val="tx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>
        <a:solidFill>
          <a:schemeClr val="phClr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/>
      </a:solidFill>
    </cs:spPr>
  </cs:downBar>
  <cs:dropLine>
    <cs:lnRef idx="0"/>
    <cs:fillRef idx="0"/>
    <cs:effectRef idx="0"/>
    <cs:fontRef idx="minor">
      <a:schemeClr val="tx1"/>
    </cs:fontRef>
  </cs:dropLine>
  <cs:errorBar>
    <cs:lnRef idx="0"/>
    <cs:fillRef idx="0"/>
    <cs:effectRef idx="0"/>
    <cs:fontRef idx="minor">
      <a:schemeClr val="tx1"/>
    </cs:fontRef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tx1">
            <a:lumMod val="15000"/>
            <a:lumOff val="85000"/>
            <a:lumOff val="10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</cs:hiLoLine>
  <cs:leaderLine>
    <cs:lnRef idx="0"/>
    <cs:fillRef idx="0"/>
    <cs:effectRef idx="0"/>
    <cs:fontRef idx="minor">
      <a:schemeClr val="tx1"/>
    </cs:fontRef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  <cs:bodyPr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  <cs:bodyPr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  <cs:bodyPr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9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  <cs:bodyPr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  <cs:bodyPr wrap="square" lIns="38100" tIns="19050" rIns="38100" bIns="19050" anchor="ctr">
      <a:spAutoFit/>
    </cs:bodyPr>
  </cs:dataLabel>
  <cs:dataLabelCallout>
    <cs:lnRef idx="0"/>
    <cs:fillRef idx="0"/>
    <cs:effectRef idx="0"/>
    <cs:fontRef idx="minor">
      <a:schemeClr val="tx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>
        <a:solidFill>
          <a:schemeClr val="phClr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/>
      </a:solidFill>
    </cs:spPr>
  </cs:downBar>
  <cs:dropLine>
    <cs:lnRef idx="0"/>
    <cs:fillRef idx="0"/>
    <cs:effectRef idx="0"/>
    <cs:fontRef idx="minor">
      <a:schemeClr val="tx1"/>
    </cs:fontRef>
  </cs:dropLine>
  <cs:errorBar>
    <cs:lnRef idx="0"/>
    <cs:fillRef idx="0"/>
    <cs:effectRef idx="0"/>
    <cs:fontRef idx="minor">
      <a:schemeClr val="tx1"/>
    </cs:fontRef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tx1">
            <a:lumMod val="15000"/>
            <a:lumOff val="85000"/>
            <a:lumOff val="10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</cs:hiLoLine>
  <cs:leaderLine>
    <cs:lnRef idx="0"/>
    <cs:fillRef idx="0"/>
    <cs:effectRef idx="0"/>
    <cs:fontRef idx="minor">
      <a:schemeClr val="tx1"/>
    </cs:fontRef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  <cs:bodyPr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  <cs:bodyPr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  <cs:bodyPr/>
  </cs:valueAxis>
  <cs:wall>
    <cs:lnRef idx="0"/>
    <cs:fillRef idx="0"/>
    <cs:effectRef idx="0"/>
    <cs:fontRef idx="minor">
      <a:schemeClr val="tx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39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  <cs:bodyPr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  <cs:bodyPr wrap="square" lIns="38100" tIns="19050" rIns="38100" bIns="19050" anchor="ctr">
      <a:spAutoFit/>
    </cs:bodyPr>
  </cs:dataLabel>
  <cs:dataLabelCallout>
    <cs:lnRef idx="0"/>
    <cs:fillRef idx="0"/>
    <cs:effectRef idx="0"/>
    <cs:fontRef idx="minor">
      <a:schemeClr val="tx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>
        <a:solidFill>
          <a:schemeClr val="phClr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/>
      </a:solidFill>
    </cs:spPr>
  </cs:downBar>
  <cs:dropLine>
    <cs:lnRef idx="0"/>
    <cs:fillRef idx="0"/>
    <cs:effectRef idx="0"/>
    <cs:fontRef idx="minor">
      <a:schemeClr val="tx1"/>
    </cs:fontRef>
  </cs:dropLine>
  <cs:errorBar>
    <cs:lnRef idx="0"/>
    <cs:fillRef idx="0"/>
    <cs:effectRef idx="0"/>
    <cs:fontRef idx="minor">
      <a:schemeClr val="tx1"/>
    </cs:fontRef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tx1">
            <a:lumMod val="15000"/>
            <a:lumOff val="85000"/>
            <a:lumOff val="10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</cs:hiLoLine>
  <cs:leaderLine>
    <cs:lnRef idx="0"/>
    <cs:fillRef idx="0"/>
    <cs:effectRef idx="0"/>
    <cs:fontRef idx="minor">
      <a:schemeClr val="tx1"/>
    </cs:fontRef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  <cs:bodyPr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  <cs:bodyPr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  <cs:bodyPr/>
  </cs:valueAxis>
  <cs:wall>
    <cs:lnRef idx="0"/>
    <cs:fillRef idx="0"/>
    <cs:effectRef idx="0"/>
    <cs:fontRef idx="minor">
      <a:schemeClr val="tx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39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  <cs:bodyPr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  <cs:bodyPr wrap="square" lIns="38100" tIns="19050" rIns="38100" bIns="19050" anchor="ctr">
      <a:spAutoFit/>
    </cs:bodyPr>
  </cs:dataLabel>
  <cs:dataLabelCallout>
    <cs:lnRef idx="0"/>
    <cs:fillRef idx="0"/>
    <cs:effectRef idx="0"/>
    <cs:fontRef idx="minor">
      <a:schemeClr val="tx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>
        <a:solidFill>
          <a:schemeClr val="phClr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/>
      </a:solidFill>
    </cs:spPr>
  </cs:downBar>
  <cs:dropLine>
    <cs:lnRef idx="0"/>
    <cs:fillRef idx="0"/>
    <cs:effectRef idx="0"/>
    <cs:fontRef idx="minor">
      <a:schemeClr val="tx1"/>
    </cs:fontRef>
  </cs:dropLine>
  <cs:errorBar>
    <cs:lnRef idx="0"/>
    <cs:fillRef idx="0"/>
    <cs:effectRef idx="0"/>
    <cs:fontRef idx="minor">
      <a:schemeClr val="tx1"/>
    </cs:fontRef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tx1">
            <a:lumMod val="15000"/>
            <a:lumOff val="85000"/>
            <a:lumOff val="10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</cs:hiLoLine>
  <cs:leaderLine>
    <cs:lnRef idx="0"/>
    <cs:fillRef idx="0"/>
    <cs:effectRef idx="0"/>
    <cs:fontRef idx="minor">
      <a:schemeClr val="tx1"/>
    </cs:fontRef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  <cs:bodyPr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  <cs:bodyPr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  <cs:bodyPr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345D5AA583624FBE4499852B5726D5" ma:contentTypeVersion="10" ma:contentTypeDescription="Create a new document." ma:contentTypeScope="" ma:versionID="4b996caf26ec77a4113241cd2dd5b0c2">
  <xsd:schema xmlns:xsd="http://www.w3.org/2001/XMLSchema" xmlns:xs="http://www.w3.org/2001/XMLSchema" xmlns:p="http://schemas.microsoft.com/office/2006/metadata/properties" xmlns:ns2="2bea311a-6349-4f16-a6ad-3d7e64363659" xmlns:ns3="eb985e83-3d52-42ad-b155-d29f26040bee" targetNamespace="http://schemas.microsoft.com/office/2006/metadata/properties" ma:root="true" ma:fieldsID="5cc731268314e1dd6d469260f9aaf390" ns2:_="" ns3:_="">
    <xsd:import namespace="2bea311a-6349-4f16-a6ad-3d7e64363659"/>
    <xsd:import namespace="eb985e83-3d52-42ad-b155-d29f26040b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Rezort" minOccurs="0"/>
                <xsd:element ref="ns2:_Flow_SignoffStatus" minOccurs="0"/>
                <xsd:element ref="ns2:rezort1" minOccurs="0"/>
                <xsd:element ref="ns2:Dokon_x010d_en_x00e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a311a-6349-4f16-a6ad-3d7e643636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Rezort" ma:index="12" nillable="true" ma:displayName="Rezort" ma:format="Dropdown" ma:internalName="Rezort">
      <xsd:simpleType>
        <xsd:restriction base="dms:Choice">
          <xsd:enumeration value="MIRRI SR"/>
          <xsd:enumeration value="MF SR"/>
          <xsd:enumeration value="MD SR"/>
          <xsd:enumeration value="MV SR"/>
        </xsd:restriction>
      </xsd:simpleType>
    </xsd:element>
    <xsd:element name="_Flow_SignoffStatus" ma:index="13" nillable="true" ma:displayName="Sign-off status" ma:internalName="Sign_x002d_off_x0020_status">
      <xsd:simpleType>
        <xsd:restriction base="dms:Text"/>
      </xsd:simpleType>
    </xsd:element>
    <xsd:element name="rezort1" ma:index="14" nillable="true" ma:displayName="rezort1" ma:format="Dropdown" ma:internalName="rezort1">
      <xsd:simpleType>
        <xsd:restriction base="dms:Choice">
          <xsd:enumeration value="Voľba 1"/>
          <xsd:enumeration value="Voľba 2"/>
          <xsd:enumeration value="Voľba 3"/>
        </xsd:restriction>
      </xsd:simpleType>
    </xsd:element>
    <xsd:element name="Dokon_x010d_en_x00e9_" ma:index="15" nillable="true" ma:displayName="Dokončené" ma:default="1" ma:format="Dropdown" ma:internalName="Dokon_x010d_en_x00e9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85e83-3d52-42ad-b155-d29f26040b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bea311a-6349-4f16-a6ad-3d7e64363659" xsi:nil="true"/>
    <Rezort xmlns="2bea311a-6349-4f16-a6ad-3d7e64363659" xsi:nil="true"/>
    <rezort1 xmlns="2bea311a-6349-4f16-a6ad-3d7e64363659" xsi:nil="true"/>
    <Dokon_x010d_en_x00e9_ xmlns="2bea311a-6349-4f16-a6ad-3d7e64363659">true</Dokon_x010d_en_x00e9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7D0E6-3D40-4011-8535-E3C6AC2E5B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277BCB-1C3B-4685-B25C-A8F5AEDA6B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a311a-6349-4f16-a6ad-3d7e64363659"/>
    <ds:schemaRef ds:uri="eb985e83-3d52-42ad-b155-d29f26040b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ECD727-FD85-4553-84B7-1888ED18C1F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bea311a-6349-4f16-a6ad-3d7e64363659"/>
    <ds:schemaRef ds:uri="http://purl.org/dc/elements/1.1/"/>
    <ds:schemaRef ds:uri="http://schemas.microsoft.com/office/2006/metadata/properties"/>
    <ds:schemaRef ds:uri="eb985e83-3d52-42ad-b155-d29f26040be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627870B-7A23-4306-A6B4-22596A255AD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lubor.lysak@normoff.gov.sk</dc:creator>
  <keywords/>
  <dc:description/>
  <lastModifiedBy>Durisova Alica</lastModifiedBy>
  <revision>52</revision>
  <lastPrinted>2019-04-02T11:43:00.0000000Z</lastPrinted>
  <dcterms:created xsi:type="dcterms:W3CDTF">2019-03-28T09:32:00.0000000Z</dcterms:created>
  <dcterms:modified xsi:type="dcterms:W3CDTF">2023-06-20T10:05:44.9454556Z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0x010100DC345D5AA583624FBE4499852B5726D5</vt:lpwstr>
  </property>
</Properties>
</file>