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2C9" w:rsidRDefault="003C542A">
      <w:pPr>
        <w:pStyle w:val="Bezriadkovania"/>
        <w:jc w:val="center"/>
        <w:rPr>
          <w:rFonts w:ascii="Times New Roman" w:hAnsi="Times New Roman"/>
          <w:b/>
          <w:caps/>
          <w:color w:val="000000"/>
          <w:spacing w:val="30"/>
          <w:sz w:val="24"/>
          <w:szCs w:val="24"/>
          <w:lang w:eastAsia="sk-SK"/>
        </w:rPr>
      </w:pPr>
      <w:bookmarkStart w:id="0" w:name="_GoBack"/>
      <w:bookmarkEnd w:id="0"/>
      <w:r>
        <w:rPr>
          <w:rFonts w:ascii="Times New Roman" w:hAnsi="Times New Roman"/>
          <w:b/>
          <w:caps/>
          <w:color w:val="000000"/>
          <w:spacing w:val="30"/>
          <w:sz w:val="24"/>
          <w:szCs w:val="24"/>
          <w:lang w:eastAsia="sk-SK"/>
        </w:rPr>
        <w:t>Dôvodová správa</w:t>
      </w:r>
    </w:p>
    <w:p w:rsidR="001B62C9" w:rsidRDefault="001B62C9">
      <w:pPr>
        <w:pStyle w:val="Bezriadkovania"/>
        <w:jc w:val="center"/>
        <w:rPr>
          <w:rFonts w:ascii="Times New Roman" w:hAnsi="Times New Roman"/>
          <w:b/>
          <w:caps/>
          <w:color w:val="000000"/>
          <w:spacing w:val="30"/>
          <w:sz w:val="24"/>
          <w:szCs w:val="24"/>
          <w:lang w:eastAsia="sk-SK"/>
        </w:rPr>
      </w:pPr>
    </w:p>
    <w:p w:rsidR="001B62C9" w:rsidRDefault="003C542A">
      <w:pPr>
        <w:widowControl/>
        <w:spacing w:after="0" w:line="240" w:lineRule="auto"/>
        <w:rPr>
          <w:rFonts w:ascii="Times New Roman" w:hAnsi="Times New Roman"/>
          <w:iCs/>
          <w:sz w:val="24"/>
          <w:szCs w:val="24"/>
        </w:rPr>
      </w:pPr>
      <w:r>
        <w:rPr>
          <w:rFonts w:ascii="Times New Roman" w:hAnsi="Times New Roman"/>
          <w:b/>
          <w:color w:val="000000"/>
          <w:sz w:val="24"/>
          <w:szCs w:val="24"/>
          <w:lang w:eastAsia="sk-SK"/>
        </w:rPr>
        <w:t>A. Všeobecná časť</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Style w:val="Zstupntext"/>
          <w:i/>
          <w:color w:val="000000"/>
          <w:sz w:val="24"/>
          <w:szCs w:val="24"/>
        </w:rPr>
      </w:pPr>
      <w:r>
        <w:rPr>
          <w:rFonts w:ascii="Times New Roman" w:hAnsi="Times New Roman"/>
          <w:sz w:val="24"/>
          <w:szCs w:val="24"/>
        </w:rPr>
        <w:t xml:space="preserve">Predkladaným návrhom nariadenia vlády sa realizuje splnomocňovacie ustanovenie § 68 ods. 4 zákona č. 440/2015 Z. z. </w:t>
      </w:r>
      <w:r>
        <w:rPr>
          <w:rStyle w:val="Zstupntext"/>
          <w:color w:val="000000"/>
          <w:sz w:val="24"/>
          <w:szCs w:val="24"/>
        </w:rPr>
        <w:t>o športe a o zmene a doplnení niektorých zákonov v znení zákona č. 354/2016 Z. z. (ďalej len „zákon“), podľa ktorého v súvislosti s príspevkom uznanému športu „</w:t>
      </w:r>
      <w:r>
        <w:rPr>
          <w:rStyle w:val="Zstupntext"/>
          <w:i/>
          <w:color w:val="000000"/>
          <w:sz w:val="24"/>
          <w:szCs w:val="24"/>
        </w:rPr>
        <w:t>Vláda pre príspevok uznanému športu na príslušný rok nariadením ustanoví</w:t>
      </w:r>
    </w:p>
    <w:p w:rsidR="001B62C9" w:rsidRDefault="003C542A">
      <w:pPr>
        <w:pStyle w:val="Bezriadkovania"/>
        <w:jc w:val="both"/>
        <w:rPr>
          <w:rStyle w:val="Zstupntext"/>
          <w:i/>
          <w:color w:val="000000"/>
          <w:sz w:val="24"/>
          <w:szCs w:val="24"/>
        </w:rPr>
      </w:pPr>
      <w:r>
        <w:rPr>
          <w:rStyle w:val="Zstupntext"/>
          <w:i/>
          <w:color w:val="000000"/>
          <w:sz w:val="24"/>
          <w:szCs w:val="24"/>
        </w:rPr>
        <w:t>a) metodiku zisťovania hodnôt a parametrov do vzorca ustanoveného v prílohe č. 3,</w:t>
      </w:r>
    </w:p>
    <w:p w:rsidR="001B62C9" w:rsidRDefault="003C542A">
      <w:pPr>
        <w:pStyle w:val="Bezriadkovania"/>
        <w:jc w:val="both"/>
        <w:rPr>
          <w:rStyle w:val="Zstupntext"/>
          <w:i/>
          <w:color w:val="000000"/>
          <w:sz w:val="24"/>
          <w:szCs w:val="24"/>
        </w:rPr>
      </w:pPr>
      <w:r>
        <w:rPr>
          <w:rStyle w:val="Zstupntext"/>
          <w:i/>
          <w:color w:val="000000"/>
          <w:sz w:val="24"/>
          <w:szCs w:val="24"/>
        </w:rPr>
        <w:t>b) hodnotu váhy dosiahnutého športového úspechu, váhy domáceho záujmu o šport a váhy zahraničného záujmu o šport do vzorca ustanoveného v prílohe č. 3 a</w:t>
      </w:r>
    </w:p>
    <w:p w:rsidR="001B62C9" w:rsidRDefault="003C542A">
      <w:pPr>
        <w:pStyle w:val="Bezriadkovania"/>
        <w:jc w:val="both"/>
        <w:rPr>
          <w:rStyle w:val="Zstupntext"/>
          <w:color w:val="000000"/>
          <w:sz w:val="24"/>
          <w:szCs w:val="24"/>
        </w:rPr>
      </w:pPr>
      <w:r>
        <w:rPr>
          <w:rStyle w:val="Zstupntext"/>
          <w:i/>
          <w:color w:val="000000"/>
          <w:sz w:val="24"/>
          <w:szCs w:val="24"/>
        </w:rPr>
        <w:t>c) metodiku výpočtu príspevku uznanému športu vrátane maximálneho možného medziročného poklesu a nárastu príspevku uznanému športu, maximálneho percentuálneho podielu príspevku uznanému športu a minimálnej hodnoty príspevku uznanému športu.“</w:t>
      </w:r>
      <w:r>
        <w:rPr>
          <w:rStyle w:val="Zstupntext"/>
          <w:color w:val="000000"/>
          <w:sz w:val="24"/>
          <w:szCs w:val="24"/>
        </w:rPr>
        <w:t>.</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Návrh nariadenia vlády upravuje obe metodiky, resp. pravidlá výpočtu prostredníctvom viacerých vzorcov vo svojich prílohách, ako aj ustanovuje hodnoty váh. Jednotlivé vzorce sa uvádzajú pre kategóriu dospelých s tým, že pre kategóriu mládeže sa v zmysle druhého bodu prílohy č. 3 k zákonu postupuje rovnako s dvoma odchýlkami: zohľadňujú sa len dve najvyššie vekové kategórie (z ktorých sa napokon berie do úvahy tá, ktorá je pre výpočet podielu daného športu priaznivejšia) a namiesto rebríčkov v kategórii dospelých do výpočtu prirodzene vstupujú príslušné rebríčky v kategórii mládeže.</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Do výpočtov vstupujú v návrhu nariadenia vlády dva druhy rebríčkov – zamerané teritoriálne a zamerané personálne. V prípade rebríčkov zameraných teritoriálne je použitý názov „rebríček krajín“ skôr ako „rebríček štátov“, nakoľko sú športy, v ktorých je v príslušnej medzinárodnej športovej organizácii zastúpených viacero reprezentácii z územia jedného štátu. Aj v anglickej terminológii sa tu používa skôr pojem „country“ ako „state“. Príkladom môžu byť samostatné reprezentácie Anglicka, Škótska, Walesu a Severného Írska, hoci ide o jeden štát – Spojené kráľovstvo. Obdobne to platí aj pri pojme „reprezentant inej krajiny“, nakoľko nie je rozhodujúce, ktorého štátu je reprezentant občanom, ale ktoré „územie“ reprezentuje (napr. občan San Marina reprezentujúci Wales sa pri individuálnom športovom odvetví počíta Walesu). Zároveň pri rebríčkoch nie je postačujúce odkázať na rebríčky vydané „medzinárodnými športovými organizáciami“, nakoľko spomedzi všetkých takýchto organizácií sú rozhodujúce sú len tie, ktoré pôsobia v rámci SportAccordu a Medzinárodného olympijského výboru.</w:t>
      </w:r>
    </w:p>
    <w:p w:rsidR="001B62C9" w:rsidRDefault="001B62C9">
      <w:pPr>
        <w:pStyle w:val="Bezriadkovania"/>
        <w:jc w:val="both"/>
        <w:rPr>
          <w:rFonts w:ascii="Times New Roman" w:hAnsi="Times New Roman"/>
          <w:sz w:val="24"/>
          <w:szCs w:val="24"/>
        </w:rPr>
      </w:pPr>
    </w:p>
    <w:p w:rsidR="001B62C9" w:rsidRDefault="003C542A">
      <w:pPr>
        <w:pStyle w:val="Bezriadkovania"/>
        <w:jc w:val="both"/>
      </w:pPr>
      <w:r>
        <w:rPr>
          <w:rFonts w:ascii="Times New Roman" w:hAnsi="Times New Roman"/>
          <w:color w:val="000000"/>
          <w:sz w:val="24"/>
          <w:szCs w:val="24"/>
        </w:rPr>
        <w:t>Materiál sa predkladá vo vzťahu k príspevku na rok 2024, vzhľadom na to, že príspevok sa poskytuje každoročne, pričom metodika prideľovania finančných prostriedkov v oblasti športu sa priebežne vyvíja, čo predpokladá vydávanie nariadenia každoročne. Vo výpočte príspevku na rok 2024 budú pre rozhodujúce obdobia 2020 až 2022 použité vypočítané postavenia za tieto obdobia z výpočtu príspevku na rok 2023. V prípade zistenia nových údajov za niektoré z období 2020 až 2022 bude prepočet postavenia za toto obdobie opravený.</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Ambíciou vzorca na výpočet príspevku uznanému športu je rozdelenie rozhodujúcej časti  finančných prostriedkov zo štátneho rozpočtu jednotlivým športom so zohľadnením</w:t>
      </w:r>
    </w:p>
    <w:p w:rsidR="001B62C9" w:rsidRDefault="003C542A">
      <w:pPr>
        <w:pStyle w:val="Bezriadkovania"/>
        <w:numPr>
          <w:ilvl w:val="0"/>
          <w:numId w:val="1"/>
        </w:numPr>
        <w:jc w:val="both"/>
        <w:rPr>
          <w:rFonts w:ascii="Times New Roman" w:hAnsi="Times New Roman"/>
          <w:sz w:val="24"/>
          <w:szCs w:val="24"/>
        </w:rPr>
      </w:pPr>
      <w:r>
        <w:rPr>
          <w:rFonts w:ascii="Times New Roman" w:hAnsi="Times New Roman"/>
          <w:sz w:val="24"/>
          <w:szCs w:val="24"/>
        </w:rPr>
        <w:t>úspešnosti príslušných športov,</w:t>
      </w:r>
    </w:p>
    <w:p w:rsidR="001B62C9" w:rsidRDefault="003C542A">
      <w:pPr>
        <w:pStyle w:val="Bezriadkovania"/>
        <w:numPr>
          <w:ilvl w:val="0"/>
          <w:numId w:val="1"/>
        </w:numPr>
        <w:jc w:val="both"/>
        <w:rPr>
          <w:rFonts w:ascii="Times New Roman" w:hAnsi="Times New Roman"/>
          <w:sz w:val="24"/>
          <w:szCs w:val="24"/>
        </w:rPr>
      </w:pPr>
      <w:r>
        <w:rPr>
          <w:rFonts w:ascii="Times New Roman" w:hAnsi="Times New Roman"/>
          <w:color w:val="1D1B11" w:themeColor="background2" w:themeShade="1A"/>
          <w:sz w:val="24"/>
          <w:szCs w:val="24"/>
        </w:rPr>
        <w:t xml:space="preserve">domáceho a zahraničného </w:t>
      </w:r>
      <w:r>
        <w:rPr>
          <w:rFonts w:ascii="Times New Roman" w:hAnsi="Times New Roman"/>
          <w:sz w:val="24"/>
          <w:szCs w:val="24"/>
        </w:rPr>
        <w:t>záujmu</w:t>
      </w:r>
      <w:r>
        <w:rPr>
          <w:rFonts w:ascii="Times New Roman" w:hAnsi="Times New Roman"/>
          <w:color w:val="FF0000"/>
          <w:sz w:val="24"/>
          <w:szCs w:val="24"/>
        </w:rPr>
        <w:t xml:space="preserve"> </w:t>
      </w:r>
      <w:r>
        <w:rPr>
          <w:rFonts w:ascii="Times New Roman" w:hAnsi="Times New Roman"/>
          <w:sz w:val="24"/>
          <w:szCs w:val="24"/>
        </w:rPr>
        <w:t>verejnosti o tieto športy,</w:t>
      </w:r>
    </w:p>
    <w:p w:rsidR="001B62C9" w:rsidRDefault="003C542A">
      <w:pPr>
        <w:pStyle w:val="Bezriadkovania"/>
        <w:numPr>
          <w:ilvl w:val="0"/>
          <w:numId w:val="1"/>
        </w:numPr>
        <w:jc w:val="both"/>
        <w:rPr>
          <w:rFonts w:ascii="Times New Roman" w:hAnsi="Times New Roman"/>
          <w:sz w:val="24"/>
          <w:szCs w:val="24"/>
        </w:rPr>
      </w:pPr>
      <w:r>
        <w:rPr>
          <w:rFonts w:ascii="Times New Roman" w:hAnsi="Times New Roman"/>
          <w:sz w:val="24"/>
          <w:szCs w:val="24"/>
        </w:rPr>
        <w:t>zapojením mládeže do 23 rokov do pravidelnej športovej činnosti v príslušných športoch.</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 xml:space="preserve">Základom vzorca je vzťah </w:t>
      </w:r>
    </w:p>
    <w:p w:rsidR="001B62C9" w:rsidRDefault="003C542A">
      <w:pPr>
        <w:pStyle w:val="Bezriadkovania"/>
        <w:jc w:val="both"/>
        <w:rPr>
          <w:rFonts w:ascii="Times New Roman" w:hAnsi="Times New Roman"/>
          <w:sz w:val="24"/>
          <w:szCs w:val="24"/>
        </w:rPr>
      </w:pPr>
      <w:r>
        <w:rPr>
          <w:rFonts w:ascii="Times New Roman" w:hAnsi="Times New Roman"/>
          <w:b/>
          <w:sz w:val="24"/>
          <w:szCs w:val="24"/>
        </w:rPr>
        <w:t xml:space="preserve">„športový úspech </w:t>
      </w:r>
      <w:r w:rsidR="003D50C0" w:rsidRPr="003D50C0">
        <w:rPr>
          <w:rFonts w:ascii="Times New Roman" w:hAnsi="Times New Roman"/>
          <w:b/>
          <w:sz w:val="24"/>
          <w:szCs w:val="24"/>
        </w:rPr>
        <w:t>×</w:t>
      </w:r>
      <w:r>
        <w:rPr>
          <w:rFonts w:ascii="Times New Roman" w:hAnsi="Times New Roman"/>
          <w:b/>
          <w:sz w:val="24"/>
          <w:szCs w:val="24"/>
        </w:rPr>
        <w:t xml:space="preserve"> záujem verejnosti + počet aktívnych športovcov vo veku do 23 rokov“</w:t>
      </w:r>
      <w:r>
        <w:rPr>
          <w:rFonts w:ascii="Times New Roman" w:hAnsi="Times New Roman"/>
          <w:sz w:val="24"/>
          <w:szCs w:val="24"/>
        </w:rPr>
        <w:t>,</w:t>
      </w:r>
    </w:p>
    <w:p w:rsidR="001B62C9" w:rsidRDefault="003C542A">
      <w:pPr>
        <w:pStyle w:val="Bezriadkovania"/>
        <w:jc w:val="both"/>
        <w:rPr>
          <w:rFonts w:ascii="Times New Roman" w:hAnsi="Times New Roman"/>
          <w:sz w:val="24"/>
          <w:szCs w:val="24"/>
        </w:rPr>
      </w:pPr>
      <w:r>
        <w:rPr>
          <w:rFonts w:ascii="Times New Roman" w:hAnsi="Times New Roman"/>
          <w:sz w:val="24"/>
          <w:szCs w:val="24"/>
        </w:rPr>
        <w:t>ktorý vyjadruje, že šport je tým viac užitočnejší pre spoločnosť, čím je úspešnejší a zároveň aj je oň záujem, a/alebo čím viac detí a mládeže pritiahne k pravidelnému športovaniu. Tento vzorec zároveň umožňuje porovnávať medzi sebou rôzne športy na princípe nestrannosti.</w:t>
      </w:r>
    </w:p>
    <w:p w:rsidR="001B62C9" w:rsidRDefault="001B62C9">
      <w:pPr>
        <w:pStyle w:val="Bezriadkovania"/>
        <w:jc w:val="both"/>
        <w:rPr>
          <w:rFonts w:ascii="Times New Roman" w:hAnsi="Times New Roman"/>
          <w:sz w:val="24"/>
          <w:szCs w:val="24"/>
        </w:rPr>
      </w:pPr>
    </w:p>
    <w:p w:rsidR="001B62C9" w:rsidRPr="00796339" w:rsidRDefault="003C542A">
      <w:pPr>
        <w:pStyle w:val="Bezriadkovania"/>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 xml:space="preserve">Návrh nariadenia vychádza z  nariadenia vlády č. </w:t>
      </w:r>
      <w:r w:rsidR="00D6376C" w:rsidRPr="00796339">
        <w:rPr>
          <w:rFonts w:ascii="Times New Roman" w:hAnsi="Times New Roman"/>
          <w:color w:val="000000" w:themeColor="text1"/>
          <w:sz w:val="24"/>
          <w:szCs w:val="24"/>
        </w:rPr>
        <w:t>303</w:t>
      </w:r>
      <w:r w:rsidRPr="00796339">
        <w:rPr>
          <w:rFonts w:ascii="Times New Roman" w:hAnsi="Times New Roman"/>
          <w:color w:val="000000" w:themeColor="text1"/>
          <w:sz w:val="24"/>
          <w:szCs w:val="24"/>
        </w:rPr>
        <w:t>/20</w:t>
      </w:r>
      <w:r w:rsidR="00D6376C" w:rsidRPr="00796339">
        <w:rPr>
          <w:rFonts w:ascii="Times New Roman" w:hAnsi="Times New Roman"/>
          <w:color w:val="000000" w:themeColor="text1"/>
          <w:sz w:val="24"/>
          <w:szCs w:val="24"/>
        </w:rPr>
        <w:t>22</w:t>
      </w:r>
      <w:r w:rsidRPr="00796339">
        <w:rPr>
          <w:rFonts w:ascii="Times New Roman" w:hAnsi="Times New Roman"/>
          <w:color w:val="000000" w:themeColor="text1"/>
          <w:sz w:val="24"/>
          <w:szCs w:val="24"/>
        </w:rPr>
        <w:t xml:space="preserve"> Z. z. o metodike na výpočet podielu uznaného športu na rok 2023. Oproti tomuto nariadeniu návrh aktualizuje príslušné roky a prináša nasledovné zmeny: </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zvyšuje váhu parametra počtu aktívnych športovcov v uznanom športe vo veku do 23 rokov z</w:t>
      </w:r>
      <w:r w:rsidR="003D50C0" w:rsidRPr="00796339">
        <w:rPr>
          <w:rFonts w:ascii="Times New Roman" w:hAnsi="Times New Roman"/>
          <w:color w:val="000000" w:themeColor="text1"/>
          <w:sz w:val="24"/>
          <w:szCs w:val="24"/>
        </w:rPr>
        <w:t> </w:t>
      </w:r>
      <w:r w:rsidRPr="00796339">
        <w:rPr>
          <w:rFonts w:ascii="Times New Roman" w:hAnsi="Times New Roman"/>
          <w:color w:val="000000" w:themeColor="text1"/>
          <w:sz w:val="24"/>
          <w:szCs w:val="24"/>
        </w:rPr>
        <w:t>20</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na 25</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čím sa následne alikvótne znižuje váha parametra pre dosiahnutý športový úspech dospelých aj mládeže zo 40</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na 37,5</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zreálňuje prepočet športového úspechu v prípade tzv. rebríčkového postavenia, a to nie porovnaním na počet krajín zastúpených vo svetovej federácii, ale porovnaním na počet krajín zastúpených v rebríčku svetovej federácie, pričom do tohto počtu sa započítavajú aj krajiny, ktorých športovci alebo tímy sa preukázateľne zúčastnili kvalifikácie na kontinentálny šampionát, ale tieto krajiny sa v rebríčku nenachádzajú,</w:t>
      </w:r>
    </w:p>
    <w:p w:rsidR="001B62C9" w:rsidRPr="00796339" w:rsidRDefault="003D50C0">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s</w:t>
      </w:r>
      <w:r w:rsidR="003C542A" w:rsidRPr="00796339">
        <w:rPr>
          <w:rFonts w:ascii="Times New Roman" w:hAnsi="Times New Roman"/>
          <w:color w:val="000000" w:themeColor="text1"/>
          <w:sz w:val="24"/>
          <w:szCs w:val="24"/>
        </w:rPr>
        <w:t xml:space="preserve">presňuje spôsob výpočtu postavenia SR v prípade použitia rebríčkov individuálnych športovcov v prípade, že uznaný individuálny šport má najviac </w:t>
      </w:r>
      <w:r w:rsidRPr="00796339">
        <w:rPr>
          <w:rFonts w:ascii="Times New Roman" w:hAnsi="Times New Roman"/>
          <w:color w:val="000000" w:themeColor="text1"/>
          <w:sz w:val="24"/>
          <w:szCs w:val="24"/>
        </w:rPr>
        <w:t>jedno</w:t>
      </w:r>
      <w:r w:rsidR="003C542A" w:rsidRPr="00796339">
        <w:rPr>
          <w:rFonts w:ascii="Times New Roman" w:hAnsi="Times New Roman"/>
          <w:color w:val="000000" w:themeColor="text1"/>
          <w:sz w:val="24"/>
          <w:szCs w:val="24"/>
        </w:rPr>
        <w:t xml:space="preserve"> športové odvetvie a všetky indiciduálne športové disciplíny sú zahrnuté v rebríčku športovcov,</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rozširuje zoznam rozhodujúcich podujatí v kategórii mládeže aj o výsledky z Európskeho pohára mládeže a Európskeho olympijského festivalu mládeže,</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redukuje počet započítaných výsledkov jedného športovca a športového zoskupenia v neolympijskom športovom odvetví v každom rozhodujúcom období z troch na dva,</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mení nastavenie horného limitu ochrany za účelom umožnenia vyššieho % nárastu príspevku „menším“ športom s veľkým potenciálom rastu nasledovne:</w:t>
      </w:r>
    </w:p>
    <w:p w:rsidR="001B62C9" w:rsidRPr="00796339" w:rsidRDefault="003C542A">
      <w:pPr>
        <w:pStyle w:val="Bezriadkovania"/>
        <w:numPr>
          <w:ilvl w:val="0"/>
          <w:numId w:val="3"/>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športy, ktorých koeficient športu 2023 bol do výšky 1,82</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môžu rásť v rozmedzí 10</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až 75</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kedy výšku % rastu určuje klesajúca lineárna funkcia uvedená vo vzorci č. 1b Prílohy č.2 a hodnota 1,82</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predstavuje hodnotu horného kvintilu (20%) z koeficientov jednotlivých športov za rok 2023,</w:t>
      </w:r>
    </w:p>
    <w:p w:rsidR="001B62C9" w:rsidRPr="00796339" w:rsidRDefault="003C542A">
      <w:pPr>
        <w:pStyle w:val="Bezriadkovania"/>
        <w:numPr>
          <w:ilvl w:val="0"/>
          <w:numId w:val="3"/>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športy, ktorých koeficient športu 2023 bol vyšší ako 1,82</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 môžu rásť fixne maximálne o</w:t>
      </w:r>
      <w:r w:rsidR="003D50C0" w:rsidRPr="00796339">
        <w:rPr>
          <w:rFonts w:ascii="Times New Roman" w:hAnsi="Times New Roman"/>
          <w:color w:val="000000" w:themeColor="text1"/>
          <w:sz w:val="24"/>
          <w:szCs w:val="24"/>
        </w:rPr>
        <w:t> </w:t>
      </w:r>
      <w:r w:rsidRPr="00796339">
        <w:rPr>
          <w:rFonts w:ascii="Times New Roman" w:hAnsi="Times New Roman"/>
          <w:color w:val="000000" w:themeColor="text1"/>
          <w:sz w:val="24"/>
          <w:szCs w:val="24"/>
        </w:rPr>
        <w:t>10</w:t>
      </w:r>
      <w:r w:rsidR="003D50C0" w:rsidRPr="00796339">
        <w:rPr>
          <w:rFonts w:ascii="Times New Roman" w:hAnsi="Times New Roman"/>
          <w:color w:val="000000" w:themeColor="text1"/>
          <w:sz w:val="24"/>
          <w:szCs w:val="24"/>
        </w:rPr>
        <w:t xml:space="preserve"> </w:t>
      </w:r>
      <w:r w:rsidRPr="00796339">
        <w:rPr>
          <w:rFonts w:ascii="Times New Roman" w:hAnsi="Times New Roman"/>
          <w:color w:val="000000" w:themeColor="text1"/>
          <w:sz w:val="24"/>
          <w:szCs w:val="24"/>
        </w:rPr>
        <w:t>%,</w:t>
      </w:r>
    </w:p>
    <w:p w:rsidR="001B62C9" w:rsidRPr="00796339" w:rsidRDefault="003C542A">
      <w:pPr>
        <w:pStyle w:val="Bezriadkovania"/>
        <w:numPr>
          <w:ilvl w:val="0"/>
          <w:numId w:val="2"/>
        </w:numPr>
        <w:jc w:val="both"/>
        <w:rPr>
          <w:rFonts w:ascii="Times New Roman" w:hAnsi="Times New Roman"/>
          <w:color w:val="000000" w:themeColor="text1"/>
          <w:sz w:val="24"/>
          <w:szCs w:val="24"/>
        </w:rPr>
      </w:pPr>
      <w:r w:rsidRPr="00796339">
        <w:rPr>
          <w:rFonts w:ascii="Times New Roman" w:hAnsi="Times New Roman"/>
          <w:color w:val="000000" w:themeColor="text1"/>
          <w:sz w:val="24"/>
          <w:szCs w:val="24"/>
        </w:rPr>
        <w:t>zavádza pre nové uznané športy (národné športové zväzy) strop, ktorým je dvojnásobok minimálneho koeficientu 2024, pričom ak bol niektorý z takýchto nových športov v roku 2023 financovaný dotáciou pre tzv. „neuznaný šport“, do výpočtu príspevku na rok 2024 sa mu započíta ako východisková suma dotácie z roku 2023.</w:t>
      </w:r>
    </w:p>
    <w:p w:rsidR="001B62C9" w:rsidRDefault="001B62C9">
      <w:pPr>
        <w:widowControl/>
        <w:spacing w:after="0"/>
        <w:rPr>
          <w:rFonts w:ascii="Times New Roman" w:hAnsi="Times New Roman"/>
          <w:color w:val="FF0000"/>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 xml:space="preserve">Materiálom sa upravuje spôsob alokácie verejných zdrojov medzi národné športové zväzy. </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Návrh nepredpokladá vplyv na rozpočet verejnej správy, sociálne vplyvy, vplyv na manželstvo, rodičovstvo, rodinu, vplyv na informatizáciu spoločnosti, vplyvy na podnikateľské prostredie, vplyvy na životné  prostredie ani vplyvy na služby pre občana.</w:t>
      </w:r>
    </w:p>
    <w:p w:rsidR="001B62C9" w:rsidRDefault="001B62C9">
      <w:pPr>
        <w:pStyle w:val="Bezriadkovania"/>
        <w:jc w:val="both"/>
        <w:rPr>
          <w:rFonts w:ascii="Times New Roman" w:hAnsi="Times New Roman"/>
          <w:sz w:val="24"/>
          <w:szCs w:val="24"/>
        </w:rPr>
      </w:pPr>
    </w:p>
    <w:p w:rsidR="001B62C9" w:rsidRDefault="003C542A">
      <w:pPr>
        <w:pStyle w:val="Bezriadkovania"/>
        <w:jc w:val="both"/>
        <w:rPr>
          <w:rFonts w:ascii="Times New Roman" w:hAnsi="Times New Roman"/>
          <w:sz w:val="24"/>
          <w:szCs w:val="24"/>
        </w:rPr>
      </w:pPr>
      <w:r>
        <w:rPr>
          <w:rFonts w:ascii="Times New Roman" w:hAnsi="Times New Roman"/>
          <w:sz w:val="24"/>
          <w:szCs w:val="24"/>
        </w:rPr>
        <w:t>Návrh je v súlade s Ústavou Slovenskej republiky, ústavnými zákonmi a nálezmi Ústavného súdu Slovenskej republiky, medzinárodnými zmluvami a medzinárodnými dokumentmi, ktorými je Slovenská republika viazaná, zákonmi a s právom Európskej únie.</w:t>
      </w:r>
    </w:p>
    <w:sectPr w:rsidR="001B62C9">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4975"/>
    <w:multiLevelType w:val="multilevel"/>
    <w:tmpl w:val="A5B476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2E78700E"/>
    <w:multiLevelType w:val="multilevel"/>
    <w:tmpl w:val="2278AD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880A03"/>
    <w:multiLevelType w:val="multilevel"/>
    <w:tmpl w:val="953CCD0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63A85EB5"/>
    <w:multiLevelType w:val="multilevel"/>
    <w:tmpl w:val="18060E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C9"/>
    <w:rsid w:val="00022743"/>
    <w:rsid w:val="001B62C9"/>
    <w:rsid w:val="003C542A"/>
    <w:rsid w:val="003D50C0"/>
    <w:rsid w:val="00796339"/>
    <w:rsid w:val="00912643"/>
    <w:rsid w:val="00D6376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240F6-5F0C-4FD6-89C7-4CC025B1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C7AA6"/>
    <w:pPr>
      <w:widowControl w:val="0"/>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qFormat/>
    <w:rsid w:val="00F84CAC"/>
    <w:rPr>
      <w:rFonts w:ascii="Times New Roman" w:hAnsi="Times New Roman" w:cs="Times New Roman"/>
      <w:color w:val="808080"/>
    </w:rPr>
  </w:style>
  <w:style w:type="character" w:customStyle="1" w:styleId="NumberingSymbols">
    <w:name w:val="Numbering Symbols"/>
    <w:qFormat/>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styleId="Bezriadkovania">
    <w:name w:val="No Spacing"/>
    <w:uiPriority w:val="1"/>
    <w:qFormat/>
    <w:rsid w:val="006422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vseobecna"/>
    <f:field ref="objsubject" par="" edit="true" text=""/>
    <f:field ref="objcreatedby" par="" text="Kušnír, Jaroslav"/>
    <f:field ref="objcreatedat" par="" text="21.7.2023 13:02:11"/>
    <f:field ref="objchangedby" par="" text="Administrator, System"/>
    <f:field ref="objmodifiedat" par="" text="21.7.2023 13:02: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94F627-04B9-45EC-A525-59598BBE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marek.gilanyi</dc:creator>
  <dc:description/>
  <cp:lastModifiedBy>Kušnír Jaroslav</cp:lastModifiedBy>
  <cp:revision>2</cp:revision>
  <cp:lastPrinted>2023-07-20T10:51:00Z</cp:lastPrinted>
  <dcterms:created xsi:type="dcterms:W3CDTF">2023-08-16T07:34:00Z</dcterms:created>
  <dcterms:modified xsi:type="dcterms:W3CDTF">2023-08-16T07:34:00Z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MSVVaSSR</vt:lpwstr>
  </property>
  <property fmtid="{D5CDD505-2E9C-101B-9397-08002B2CF9AE}" pid="4" name="DocSecurity">
    <vt:i4>0</vt:i4>
  </property>
  <property fmtid="{D5CDD505-2E9C-101B-9397-08002B2CF9AE}" pid="5" name="FSC#COOSYSTEM@1.1:Container">
    <vt:lpwstr>COO.2145.1000.3.5751838</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
  </property>
  <property fmtid="{D5CDD505-2E9C-101B-9397-08002B2CF9AE}" pid="18" name="FSC#SKEDITIONSLOVLEX@103.510:AttrStrListDocPropInfoZaciatokKonania">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
  </property>
  <property fmtid="{D5CDD505-2E9C-101B-9397-08002B2CF9AE}" pid="23" name="FSC#SKEDITIONSLOVLEX@103.510:AttrStrListDocPropNazovPredpisuEU">
    <vt:lpwstr/>
  </property>
  <property fmtid="{D5CDD505-2E9C-101B-9397-08002B2CF9AE}" pid="24" name="FSC#SKEDITIONSLOVLEX@103.510:AttrStrListDocPropPoznamkaVplyv">
    <vt:lpwstr/>
  </property>
  <property fmtid="{D5CDD505-2E9C-101B-9397-08002B2CF9AE}" pid="25" name="FSC#SKEDITIONSLOVLEX@103.510:AttrStrListDocPropPrimarnePravoEU">
    <vt:lpwstr/>
  </property>
  <property fmtid="{D5CDD505-2E9C-101B-9397-08002B2CF9AE}" pid="26" name="FSC#SKEDITIONSLOVLEX@103.510:AttrStrListDocPropProblematikaPPa">
    <vt:lpwstr>nie 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LP/2023/440</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školstva, vedy, výskumu a športu Slovenskej republiky</vt:lpwstr>
  </property>
  <property fmtid="{D5CDD505-2E9C-101B-9397-08002B2CF9AE}" pid="125" name="FSC#SKEDITIONSLOVLEX@103.510:funkciaZodpPredAkuzativ">
    <vt:lpwstr>Ministra školstva, vedy, výskumu a športu Slovenskej republiky</vt:lpwstr>
  </property>
  <property fmtid="{D5CDD505-2E9C-101B-9397-08002B2CF9AE}" pid="126" name="FSC#SKEDITIONSLOVLEX@103.510:funkciaZodpPredDativ">
    <vt:lpwstr>Ministrovi školstva, vedy, výskumu a športu Slovenskej republiky</vt:lpwstr>
  </property>
  <property fmtid="{D5CDD505-2E9C-101B-9397-08002B2CF9AE}" pid="127" name="FSC#SKEDITIONSLOVLEX@103.510:legoblast">
    <vt:lpwstr>Správne právo</vt:lpwstr>
  </property>
  <property fmtid="{D5CDD505-2E9C-101B-9397-08002B2CF9AE}" pid="128" name="FSC#SKEDITIONSLOVLEX@103.510:nazovpredpis">
    <vt:lpwstr>  o metodike na výpočet podielu uznaného športu na rok 2024</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Nariadenie vlády  Slovenskej republiky  o metodike na výpočet podielu uznaného športu na rok 2024</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 68 ods. 4 zákona č. 440/2015 Z. z. o športe a o zmene a doplnení niektorých zákonov v znení zákona č. 354/2016 Z. z. - každoročne vydávaný právny predpis.</vt:lpwstr>
  </property>
  <property fmtid="{D5CDD505-2E9C-101B-9397-08002B2CF9AE}" pid="139" name="FSC#SKEDITIONSLOVLEX@103.510:povodpredpis">
    <vt:lpwstr>Slovlex (eLeg)</vt:lpwstr>
  </property>
  <property fmtid="{D5CDD505-2E9C-101B-9397-08002B2CF9AE}" pid="140" name="FSC#SKEDITIONSLOVLEX@103.510:predkladatel">
    <vt:lpwstr>Jaroslav Kušnír</vt:lpwstr>
  </property>
  <property fmtid="{D5CDD505-2E9C-101B-9397-08002B2CF9AE}" pid="141" name="FSC#SKEDITIONSLOVLEX@103.510:predkladateliaObalSD">
    <vt:lpwstr>Mgr. Daniel Bútora_x000d_
Minister školstva, vedy, výskumu a športu Slovenskej republiky</vt:lpwstr>
  </property>
  <property fmtid="{D5CDD505-2E9C-101B-9397-08002B2CF9AE}" pid="142"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3" name="FSC#SKEDITIONSLOVLEX@103.510:rezortcislopredpis">
    <vt:lpwstr>2023/12571-A1810</vt:lpwstr>
  </property>
  <property fmtid="{D5CDD505-2E9C-101B-9397-08002B2CF9AE}" pid="144" name="FSC#SKEDITIONSLOVLEX@103.510:spiscislouv">
    <vt:lpwstr/>
  </property>
  <property fmtid="{D5CDD505-2E9C-101B-9397-08002B2CF9AE}" pid="145" name="FSC#SKEDITIONSLOVLEX@103.510:spravaucastverej">
    <vt:lpwstr>&lt;p&gt;Verejnosť bola o&amp;nbsp;návrhu informovaná v&amp;nbsp;rámci predbežnej informácie evidovanej pod číslom legislatívneho procesu PI/2023/193. K&amp;nbsp;predbežnej informácií nebola doručená žiadna pripomienka.&lt;/p&gt;</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Nariadenie vlády Slovenskej republiky</vt:lpwstr>
  </property>
  <property fmtid="{D5CDD505-2E9C-101B-9397-08002B2CF9AE}" pid="148" name="FSC#SKEDITIONSLOVLEX@103.510:typsprievdok">
    <vt:lpwstr>Dôvodová správa</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21. 7. 2023</vt:lpwstr>
  </property>
  <property fmtid="{D5CDD505-2E9C-101B-9397-08002B2CF9AE}" pid="153" name="FSC#SKEDITIONSLOVLEX@103.510:vztahypredpis">
    <vt:lpwstr/>
  </property>
  <property fmtid="{D5CDD505-2E9C-101B-9397-08002B2CF9AE}" pid="154" name="FSC#SKEDITIONSLOVLEX@103.510:zodpinstitucia">
    <vt:lpwstr>Ministerstvo školstva, vedy, výskumu a športu Slovenskej republiky</vt:lpwstr>
  </property>
  <property fmtid="{D5CDD505-2E9C-101B-9397-08002B2CF9AE}" pid="155" name="FSC#SKEDITIONSLOVLEX@103.510:zodppredkladatel">
    <vt:lpwstr>Mgr. Daniel Bútora</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