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5B25BC" w:rsidRDefault="005B25BC">
      <w:pPr>
        <w:jc w:val="center"/>
        <w:divId w:val="966549316"/>
        <w:rPr>
          <w:rFonts w:ascii="Times" w:hAnsi="Times" w:cs="Times"/>
          <w:sz w:val="25"/>
          <w:szCs w:val="25"/>
        </w:rPr>
      </w:pPr>
      <w:r>
        <w:rPr>
          <w:rFonts w:ascii="Times" w:hAnsi="Times" w:cs="Times"/>
          <w:sz w:val="25"/>
          <w:szCs w:val="25"/>
        </w:rPr>
        <w:t>Nariadenie vlády Slovenskej republiky, ktorým sa ustanovujú hodnota investície a koncesie a základné náležitosti štúdie uskutočniteľnosti investície a štúdie uskutočniteľnosti koncesie</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5B25BC" w:rsidP="005B25BC">
            <w:pPr>
              <w:spacing w:after="0" w:line="240" w:lineRule="auto"/>
              <w:rPr>
                <w:rFonts w:ascii="Times New Roman" w:hAnsi="Times New Roman" w:cs="Calibri"/>
                <w:sz w:val="20"/>
                <w:szCs w:val="20"/>
              </w:rPr>
            </w:pPr>
            <w:r>
              <w:rPr>
                <w:rFonts w:ascii="Times" w:hAnsi="Times" w:cs="Times"/>
                <w:sz w:val="25"/>
                <w:szCs w:val="25"/>
              </w:rPr>
              <w:t>18 /7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5B25BC" w:rsidP="005B25BC">
            <w:pPr>
              <w:spacing w:after="0" w:line="240" w:lineRule="auto"/>
              <w:rPr>
                <w:rFonts w:ascii="Times New Roman" w:hAnsi="Times New Roman" w:cs="Calibri"/>
                <w:sz w:val="20"/>
                <w:szCs w:val="20"/>
              </w:rPr>
            </w:pPr>
            <w:r>
              <w:rPr>
                <w:rFonts w:ascii="Times" w:hAnsi="Times" w:cs="Times"/>
                <w:sz w:val="25"/>
                <w:szCs w:val="25"/>
              </w:rPr>
              <w:t>18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5B25BC" w:rsidP="005B25BC">
            <w:pPr>
              <w:spacing w:after="0" w:line="240" w:lineRule="auto"/>
              <w:rPr>
                <w:rFonts w:ascii="Times New Roman" w:hAnsi="Times New Roman" w:cs="Calibri"/>
                <w:sz w:val="20"/>
                <w:szCs w:val="20"/>
              </w:rPr>
            </w:pPr>
            <w:r>
              <w:rPr>
                <w:rFonts w:ascii="Times" w:hAnsi="Times" w:cs="Times"/>
                <w:sz w:val="25"/>
                <w:szCs w:val="25"/>
              </w:rPr>
              <w:t>9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5B25BC" w:rsidP="005B25BC">
            <w:pPr>
              <w:spacing w:after="0" w:line="240" w:lineRule="auto"/>
              <w:rPr>
                <w:rFonts w:ascii="Times New Roman" w:hAnsi="Times New Roman" w:cs="Calibri"/>
                <w:sz w:val="20"/>
                <w:szCs w:val="20"/>
              </w:rPr>
            </w:pPr>
            <w:r>
              <w:rPr>
                <w:rFonts w:ascii="Times" w:hAnsi="Times" w:cs="Times"/>
                <w:sz w:val="25"/>
                <w:szCs w:val="25"/>
              </w:rPr>
              <w:t>9 /7</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5B25BC" w:rsidP="005B25BC">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5B25BC" w:rsidRDefault="005B25BC"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5B25BC">
        <w:trPr>
          <w:divId w:val="1743018974"/>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Vôbec nezaslali</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Generálne riaditeľstvo zboru väzenskej a justičnej stráže</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 (2o,2z)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x</w:t>
            </w:r>
          </w:p>
        </w:tc>
      </w:tr>
      <w:tr w:rsidR="005B25BC">
        <w:trPr>
          <w:divId w:val="1743018974"/>
          <w:jc w:val="center"/>
        </w:trPr>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18 (11o,7z)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5B25BC" w:rsidRDefault="005B25BC">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5B25BC" w:rsidRDefault="005B25BC"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8281"/>
        <w:gridCol w:w="446"/>
        <w:gridCol w:w="523"/>
        <w:gridCol w:w="1818"/>
      </w:tblGrid>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Spôsob vyhodnotenia</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GR ZVJS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 1 ods. 1</w:t>
            </w:r>
            <w:r>
              <w:rPr>
                <w:rFonts w:ascii="Times" w:hAnsi="Times" w:cs="Times"/>
                <w:sz w:val="25"/>
                <w:szCs w:val="25"/>
              </w:rPr>
              <w:br/>
              <w:t>Navrhujeme ponechať pôvodnú formuláciu v znení: „Štúdia uskutočniteľnosti investície sa vypracuje, ak hodnota investície sa rovná alebo je vyššia ako 40 000 000 eur.“. Odôvodnenie: Súčasný stav Štúdiu uskutočniteľnosti investície alebo koncesie musia inštitúcie vo verejnej správe vypracovať, pokiaľ je jej predpokladaná hodnota vyššia ako 40 miliónov eur vrátane dane z pridanej hodnoty. Limit na vypracovanie štúdie uskutočniteľnosti pri investíciách v informatizácii je podľa schváleného materiálu 10 miliónov eur. Súčasne platné limity sú záväzné v zmysle Nariadenia vlády Slovenskej republiky zo dňa 17. 04. 2019, kde sa štúdia uskutočniteľnosti vypracováva pri rozsiahlych projektoch (diaľnice, veľké priemyselné parky, atď.) zohľadňujúc všetky aspekty vstupujúce do rozhodovacieho procesu. Štúdia uskutočniteľnosti je štandardne využívaná v predinvestičnej etape realizácie projektu. Cieľom jej spracovania je posúdiť projektový investičný zámer zo všetkých možných hľadísk (predovšetkým z technického, ekonomického a environmentálneho), identifikovať potenciálne alternatívy riešenia projektu, zhodnotiť ich uskutočniteľnosť a vytvoriť tak kvalifikovaný podklad pre rozhodovanie o výbere najoptimálnejšej alternatívy riešenia projektu. Znížením súčasne platného limitu zo 40 miliónov eur na 10 miliónov eur kedy je potrebné vypracovať štúdiu príde k ďalšiemu byrokratickému zaťaženiu štátnych inštitúcii. Ako príklad uvádzame práve opačný trend v legislatíve, a to zvyšovanie limitov pre plánovacie a rozhodovacie procesy v prípravnej a projektovej fáze investičnej výstavby. V zákone č. 254/1998 Z. z. o verejných prácach v znení neskorších predpisov došlo od 01. 09. 2019 k navyšovaniu limitov pri vypracovaní stavebného zámeru (pôvodný limit 1 327 756 eur, nový limit 5 000 000 eur) a štátnej expertízy (pôvodný limit 6 638 783 eur, nový limit 20 000 000 eur). Taktiež treba zohľadniť aj rast cien stavebných komodít, prác a vysokú mieru inflácie za posledné roky. Na základe vyššie uvedeného by bolo vhodné neznižovať súčasne platné limity, resp. ich minimálne zachovať. Poslaním verejných inštitúcii je prijímať praktické rozhodnutia o verejných zdrojoch, politikách aj reguláciách štátu a nezvyšovať už dosť vysoké byrokratické zaťaženie.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Po zohľadnení pripomienok navrhujeme zvýšiť hranicu povinného hodnotenia investícií na 10 mil. eur. Návrh zjednodušuje proces pre investície pod 10 mil. eur a zameriava sa na väčšie projekty, pri ktorých je možnosť vyššej úspory. Zvýšením hranice sa kapitolám uvoľnia administratívne kapacity na prípravu prioritných projektov. Zameranie sa na prípravu, harmonogram a reálnosť realizácie veľkých projektov pomôže predísť rizikám spojených s ich následnou implementáciou. Navrhovaná zmena prinesie investorom väčšiu flexibilitu a?úsporu času pri menších projektoch. Pri väčších projektoch je zároveň spravidla možné stanovené ciele dosiahnuť rôznymi alternatívami, čo zvyšuje opodstatnenosť štúdie uskutočniteľnosti. Paralelne so zmenou hraníc prebehla aj aktualizácia Metodiky, v ktorej sa stanovujú výnimky a zjednodušenia pri tvorbe štúdie uskutočniteľnosti v závislosti od typu investičného projektu. Týmto sa predíde zbytočnej administratívnej záťaži po zmene hranice povinnej štúdie z pôvodných 40 mil. eur na 10 mil. eur.</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Všeobecne</w:t>
            </w:r>
            <w:r>
              <w:rPr>
                <w:rFonts w:ascii="Times" w:hAnsi="Times" w:cs="Times"/>
                <w:sz w:val="25"/>
                <w:szCs w:val="25"/>
              </w:rPr>
              <w:br/>
              <w:t>Odporúčame zjednotiť názov návrhu nariadenia vlády vo vlastnom materiáli a názov používaný v sprievodných dokumentoch vzhľadom na používanie slova „ustanovuje“ a „ustanovujú“.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K dôvodovej správe</w:t>
            </w:r>
            <w:r>
              <w:rPr>
                <w:rFonts w:ascii="Times" w:hAnsi="Times" w:cs="Times"/>
                <w:sz w:val="25"/>
                <w:szCs w:val="25"/>
              </w:rPr>
              <w:br/>
              <w:t>V Dôvodovej správe – Osobitnej časti k § 1 ods.1 až 3 odporúčame vypustiť slová „hodnotenia investícií na 3 mil. eur a“ vzhľadom na to, že predmetom § 1 ods. 1 až 3 návrhu nariadenia vlády je iba určenie hranice povinného vypracovania štúdie uskutočniteľnosti a nie určenie hranice povinného hodnotenia investícií na 3 mil. eur.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Úpravou hranice je pripomienka neaktuálna.</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o zosúladenie návrhu nariadenia vlády LP/2023/155 a Návrhu aktualizácie Metodiky prípravy a hodnotenia investičných projektov (ďalej len „návrh metodiky“) LP/2023/156. Túto pripomienku považujeme za zásadnú. Odôvodnenie: Návrh nariadenia vlády v § 2 ustanovuje obsahové náležitosti štúdie uskutočniteľnosti investície a štúdie uskutočniteľnosti koncesie a zároveň návrh metodiky v bode 16 v návrhu tabuľky č. 8 uvádza „primeraný rozsah štúdie uskutočniteľnosti“. Uvedené žiadame zosúladiť, keďže návrh nariadenia vlády nehovorí o možných výnimkách z uplatňovania niektorých prvkov a obsahových náležitostí štúdie, avšak návrh metodiky áno. Zároveň je v návrhu metodiky nejasne definované, čo konkrétne musí, respektíve môže štúdia obsahovať, keďže Tabuľka č. 8 určuje „primeraný“ rozsah štúdie uskutočniteľnosti, avšak definícia primeranosti nie je explicitne uvedená.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 xml:space="preserve">V kapitole 4, nad tabuľkou 8 boli pridané/upravené 2 odstavce zohľadňujúce pripomienky MD: "Štúdiu uskutočniteľnosti Investor vypracuje podľa schválených nariadení a?metodík primerane veľkosti a?typu projektu. Nariadenie špecifikuje základné časti štúdie uskutočniteľnosti, avšak voľba obsahu jednotlivých častí štúdie a?nástrojov na?hodnotenie investície je závislá od typu a?veľkosti projektu a?množstva relevantných alternatív riešenia. Napríklad pri rekonštrukcii budovy v?havarijnom stave nie je potrebné vypracovanie analýzy prínosov a nákladov (CBA), ale postačuje popis stavu, zdôvodnenie výberu daného rozsahu a?overiteľný odhad nákladov. Na druhú stranu, pri návrhu nového informačného systému by malo byť súčasťou štúdie jasné zdôvodnenie dopytu, riešenia a?návratnosti investície, podporené analýzou nákladov a?prínosov (CBA). " "Tabuľka 8 uvádza princípy a?príklady ako je možné konkrétne časti štúdie upraviť aby mala štúdia vzhľadom na projekt primeraný rozsah. Vzory upravených štúdií uskutočniteľnosti pre menšie projekty v?rôznych sektoroch sú zverejnené na webovom sídle MF SR16. Rezorty môžu v sektorových metodikách v spolupráci s MF SR bližšie špecifikovať obsah a rozsah jednotlivých kapitol štúdie z Tabuľky 8. V prípade pochybností pri výbere obsahu a nástrojov štúdie, alebo postupu jej vypracovania, odporúčame obrátiť sa na rezortné analytické útvary alebo priamo na MF SR na konzultáciu. " </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ponechať hodnotu investície a koncesie pri ktorej je povinnosť vypracovania štúdie uskutočniteľnosti vo výške určenej nariadením vlády Slovenskej republiky č. 174/2019 Z. z. o podmienkach vypracovania štúdie uskutočniteľnosti investície a štúdie uskutočniteľnosti koncesie. Túto pripomienku považujeme za zásadnú. Odôvodnenie: S navrhovanou úpravou limitov na hodnotenie všetkých projektov podľa § 19a zákona č. 523/2004 Z. z. o rozpočtových pravidlách verejnej správy a o zmene a doplnení niektorých zákonov zo 40 mil. € na 10 mil. € zásadne nesúhlasíme. Ministerstvo dopravy Slovenskej republiky ako Riadiaci orgán pre Operačný program Integrovaná infraštruktúra a Sprostredkovateľský orgán pre Program Slovensko, vykonávateľ pre Plán obnovy a odolnosti Slovenskej republiky a národný kontaktný bod pre dopravnú časť CEF predpokladá nezanedbateľné zdržanie a administratívu spojenú so zníženou hranicou zo 40 mil. € na 10 mil. €. Prijímateľom vzniknú nové náklady, ktoré budú musieť vynaložiť na tvorbu štúdie uskutočniteľnosti a na prípravu a hodnotenie investičných projektov, ktoré budú v rozmedzí zníženej hranice 10 mil. € až 40 mil. €. Uvedená skutočnosť bude mať vplyv aj na plynulú implementáciu projektov, keďže verejné obstarávanie, samotná tvorba štúdie uskutočniteľnosti a následné hodnotenie spôsobí významné zdržanie na pripravovaných projektoch.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 xml:space="preserve">Po zohľadnení pripomienok navrhujeme zvýšiť hranicu povinného hodnotenia investícií až na 10 mil. eur. Návrh zjednodušuje proces pre investície pod 10 mil. eur a zameriava sa na väčšie projekty, pri ktorých je možnosť vyššej úspory. Zvýšením hranice sa kapitolám uvoľnia administratívne kapacity na prípravu prioritných projektov. Zameranie sa na prípravu, harmonogram a reálnosť realizácie veľkých projektov pomôže predísť rizikám spojených s ich následnou implementáciou. Navrhovaná zmena prinesie investorom väčšiu flexibilitu a?úsporu času pri menších projektoch. Pri väčších projektoch je zároveň spravidla možné stanovené ciele dosiahnuť rôznymi alternatívami, čo zvyšuje opodstatnenosť štúdie uskutočniteľnosti. Paralelne so zmenou hraníc prebehla aj aktualizácia Metodiky, v ktorej sa stanovujú výnimky a zjednodušenia pri tvorbe štúdie uskutočniteľnosti v závislosti od typu investičného projektu. Týmto sa predíde zbytočnej administratívnej záťaži po zmene hranice povinnej štúdie z pôvodných 40 mil. eur na 10 mil. eur. </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súlade s Jednotnou metodikou na posudzovanie vybraných vplyvov odporúčame vypracovať aktuálnu verziu Doložky vybraných vplyvov, ktorú je nutné vyplniť vo všetkých povinných častiach. Aktuálna verzia je dostupná na: https://www.mhsr.sk/uploads/files/qqhdtNNW.docx?csrt=4893159915069139498.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návrhu všeobecne</w:t>
            </w:r>
            <w:r>
              <w:rPr>
                <w:rFonts w:ascii="Times" w:hAnsi="Times" w:cs="Times"/>
                <w:sz w:val="25"/>
                <w:szCs w:val="25"/>
              </w:rPr>
              <w:br/>
              <w:t>Žiadame ponechať súčasnú hranicu 40 mil. eur na vypracovanie štúdie uskutočniteľnosti pre investície, pri ktorých je nezvratne daný záväzok štátu realizovať projekt. Napríklad tak, že v § 1 ods. 1 návrhu sa na koniec doplní veta, ktorá znie: „Ak ide o verejné investičné projekty, pri ktorých je nezvratne daný záväzok štátu realizovať projekt, štúdia uskutočniteľnosti investície sa vypracuje, ak hodnota investície sa rovná alebo je vyššia ako 40 000 000 eur.“. Odôvodnenie: Predložený návrh obsahuje výrazné zníženie hranice investícií, v prípade ktorých je nevyhnutné vypracovať štúdiu uskutočniteľnosti zo 40 mil. eur na hranicu 10 mil. eur, a to pre všetky oblasti investícií a koncesií. Odôvodňuje sa to aj dosiahnutím vyšších úspor. Avšak, vo všeobecnej časti dôvodovej správy (graf 1) sa uvádza, že úspory v prípade hodnotených projektov v roku 2022 intervale medzi 10 mil. eur a 40 mil. eur boli cca 72 mil. eur, čo predstavuje zhruba 14 % z úspor projektov nad 40 mil. eur. Zníženie hranice je tiež odôvodňované lepším využitím kapacít ministerstva financií. V návrhu na zmenu Metodiky prípravy a hodnotenia investičných projektov, ktorý je súbežne v MPK (LP/2023/156) sa vyslovene uvádza, že cieľom je okrem iného zrýchliť prípravu investičných projektov. Ani návrh nariadenia ani návrh na zmenu metodiky však neurýchľuje proces, neskracuje dobu, dokedy je Ministerstvo financií SR povinné zverejniť hodnotenie štúdií uskutočniteľnosti alebo ich aktualizáciu. To upravuje § 19a zákona č. 523/2004 Z. z. o rozpočtových pravidlách verejnej správy. Vzhľadom na celkovú dĺžku povoľovacích procesov v SR žiadame ponechať pôvodnú hranicu 40 mil. eur v prípade investícií, pri ktorých je nezvratne daný záväzok štátu realizovať projekt s cieľom zúžiť okruh situácií, pri ktorých by mohlo hroziť porušenie povinnosti alebo záväzku viažuceho sa na dodržiavanie termínov.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Proces má byť jednotný a?bez zbytočných výnimiek. Zmena zazmluvnené projekty nespomalí, pretože upravená Metodika jasne zjednodušuje a?znižuje rozsah štúdie pre niektoré typy projektov. Úprava 30-dňovej lehoty na hodnotenie je ukotvené v?zákone, ktorý MF SR neotvára a?nie je možná. Po zohľadnení pripomienok navrhujeme zvýšiť hranicu povinného hodnotenia investícií na 10 mil. eur. Návrh zjednodušuje proces pre investície pod 10 mil. eur a zameriava sa na väčšie projekty, pri ktorých je možnosť vyššej úspory. Zvýšením hranice sa kapitolám uvoľnia administratívne kapacity na prípravu prioritných projektov. Zameranie sa na prípravu, harmonogram a reálnosť realizácie veľkých projektov pomôže predísť rizikám spojených s ich následnou implementáciou. Navrhovaná zmena prinesie investorom väčšiu flexibilitu a?úsporu času pri menších projektoch. Pri väčších projektoch je zároveň spravidla možné stanovené ciele dosiahnuť rôznymi alternatívami, čo zvyšuje opodstatnenosť štúdie uskutočniteľnosti. Paralelne so zmenou hraníc prebehla aj aktualizácia Metodiky, v ktorej sa stanovujú výnimky a zjednodušenia pri tvorbe štúdie uskutočniteľnosti v závislosti od typu investičného projektu. Týmto sa predíde zbytočnej administratívnej záťaži po zmene hranice povinnej štúdie z pôvodných 40 mil. eur na 10 mil. eur. Podľa dohody z rozporového konania MF SR zrealizuje hodnotenie štúdie uskutočniteľnosti do 10 dní, ak pôjde o ekonomické hodnotenie verejných investičných projektov - priemyselných parkov, pri ktorých je nezvratne daný záväzok štátu realizovať projekt. MF SR tiež v spolupráci s MH SR pripraví postup a nastaví systém ekonomického hodnotenia investičných projektov priemyselných parkov. Systém hodnotenia bude odrážať špecifiká prípravy takýchto typov projektov. Ak to bude pre efektívny systém účelné, MF SR a MH SR pripravia návrh zmeny platných predpisov alebo metodiky.</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 1 ods. 1 žiadame zvýšiť hodnotu, pri ktorej je povinnosť vypracovať štúdiu uskutočniteľnosti, na 40 mil. eur. ODÔVODNENIE: Aktuálne nastavené limity pri hodnotení investícií zo strany MF SR predlžujú proces schvaľovania EŠIF projektov, ako aj proces uzatvárania zmlúv o NFP, čo má vplyv na čerpanie finančných prostriedkov EŠIF. Je potrebné brať do úvahy aj infláciu, ktorá má dopad na zvyšovanie cien, a tým aj celkovú hodnotu investície/projektu. Celý proces posudzovania investícií je potrebné zjednodušiť a ponechať povinnosť hodnotenia ÚHP iba raz – pri schvaľovaní štúdie uskutočniteľnosti, pričom pri EŠIF projektoch musí byť štúdia predložená na hodnotenie MF SR pred zaslaním žiadosti o poskytnutie NFP.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 xml:space="preserve">Po zohľadnení pripomienok navrhujeme zvýšiť hranicu povinného hodnotenia investícií na 10 mil. eur. Návrh zjednodušuje proces pre investície pod 10 mil. eur a zameriava sa na väčšie projekty, pri ktorých je možnosť vyššej úspory. Zvýšením hranice sa kapitolám uvoľnia administratívne kapacity na prípravu prioritných projektov. Zameranie sa na prípravu, harmonogram a reálnosť realizácie veľkých projektov pomôže predísť rizikám spojených s ich následnou implementáciou. Navrhovaná zmena prinesie investorom väčšiu flexibilitu a?úsporu času pri menších projektoch. Pri väčších projektoch je zároveň spravidla možné stanovené ciele dosiahnuť rôznymi alternatívami, čo zvyšuje opodstatnenosť štúdie uskutočniteľnosti. Paralelne so zmenou hraníc prebehla aj aktualizácia Metodiky, v ktorej sa stanovujú výnimky a zjednodušenia pri tvorbe štúdie uskutočniteľnosti v závislosti od typu investičného projektu. Týmto sa predíde zbytočnej administratívnej záťaži po zmene hranice povinnej štúdie z pôvodných 40 mil. eur na 10 mil. eur. </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K návrhu uznesenia.</w:t>
            </w:r>
            <w:r>
              <w:rPr>
                <w:rFonts w:ascii="Times" w:hAnsi="Times" w:cs="Times"/>
                <w:sz w:val="25"/>
                <w:szCs w:val="25"/>
              </w:rPr>
              <w:br/>
              <w:t>V bode B. 1. žiadame slová „3 mil. eur s DPH“ nahradiť slovami „5 mil. eur s DPH“. ODÔVODNENIE: Aktuálne nastavené limity pri hodnotení investícií zo strany MF SR predlžujú proces schvaľovania EŠIF projektov, ako aj proces uzatvárania zmlúv o NFP, čo má vplyv na čerpanie finančných prostriedkov EŠIF. Je potrebné brať do úvahy aj infláciu, ktorá má dopad na zvyšovanie cien, a tým aj celkovú hodnotu investície/projektu. Celý proces posudzovania investícií je potrebné zjednodušiť a ponechať povinnosť hodnotenia ÚHP iba raz – pri schvaľovaní štúdie uskutočniteľnosti, pričom pri EŠIF projektoch musí byť štúdia predložená na hodnotenie MF SR pred zaslaním žiadosti o poskytnutie NFP.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Pripomienka je nad rámec navrhovaných zmien, ale po diskusiách MF SR navrhuje zvýšiť hranicu povinného hodnotenia projektov na 10 mil. eur, čo značne zníži kapitolám zbytočnú administratívu.</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Všeobecne k materiálu</w:t>
            </w:r>
            <w:r>
              <w:rPr>
                <w:rFonts w:ascii="Times" w:hAnsi="Times" w:cs="Times"/>
                <w:sz w:val="25"/>
                <w:szCs w:val="25"/>
              </w:rPr>
              <w:br/>
              <w:t>1. Názov nariadenia odporúčame upraviť napríklad takto: "Nariadenie vlády Slovenskej republiky, ktorým sa ustanovuje hodnota investície a koncesie pre účely vypracovania štúdie uskutočniteľnosti a základné náležitosti štúdie uskutočniteľnosti investície a štúdie uskutočniteľnosti koncesie". Odôvodnenie: Súčasný názov je zavádzajúci, keďže návrh nariadenia neustanovuje hodnotu investície, resp. koncesie ako takej, ale iba hranicu, od ktorej musí byť pre danú investíciu, resp. koncesiu spracúvaná štúdia uskutočniteľnosti. 2. V súvislosti so znížením hranice investície a koncesie, pri ktorej je povinnosťou vypracovať štúdiu uskutočniteľnosti, na 10 000 000 eur, upozorňujeme, že ide o výrazné zníženie v súčasnosti definovanej hranice (40 000 000 eur) bez podrobnejšieho zdôvodnenia a nie je to v súlade s ústrednou myšlienkou zameriavania sa na väčšie projekty a strategické určovanie investičných priorít pre väčšiu efektivitu celého procesu riadenia verejných investícií. V konečnom dôsledku to síce môže priniesť viac alternatív riešenia investície, resp. koncesie, no zároveň to so sebou prinesie aj väčšiu administratívnu a finančnú náročnosť projektu. Z tohto dôvodu odporúčame prehodnotiť navrhované hranice spojené s povinnosťou vypracovania štúdie uskutočniteľnosti. 3. V poznámke pod čiarou k odkazu 1 odporúčame na konci doplniť bodku. Odôvodnenie: Legislatívnotechnická pripomienka. 4. V osobitnej časti dôvodovej správy odporúčame upraviť odôvodnenie uvedené k § 1 ods. 1 až 3. Odôvodnenie: Odôvodnenie nezodpovedá obsahu § 1 ods. 1 až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 xml:space="preserve">Po zohľadnení pripomienok navrhujeme zvýšiť hranicu povinného hodnotenia investícií na 10 mil. eur. Návrh zjednodušuje proces pre investície pod 10 mil. eur a zameriava sa na väčšie projekty, pri ktorých je možnosť vyššej úspory. Zvýšením hranice sa kapitolám uvoľnia administratívne kapacity na prípravu prioritných projektov. Zameranie sa na prípravu, harmonogram a reálnosť realizácie veľkých projektov pomôže predísť rizikám spojených s ich následnou implementáciou. Navrhovaná zmena prinesie investorom väčšiu flexibilitu a?úsporu času pri menších projektoch. Pri väčších projektoch je zároveň spravidla možné stanovené ciele dosiahnuť rôznymi alternatívami, čo zvyšuje opodstatnenosť štúdie uskutočniteľnosti. Paralelne so zmenou hraníc prebehla aj aktualizácia Metodiky, v ktorej sa stanovujú výnimky a zjednodušenia pri tvorbe štúdie uskutočniteľnosti v závislosti od typu investičného projektu. Týmto sa predíde zbytočnej administratívnej záťaži po zmene hranice povinnej štúdie z pôvodných 40 mil. eur na 10 mil. eur. </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K § 1 ods. 1 a 2</w:t>
            </w:r>
            <w:r>
              <w:rPr>
                <w:rFonts w:ascii="Times" w:hAnsi="Times" w:cs="Times"/>
                <w:sz w:val="25"/>
                <w:szCs w:val="25"/>
              </w:rPr>
              <w:br/>
              <w:t>V § 1 ods. 1 a 2 žiadame slovo „10 000 000“ nahradiť slovom „40 000 000“. Odôvodnenie: V § 1 „Hodnota investície a koncesie“ žiadame ponechať hodnotu 40 mil. eur, vzhľadom na to, že Ministerstvo obrany SR má investičné akcie a projekty nad 10 mil. eur, ktorých by sa zmena tejto hranice dotkla. Ministerstvo obrany SR realizuje investičné projekty, ktorými sú zabezpečované predovšetkým špecifické rekonštrukcie a modernizácie vojenských objektov a ich realizácia je vykonávaná spravidla v uzatvorených areáloch jednotlivých kasární, čo neumožňuje určiť rôzne alternatívy realizácie a tým stráca opodstatnenosť realizácia štúdie uskutočniteľnosti. Investičnou výstavbou v rezorte ministerstva obrany je zabezpečovaná moderná a hospodárna infraštruktúra zabezpečujúca potreby obrany Slovenskej republiky na základe požiadaviek a špecifikácie ozbrojených síl SR. Zníženie hodnoty na 10 mil. eur by predstavovalo neprimeranú záťaž na rezort ministerstva obrany spojenú s vypracovaním štúdií uskutočniteľnosti. Všetky investície a projekty investičného charakteru s celkovými výdavkami nad 1 mil. eur s DPH rezort obrany už dnes v súlade s uznesením vlády SR č. 649/2020 realizuje až po hodnotení Ministerstvom financií SR. Zníženie hodnoty, od ktorej sa povinne zverejňuje štúdia uskutočniteľnosti projektov podľa § 19a zákona č. 523/2004 Z. z. o rozpočtových pravidlách verejnej správy a o zmene a doplnení niektorých zákonov v znení neskorších predpisov by pre dotknuté projekty Ministerstva obrany SR znamenalo predĺženie obdobia, v ktorom prebieha ekonomické hodnotenie a teda predĺženie obdobia od zadania požiadavky po dodanie výsledku dotknutých projektov. Zamýšľaný prínos zníženia hranice pre prípravu štúdie uskutočniteľnosti neprevyšuje zvýšenú administratívnu, organizačnú a personálnu záťaž, ktorá s ním bude v rezorte ministerstva obrany spojená. Vzhľadom na uvedené, je spracovanie štúdie uskutočniteľnosti v požadovanom rozsahu (napr. opis plánovaného investičného projektu, vysvetlenie potreby jeho realizácie, možné alternatívne riešenia problému, identifikácia užšieho okruhu relevantných alternatív, vyhodnotenie spoločensko-ekonomickej návratnosti atď.) v rezorte ministerstva obrany irelevantné, nakoľko prioritou rezortu je zabezpečenie obranyschopnosti Slovenskej republiky. Túto pripomienku považuje Ministerstvo obrany SR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Návrh zjednodušuje proces pre investície pod 10 mil. eur a zameriava sa na väčšie projekty, pri ktorých je možnosť vyššej úspory. Zvýšením hranice sa kapitolám uvoľnia administratívne kapacity na prípravu prioritných projektov. Zameranie sa na prípravu, harmonogram a reálnosť realizácie veľkých projektov pomôže predísť rizikám spojených s ich následnou implementáciou. Navrhovaná zmena prinesie investorom väčšiu flexibilitu a?úsporu času pri menších projektoch. Pri väčších projektoch je zároveň spravidla možné stanovené ciele dosiahnuť rôznymi alternatívami, čo zvyšuje opodstatnenosť štúdie uskutočniteľnosti. Paralelne so zmenou hraníc prebehla aj aktualizácia Metodiky, v ktorej sa stanovujú výnimky a zjednodušenia pri tvorbe štúdie uskutočniteľnosti v závislosti od typu investičného projektu. Týmto sa predíde zbytočnej administratívnej záťaži po zmene hranice povinnej štúdie z pôvodných 40 mil. eur na 10 mil. eur. Proces má byť jednotný, bez zbytočných výnimiek. Zrušiť aktualizácie hodnotenia je možné len zmenou zákona a to nie je predmetom navrhovanej zmeny.</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Predloženú doložku vybraných vplyvov je potrebné vypracovať podľa v súčasnosti platnej Jednotnej metodiky na posudzovanie vybraných vplyvov s účinnosťou od 31. decembra 2022, ktorej súčasťou je aj aktuálne platný formulár doložky vybraných vplyvov. Odôvodnenie: Predkladateľ použil neaktuálny formulár pri vypracovaní doložky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doložke vybraných vplyvov je potrebné uviesť povinné informácie v bode 8. Preskúmanie účelnosti. Odôvodnenie: Povinnosť uviesť uvedené informácie vyplýva z Jednotnej metodiky na posudzovanie vybraných vplyvov z časti II. Obsahové požiadavky doložky.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použiť platné znenie Doložky vybraných vplyvov, ktoré je účinné od 31.12.2022.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deviatom bode Doložky vybraných vplyvov s názvom Vybrané vplyvy materiálu odporúčame nevyznačovať vplyv na MSP, ak predkladateľ označil, že materiál nemá vplyv na podnikateľské prostredie.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Odporúčame vypracovať doložku vybraných vplyvov podľa súčasne platnej Jednotnej metodiky na posudzovanie vybraných vplyvov s účinnosťou od 31. decembra 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 1 ods. 1</w:t>
            </w:r>
            <w:r>
              <w:rPr>
                <w:rFonts w:ascii="Times" w:hAnsi="Times" w:cs="Times"/>
                <w:sz w:val="25"/>
                <w:szCs w:val="25"/>
              </w:rPr>
              <w:br/>
              <w:t>V § 1 ods. 1 žiadame nahradiť slová „10 000 000 eur“ slovami „40 000 000 eur“. Túto pripomienku považujeme za zásadnú. Odôvodnenie: Žiadame ponechať hodnotu investície, tak ako je uvedené v súčasnosti účinnom nariadení vlády Slovenskej republiky č. 174/2019 Z. z. o podmienkach vypracovania štúdie uskutočniteľnosti investície a štúdie uskutočniteľnosti koncesie, a to 40 000 000 eur. Navrhovaná zmena hodnoty investície pre potreby vypracovania štúdie uskutočniteľnosti investície bude mať za následok väčšiu časovú záťaž pre orgány štátnej správy ako investorov pri procese prípravy investícií. Príprava štúdie uskutočniteľnosti investície so všetkými jej povinnými náležitosťami k investičným projektom je časovo náročnejší proces, ako príprava projektu na hodnotenie Útvaru hodnoty za peniaze podľa C.5 a C. 6 uznesenia vlády č. 649/2022. Znížením hodnoty investície pre potrebu vypracovania štúdie uskutočniteľnosti investície na 10 000 000 eur stúpne počet investícií, pri ktorých bude potrebné vypracovať predmetnú štúdiu o 117% viac ako v roku 2022 a o 194% viac ako v roku 2021. Predpokladaný podiel úspor, ktorý ÚHP identifikoval, bol pri týchto investíciách len vo výške 14% v roku 2022 a 46% v roku 2021. Ministerstvo vnútra Slovenskej má v súčasnosti zaradených približne 11 projektov, ktorých hodnota investície je nad 40 000 000 eur, ale zároveň má až okolo 40 projektov, ktorých hodnota investície je nad 10 000 000 eur. V zmysle navrhovanej zmeny hodnoty investície dôjde zo strany Ministerstva vnútra Slovenskej republiky k spomaleniu realizácie investícií, predĺži sa proces nákupu a samotným predĺžením doby realizácie investície môže dôjsť k jej predraženiu z dôvodu vývoja trhových cien komodít. Okrem vyššie uvedeného vzhľadom na dôsledok navrhovanej zmeny, teda časovú a administratívnu náročnosť vypracovania tejto štúdie , sa zvýši potreba zamestnať odborných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 xml:space="preserve">Pripomienka bola v rámci rozporového konania vysporiadaná zapracovaním návrhov od MV SR do Metodiky. Návrh zjednodušuje proces pre investície pod 10 mil. eur a zameriava sa na väčšie projekty, pri ktorých je možnosť vyššej úspory. Zvýšením hranice sa kapitolám uvoľnia administratívne kapacity na prípravu prioritných projektov. Zameranie sa na prípravu, harmonogram a reálnosť realizácie veľkých projektov pomôže predísť rizikám spojených s ich následnou implementáciou. Navrhovaná zmena prinesie investorom väčšiu flexibilitu a?úsporu času pri menších projektoch. Pri väčších projektoch je zároveň spravidla možné stanovené ciele dosiahnuť rôznymi alternatívami, čo zvyšuje opodstatnenosť štúdie uskutočniteľnosti. Paralelne so zmenou hraníc prebehla aj aktualizácia Metodiky, v ktorej sa stanovujú výnimky a zjednodušenia pri tvorbe štúdie uskutočniteľnosti v závislosti od typu investičného projektu. Týmto sa predíde zbytočnej administratívnej záťaži po zmene hranice povinnej štúdie z pôvodných 40 mil. eur na 10 mil. eur. </w:t>
            </w:r>
          </w:p>
        </w:tc>
      </w:tr>
      <w:tr w:rsidR="005B25BC">
        <w:trPr>
          <w:divId w:val="121774523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b/>
                <w:bCs/>
                <w:sz w:val="25"/>
                <w:szCs w:val="25"/>
              </w:rPr>
              <w:t>K sprievodnej dokumentácii:</w:t>
            </w:r>
            <w:r>
              <w:rPr>
                <w:rFonts w:ascii="Times" w:hAnsi="Times" w:cs="Times"/>
                <w:sz w:val="25"/>
                <w:szCs w:val="25"/>
              </w:rPr>
              <w:br/>
              <w:t>V predkladacej správe žiadame uviesť informáciu, či návrh nariadenia má byť predmetom vnútrokomunitárneho pripomienkového konania, alebo či sa vnútrokomunitárne pripomienkové konanie uskutočnilo.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5B25BC" w:rsidRDefault="005B25BC">
            <w:pPr>
              <w:rPr>
                <w:rFonts w:ascii="Times" w:hAnsi="Times" w:cs="Times"/>
                <w:sz w:val="25"/>
                <w:szCs w:val="25"/>
              </w:rPr>
            </w:pPr>
            <w:r>
              <w:rPr>
                <w:rFonts w:ascii="Times" w:hAnsi="Times" w:cs="Times"/>
                <w:sz w:val="25"/>
                <w:szCs w:val="25"/>
              </w:rPr>
              <w:t>Materiál bol upravený.</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B25B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309">
      <w:bodyDiv w:val="1"/>
      <w:marLeft w:val="0"/>
      <w:marRight w:val="0"/>
      <w:marTop w:val="0"/>
      <w:marBottom w:val="0"/>
      <w:divBdr>
        <w:top w:val="none" w:sz="0" w:space="0" w:color="auto"/>
        <w:left w:val="none" w:sz="0" w:space="0" w:color="auto"/>
        <w:bottom w:val="none" w:sz="0" w:space="0" w:color="auto"/>
        <w:right w:val="none" w:sz="0" w:space="0" w:color="auto"/>
      </w:divBdr>
    </w:div>
    <w:div w:id="238634584">
      <w:bodyDiv w:val="1"/>
      <w:marLeft w:val="0"/>
      <w:marRight w:val="0"/>
      <w:marTop w:val="0"/>
      <w:marBottom w:val="0"/>
      <w:divBdr>
        <w:top w:val="none" w:sz="0" w:space="0" w:color="auto"/>
        <w:left w:val="none" w:sz="0" w:space="0" w:color="auto"/>
        <w:bottom w:val="none" w:sz="0" w:space="0" w:color="auto"/>
        <w:right w:val="none" w:sz="0" w:space="0" w:color="auto"/>
      </w:divBdr>
    </w:div>
    <w:div w:id="603459054">
      <w:bodyDiv w:val="1"/>
      <w:marLeft w:val="0"/>
      <w:marRight w:val="0"/>
      <w:marTop w:val="0"/>
      <w:marBottom w:val="0"/>
      <w:divBdr>
        <w:top w:val="none" w:sz="0" w:space="0" w:color="auto"/>
        <w:left w:val="none" w:sz="0" w:space="0" w:color="auto"/>
        <w:bottom w:val="none" w:sz="0" w:space="0" w:color="auto"/>
        <w:right w:val="none" w:sz="0" w:space="0" w:color="auto"/>
      </w:divBdr>
    </w:div>
    <w:div w:id="936642610">
      <w:bodyDiv w:val="1"/>
      <w:marLeft w:val="0"/>
      <w:marRight w:val="0"/>
      <w:marTop w:val="0"/>
      <w:marBottom w:val="0"/>
      <w:divBdr>
        <w:top w:val="none" w:sz="0" w:space="0" w:color="auto"/>
        <w:left w:val="none" w:sz="0" w:space="0" w:color="auto"/>
        <w:bottom w:val="none" w:sz="0" w:space="0" w:color="auto"/>
        <w:right w:val="none" w:sz="0" w:space="0" w:color="auto"/>
      </w:divBdr>
    </w:div>
    <w:div w:id="966549316">
      <w:bodyDiv w:val="1"/>
      <w:marLeft w:val="0"/>
      <w:marRight w:val="0"/>
      <w:marTop w:val="0"/>
      <w:marBottom w:val="0"/>
      <w:divBdr>
        <w:top w:val="none" w:sz="0" w:space="0" w:color="auto"/>
        <w:left w:val="none" w:sz="0" w:space="0" w:color="auto"/>
        <w:bottom w:val="none" w:sz="0" w:space="0" w:color="auto"/>
        <w:right w:val="none" w:sz="0" w:space="0" w:color="auto"/>
      </w:divBdr>
    </w:div>
    <w:div w:id="1217745238">
      <w:bodyDiv w:val="1"/>
      <w:marLeft w:val="0"/>
      <w:marRight w:val="0"/>
      <w:marTop w:val="0"/>
      <w:marBottom w:val="0"/>
      <w:divBdr>
        <w:top w:val="none" w:sz="0" w:space="0" w:color="auto"/>
        <w:left w:val="none" w:sz="0" w:space="0" w:color="auto"/>
        <w:bottom w:val="none" w:sz="0" w:space="0" w:color="auto"/>
        <w:right w:val="none" w:sz="0" w:space="0" w:color="auto"/>
      </w:divBdr>
    </w:div>
    <w:div w:id="1637880500">
      <w:bodyDiv w:val="1"/>
      <w:marLeft w:val="0"/>
      <w:marRight w:val="0"/>
      <w:marTop w:val="0"/>
      <w:marBottom w:val="0"/>
      <w:divBdr>
        <w:top w:val="none" w:sz="0" w:space="0" w:color="auto"/>
        <w:left w:val="none" w:sz="0" w:space="0" w:color="auto"/>
        <w:bottom w:val="none" w:sz="0" w:space="0" w:color="auto"/>
        <w:right w:val="none" w:sz="0" w:space="0" w:color="auto"/>
      </w:divBdr>
    </w:div>
    <w:div w:id="17430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0.8.2023 7:36:55"/>
    <f:field ref="objchangedby" par="" text="Administrator, System"/>
    <f:field ref="objmodifiedat" par="" text="10.8.2023 7:37:0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4606</Words>
  <Characters>26256</Characters>
  <Application>Microsoft Office Word</Application>
  <DocSecurity>4</DocSecurity>
  <Lines>218</Lines>
  <Paragraphs>61</Paragraphs>
  <ScaleCrop>false</ScaleCrop>
  <Company/>
  <LinksUpToDate>false</LinksUpToDate>
  <CharactersWithSpaces>30801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2023-08-10T05:37:00Z</dcterms:created>
  <dcterms:modified xsi:type="dcterms:W3CDTF">2023-08-10T05:37:00Z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Nariadenie vlády Slovenskej republiky</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Rozpočtové právo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Mgr. Ing. Peter Hronček</vt:lpwstr>
  </property>
  <property name="FSC#SKEDITIONSLOVLEX@103.510:zodppredkladatel" pid="11" fmtid="{D5CDD505-2E9C-101B-9397-08002B2CF9AE}">
    <vt:lpwstr>Ing. Eduard Heger</vt:lpwstr>
  </property>
  <property name="FSC#SKEDITIONSLOVLEX@103.510:dalsipredkladatel" pid="12" fmtid="{D5CDD505-2E9C-101B-9397-08002B2CF9AE}">
    <vt:lpwstr/>
  </property>
  <property name="FSC#SKEDITIONSLOVLEX@103.510:nazovpredpis" pid="13" fmtid="{D5CDD505-2E9C-101B-9397-08002B2CF9AE}">
    <vt:lpwstr>, ktorým sa ustanovujú hodnota investície a koncesie a základné náležitosti štúdie uskutočniteľnosti investície a štúdie uskutočniteľnosti koncesie</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financií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Iniciatívny materiál</vt:lpwstr>
  </property>
  <property name="FSC#SKEDITIONSLOVLEX@103.510:plnynazovpredpis" pid="22" fmtid="{D5CDD505-2E9C-101B-9397-08002B2CF9AE}">
    <vt:lpwstr> Nariadenie vlády  Slovenskej republiky, ktorým sa ustanovujú hodnota investície a koncesie a základné náležitosti štúdie uskutočniteľnosti investície a štúdie uskutočniteľnosti koncesie</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MF/008635/2023-29714</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LP/2023/155</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nie je upravený v práve Európskej únie</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úplne</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Žiadne</vt:lpwstr>
  </property>
  <property name="FSC#SKEDITIONSLOVLEX@103.510:AttrStrDocPropVplyvPodnikatelskeProstr" pid="60" fmtid="{D5CDD505-2E9C-101B-9397-08002B2CF9AE}">
    <vt:lpwstr>Žiadne</vt:lpwstr>
  </property>
  <property name="FSC#SKEDITIONSLOVLEX@103.510:AttrStrDocPropVplyvSocialny" pid="61" fmtid="{D5CDD505-2E9C-101B-9397-08002B2CF9AE}">
    <vt:lpwstr>Žiadne</vt:lpwstr>
  </property>
  <property name="FSC#SKEDITIONSLOVLEX@103.510:AttrStrDocPropVplyvNaZivotProstr" pid="62" fmtid="{D5CDD505-2E9C-101B-9397-08002B2CF9AE}">
    <vt:lpwstr>Žiadne</vt:lpwstr>
  </property>
  <property name="FSC#SKEDITIONSLOVLEX@103.510:AttrStrDocPropVplyvNaInformatizaciu" pid="63" fmtid="{D5CDD505-2E9C-101B-9397-08002B2CF9AE}">
    <vt:lpwstr>Žiadne</vt:lpwstr>
  </property>
  <property name="FSC#SKEDITIONSLOVLEX@103.510:AttrStrListDocPropPoznamkaVplyv" pid="64" fmtid="{D5CDD505-2E9C-101B-9397-08002B2CF9AE}">
    <vt:lpwstr>Vplyv na rozpočet verejnej správy sa nepredpokladá vzhľadom na skutočnosť, že predkladaný materiál nezavádza nové povinnosti nad rámec existujúcej legislatívy a iných platných záväzných dokumentov.</vt:lpwstr>
  </property>
  <property name="FSC#SKEDITIONSLOVLEX@103.510:AttrStrListDocPropAltRiesenia" pid="65" fmtid="{D5CDD505-2E9C-101B-9397-08002B2CF9AE}">
    <vt:lpwstr>Alternatívnym riešením je zachovanie súčasného stavu, bez úpravy hraníc. Naďalej sa budú hodnotiť aj menšie projekty, ktoré neprinášajú veľkú potenciálnu úsporu a kapacity alokované na hodnotenie týchto projektov nebude možné využiť na strategické úlohy s vyššou pridanou hodnotou.</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ministri_x000d__x000a_predsedovia ostatných ústredných orgánov štátnej správy_x000d__x000a_správcovia ďalších kapitol štátneho rozpočtu</vt:lpwstr>
  </property>
  <property name="FSC#SKEDITIONSLOVLEX@103.510:AttrStrListDocPropUznesenieNaVedomie" pid="136" fmtid="{D5CDD505-2E9C-101B-9397-08002B2CF9AE}">
    <vt:lpwstr/>
  </property>
  <property name="FSC#SKEDITIONSLOVLEX@103.510:funkciaPred" pid="137" fmtid="{D5CDD505-2E9C-101B-9397-08002B2CF9AE}">
    <vt:lpwstr>generálny štátny radca</vt:lpwstr>
  </property>
  <property name="FSC#SKEDITIONSLOVLEX@103.510:funkciaPredAkuzativ" pid="138" fmtid="{D5CDD505-2E9C-101B-9397-08002B2CF9AE}">
    <vt:lpwstr>generálneho štátneho radcu</vt:lpwstr>
  </property>
  <property name="FSC#SKEDITIONSLOVLEX@103.510:funkciaPredDativ" pid="139" fmtid="{D5CDD505-2E9C-101B-9397-08002B2CF9AE}">
    <vt:lpwstr>generálnemu štátnemu radcovi</vt:lpwstr>
  </property>
  <property name="FSC#SKEDITIONSLOVLEX@103.510:funkciaZodpPred" pid="140" fmtid="{D5CDD505-2E9C-101B-9397-08002B2CF9AE}">
    <vt:lpwstr>predseda vlády</vt:lpwstr>
  </property>
  <property name="FSC#SKEDITIONSLOVLEX@103.510:funkciaZodpPredAkuzativ" pid="141" fmtid="{D5CDD505-2E9C-101B-9397-08002B2CF9AE}">
    <vt:lpwstr>predsedu vlády</vt:lpwstr>
  </property>
  <property name="FSC#SKEDITIONSLOVLEX@103.510:funkciaZodpPredDativ" pid="142" fmtid="{D5CDD505-2E9C-101B-9397-08002B2CF9AE}">
    <vt:lpwstr>predsedovi vlády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Ing. Eduard Heger_x000d__x000a_predseda vlády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 style="text-align: justify;"&gt;Návrh nariadenia vlády Slovenskej republiky, ktorým sa ustanovujú hodnota investície a&amp;nbsp;koncesie a základné náležitosti štúdie uskutočniteľnosti investície a štúdie uskutočniteľnosti koncesie predkladá na&amp;nbsp;rokovanie vlády Slovenskej republiky predseda vlády poverený riadením Ministerstva financií SR ako iniciatívny materiál.&lt;/p&gt;&lt;p&gt;Cieľom ministerstva financií, ktorý si osvojila aj vláda v programovom vyhlásení, je realizovať projekty iba s vysokou spoločenskou návratnosťou a zlepšiť ich plánovanie a&amp;nbsp;prípravu. &lt;strong&gt;Navrhovaný materiál reaguje na súčasnú prax prípravy a hodnotenia investícií a koncesií a navrhuje upraviť limit ekonomického hodnotenia investičných projektov Ministerstvom financií SR zo súčasného 1, resp. 40 mil. eur na hranicu 3, resp. 10 mil. eur.&lt;/strong&gt;&lt;/p&gt;&lt;p&gt;Navrhovaná zmena prinesie investorom väčšiu flexibilitu a&amp;nbsp;úsporu času pri menších projektoch. Pri väčších projektoch je spravidla možné stanovené ciele dosiahnuť rôznymi alternatívami, čo zvyšuje opodstatnenosť štúdie uskutočniteľnosti. Súčasne príprava väčších investícií je časovo náročnejšia a zmena poskytuje priestor na hlbšiu analýzu a&amp;nbsp;jej vyhodnotenie.&lt;/p&gt;&lt;p&gt;Ministerstvo financií SR venuje väčšinu kapacít malým projektom, ktoré však prinášajú minimum hodnoty. V&amp;nbsp;roku 2022 tvorili projekty do 3 mil. eur 43 % z&amp;nbsp;celkového počtu hodnotených projektov, ale priniesli menej ako 3 % identifikovaných úspor. Väčšie projekty sú hodnotené aj vo fáze prípravy, a preto je kvôli možným zmenám technického riešenia alebo zvolenej alternatívy potenciál úspor násobne väčší. Malé hodnotenia pred verejným obstarávaním sa väčšinou obmedzujú len na porovnávanie jednotkových cien a súlad so&amp;nbsp;stratégiou.&lt;/p&gt;&lt;p&gt;Súčasne s&amp;nbsp;navrhovanou zmenou prebieha aktualizácia Metodiky prípravy a hodnotenia investičných projektov schválená uznesením vlády SR č. 181/2022, ktorá je paralelne v&amp;nbsp;pripomienkovom procese. V&amp;nbsp;Metodike je popísaný rozsah štúdie pre rôzne veľkosti a&amp;nbsp;typy investičných projektov s&amp;nbsp;cieľom sprehľadniť, zrýchliť a skvalitniť prípravu investičných projektov. Cieľom aktualizácie je zmena podkapitoly 4.2.1 a&amp;nbsp;nevyhnutné úpravy spojené so&amp;nbsp;zmenou hraníc hodnotenia a&amp;nbsp;prípravy štúdie.&lt;/p&gt;&lt;p&gt;Väčšia efektivita celého procesu riadenia verejných investícií sa dosiahne zameraním sa na&amp;nbsp;väčšie projekty a&amp;nbsp;strategické určovanie investičných priorít. Preto sa navrhuje&lt;/p&gt;&lt;ul&gt;_x0009_&lt;li&gt;zmeniť v úlohách C.5 a&amp;nbsp;C.6 uznesenia vlády č. 649/2020 hranicu povinného hodnotenia investícií z 1&amp;nbsp;mil. eur, na novú hranicu 3 mil. eur,&lt;/li&gt;_x0009_&lt;li&gt;v nariadení vlády nastaviť jednotnú hranicu 10 mil. eur na hodnotenie všetkých projektov podľa §19a zákona č.&amp;nbsp;523/2004 Z. z. o&amp;nbsp;rozpočtových pravidlách verejnej správy.&lt;/li&gt;&lt;/ul&gt;&lt;p&gt;Návrh nebude mať vplyv na rozpočet verejnej správy, sociálny vplyv, vplyv na podnikateľské prostredie, životné prostredie, informatizáciu spoločnosti, služby verejnej správy pre občana a&amp;nbsp;manželstvo, rodičovstvo a rodinu.&lt;/p&gt;</vt:lpwstr>
  </property>
  <property name="FSC#COOSYSTEM@1.1:Container" pid="149" fmtid="{D5CDD505-2E9C-101B-9397-08002B2CF9AE}">
    <vt:lpwstr>COO.2145.1000.3.5787050</vt:lpwstr>
  </property>
  <property name="FSC#FSCFOLIO@1.1001:docpropproject" pid="150" fmtid="{D5CDD505-2E9C-101B-9397-08002B2CF9AE}">
    <vt:lpwstr/>
  </property>
  <property name="FSC#SKEDITIONSLOVLEX@103.510:aktualnyrok" pid="151" fmtid="{D5CDD505-2E9C-101B-9397-08002B2CF9AE}">
    <vt:lpwstr>2023</vt:lpwstr>
  </property>
  <property name="FSC#SKEDITIONSLOVLEX@103.510:vytvorenedna" pid="152" fmtid="{D5CDD505-2E9C-101B-9397-08002B2CF9AE}">
    <vt:lpwstr>10. 8. 2023</vt:lpwstr>
  </property>
</Properties>
</file>