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217D2" w14:textId="77777777" w:rsidR="007D5748" w:rsidRPr="00B14AD5" w:rsidRDefault="007D5748" w:rsidP="007D5748">
      <w:pPr>
        <w:spacing w:after="0" w:line="240" w:lineRule="auto"/>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Analýza vplyvov na rozpočet verejnej správy,</w:t>
      </w:r>
    </w:p>
    <w:p w14:paraId="4E58AE2D" w14:textId="77777777" w:rsidR="007D5748" w:rsidRPr="00B14AD5" w:rsidRDefault="007D5748" w:rsidP="007D5748">
      <w:pPr>
        <w:spacing w:after="0" w:line="240" w:lineRule="auto"/>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na zamestnanosť vo verejnej správe a financovanie návrhu</w:t>
      </w:r>
    </w:p>
    <w:p w14:paraId="3B1EDADA" w14:textId="77777777" w:rsidR="005307FC" w:rsidRPr="00B14AD5" w:rsidRDefault="005307FC" w:rsidP="007D5748">
      <w:pPr>
        <w:spacing w:after="0" w:line="240" w:lineRule="auto"/>
        <w:jc w:val="right"/>
        <w:rPr>
          <w:rFonts w:ascii="Times New Roman" w:eastAsia="Times New Roman" w:hAnsi="Times New Roman" w:cs="Times New Roman"/>
          <w:b/>
          <w:bCs/>
          <w:sz w:val="24"/>
          <w:szCs w:val="24"/>
          <w:lang w:eastAsia="sk-SK"/>
        </w:rPr>
      </w:pPr>
    </w:p>
    <w:p w14:paraId="29BEA341" w14:textId="77777777" w:rsidR="00E161E5" w:rsidRPr="00B14AD5" w:rsidRDefault="00E161E5" w:rsidP="007D5748">
      <w:pPr>
        <w:spacing w:after="0" w:line="240" w:lineRule="auto"/>
        <w:jc w:val="right"/>
        <w:rPr>
          <w:rFonts w:ascii="Times New Roman" w:eastAsia="Times New Roman" w:hAnsi="Times New Roman" w:cs="Times New Roman"/>
          <w:b/>
          <w:bCs/>
          <w:sz w:val="24"/>
          <w:szCs w:val="24"/>
          <w:lang w:eastAsia="sk-SK"/>
        </w:rPr>
      </w:pPr>
    </w:p>
    <w:p w14:paraId="1189C816" w14:textId="77777777" w:rsidR="00E963A3" w:rsidRPr="00B14AD5" w:rsidRDefault="00E963A3" w:rsidP="0021289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2.1 Zhrnutie vplyvov na rozpočet verejnej správy v návrhu</w:t>
      </w:r>
    </w:p>
    <w:p w14:paraId="6DCDB4CD" w14:textId="37F8BD35" w:rsidR="007D5748" w:rsidRDefault="007D5748" w:rsidP="007D5748">
      <w:pPr>
        <w:spacing w:after="0" w:line="240" w:lineRule="auto"/>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1 </w:t>
      </w:r>
    </w:p>
    <w:p w14:paraId="5C7F5B97" w14:textId="03974153" w:rsidR="00EE1CF0" w:rsidRDefault="00EE1CF0" w:rsidP="007D5748">
      <w:pPr>
        <w:spacing w:after="0" w:line="240" w:lineRule="auto"/>
        <w:jc w:val="right"/>
        <w:rPr>
          <w:rFonts w:ascii="Times New Roman" w:eastAsia="Times New Roman" w:hAnsi="Times New Roman" w:cs="Times New Roman"/>
          <w:sz w:val="20"/>
          <w:szCs w:val="20"/>
          <w:lang w:eastAsia="sk-SK"/>
        </w:rPr>
      </w:pPr>
    </w:p>
    <w:p w14:paraId="5CB1C81F" w14:textId="77777777" w:rsidR="00EE1CF0" w:rsidRDefault="00EE1CF0" w:rsidP="007D5748">
      <w:pPr>
        <w:spacing w:after="0" w:line="240" w:lineRule="auto"/>
        <w:jc w:val="right"/>
        <w:rPr>
          <w:rFonts w:ascii="Times New Roman" w:eastAsia="Times New Roman" w:hAnsi="Times New Roman" w:cs="Times New Roman"/>
          <w:sz w:val="20"/>
          <w:szCs w:val="20"/>
          <w:lang w:eastAsia="sk-SK"/>
        </w:rPr>
      </w:pP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tblGrid>
      <w:tr w:rsidR="00EE1CF0" w:rsidRPr="00B14AD5" w14:paraId="57F511CD" w14:textId="77777777" w:rsidTr="00657B74">
        <w:trPr>
          <w:cantSplit/>
          <w:trHeight w:val="70"/>
          <w:jc w:val="center"/>
        </w:trPr>
        <w:tc>
          <w:tcPr>
            <w:tcW w:w="4661" w:type="dxa"/>
            <w:vMerge w:val="restart"/>
            <w:shd w:val="clear" w:color="auto" w:fill="BFBFBF" w:themeFill="background1" w:themeFillShade="BF"/>
            <w:vAlign w:val="center"/>
          </w:tcPr>
          <w:p w14:paraId="27FA153B" w14:textId="77777777" w:rsidR="00EE1CF0" w:rsidRPr="00B14AD5" w:rsidRDefault="00EE1CF0" w:rsidP="00657B74">
            <w:pPr>
              <w:spacing w:after="0" w:line="240" w:lineRule="auto"/>
              <w:jc w:val="center"/>
              <w:rPr>
                <w:rFonts w:ascii="Times New Roman" w:eastAsia="Times New Roman" w:hAnsi="Times New Roman" w:cs="Times New Roman"/>
                <w:b/>
                <w:bCs/>
                <w:sz w:val="24"/>
                <w:szCs w:val="24"/>
                <w:lang w:eastAsia="sk-SK"/>
              </w:rPr>
            </w:pPr>
            <w:bookmarkStart w:id="0" w:name="OLE_LINK1"/>
            <w:r w:rsidRPr="004122FF">
              <w:rPr>
                <w:rFonts w:ascii="Times New Roman" w:eastAsia="Times New Roman" w:hAnsi="Times New Roman" w:cs="Times New Roman"/>
                <w:b/>
                <w:bCs/>
                <w:sz w:val="24"/>
                <w:szCs w:val="24"/>
                <w:lang w:eastAsia="sk-SK"/>
              </w:rPr>
              <w:t>Vplyvy na rozpočet verejnej správy</w:t>
            </w:r>
          </w:p>
        </w:tc>
        <w:tc>
          <w:tcPr>
            <w:tcW w:w="3801" w:type="dxa"/>
            <w:gridSpan w:val="3"/>
            <w:shd w:val="clear" w:color="auto" w:fill="BFBFBF" w:themeFill="background1" w:themeFillShade="BF"/>
            <w:vAlign w:val="center"/>
          </w:tcPr>
          <w:p w14:paraId="400D43F6" w14:textId="77777777" w:rsidR="00EE1CF0" w:rsidRPr="00B14AD5" w:rsidRDefault="00EE1CF0" w:rsidP="00657B74">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 (v eurách)</w:t>
            </w:r>
          </w:p>
        </w:tc>
      </w:tr>
      <w:tr w:rsidR="00EE1CF0" w:rsidRPr="00B14AD5" w14:paraId="6021FD78" w14:textId="77777777" w:rsidTr="00657B74">
        <w:trPr>
          <w:cantSplit/>
          <w:trHeight w:val="70"/>
          <w:jc w:val="center"/>
        </w:trPr>
        <w:tc>
          <w:tcPr>
            <w:tcW w:w="4661" w:type="dxa"/>
            <w:vMerge/>
            <w:shd w:val="clear" w:color="auto" w:fill="BFBFBF" w:themeFill="background1" w:themeFillShade="BF"/>
            <w:vAlign w:val="center"/>
          </w:tcPr>
          <w:p w14:paraId="6FB8D2B7" w14:textId="77777777" w:rsidR="00EE1CF0" w:rsidRPr="00B14AD5" w:rsidRDefault="00EE1CF0" w:rsidP="00657B74">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2078B03E" w14:textId="77777777" w:rsidR="00EE1CF0" w:rsidRDefault="00EE1CF0" w:rsidP="00657B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510DF471" w14:textId="77777777" w:rsidR="00EE1CF0" w:rsidRDefault="00EE1CF0" w:rsidP="00657B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1F677C8D" w14:textId="77777777" w:rsidR="00EE1CF0" w:rsidRDefault="00EE1CF0" w:rsidP="00657B7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EE1CF0" w:rsidRPr="00B14AD5" w14:paraId="03CACACC" w14:textId="77777777" w:rsidTr="00657B74">
        <w:trPr>
          <w:cantSplit/>
          <w:trHeight w:val="70"/>
          <w:jc w:val="center"/>
        </w:trPr>
        <w:tc>
          <w:tcPr>
            <w:tcW w:w="4661" w:type="dxa"/>
            <w:shd w:val="clear" w:color="auto" w:fill="C0C0C0"/>
            <w:vAlign w:val="center"/>
          </w:tcPr>
          <w:p w14:paraId="1305D30B" w14:textId="77777777" w:rsidR="00EE1CF0" w:rsidRPr="00B14AD5" w:rsidRDefault="00EE1CF0" w:rsidP="00657B74">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617DF66E"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3863C4F6"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6687D387"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r>
      <w:tr w:rsidR="00EE1CF0" w:rsidRPr="00B14AD5" w14:paraId="1F1FDF9E" w14:textId="77777777" w:rsidTr="00657B74">
        <w:trPr>
          <w:trHeight w:val="70"/>
          <w:jc w:val="center"/>
        </w:trPr>
        <w:tc>
          <w:tcPr>
            <w:tcW w:w="4661" w:type="dxa"/>
            <w:noWrap/>
            <w:vAlign w:val="center"/>
          </w:tcPr>
          <w:p w14:paraId="15D2A50A" w14:textId="77777777" w:rsidR="00EE1CF0" w:rsidRPr="00B14AD5" w:rsidRDefault="00EE1CF0" w:rsidP="00657B7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 tom: za každý subjekt verejnej správy zvlášť</w:t>
            </w:r>
          </w:p>
        </w:tc>
        <w:tc>
          <w:tcPr>
            <w:tcW w:w="1267" w:type="dxa"/>
            <w:vAlign w:val="center"/>
          </w:tcPr>
          <w:p w14:paraId="4D123B90"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c>
          <w:tcPr>
            <w:tcW w:w="1267" w:type="dxa"/>
            <w:vAlign w:val="center"/>
          </w:tcPr>
          <w:p w14:paraId="4F83CF5D"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c>
          <w:tcPr>
            <w:tcW w:w="1267" w:type="dxa"/>
            <w:vAlign w:val="center"/>
          </w:tcPr>
          <w:p w14:paraId="0EB70AA4"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r>
      <w:tr w:rsidR="00EE1CF0" w:rsidRPr="00B14AD5" w14:paraId="703C10D4" w14:textId="77777777" w:rsidTr="00657B74">
        <w:trPr>
          <w:trHeight w:val="132"/>
          <w:jc w:val="center"/>
        </w:trPr>
        <w:tc>
          <w:tcPr>
            <w:tcW w:w="4661" w:type="dxa"/>
            <w:noWrap/>
            <w:vAlign w:val="center"/>
          </w:tcPr>
          <w:p w14:paraId="24D2600E" w14:textId="77777777" w:rsidR="00EE1CF0" w:rsidRPr="00B14AD5" w:rsidRDefault="00EE1CF0" w:rsidP="00657B7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35BBC0A5"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7EDA3F52"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15BC34A3"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p>
        </w:tc>
      </w:tr>
      <w:tr w:rsidR="00EE1CF0" w:rsidRPr="00B14AD5" w14:paraId="4A62B6B7" w14:textId="77777777" w:rsidTr="00657B74">
        <w:trPr>
          <w:trHeight w:val="70"/>
          <w:jc w:val="center"/>
        </w:trPr>
        <w:tc>
          <w:tcPr>
            <w:tcW w:w="4661" w:type="dxa"/>
            <w:noWrap/>
            <w:vAlign w:val="center"/>
          </w:tcPr>
          <w:p w14:paraId="4B5E7705"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14:paraId="0208EB23"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B315BE8"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F9FA3FC"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4EEDC9B5" w14:textId="77777777" w:rsidTr="00657B74">
        <w:trPr>
          <w:trHeight w:val="125"/>
          <w:jc w:val="center"/>
        </w:trPr>
        <w:tc>
          <w:tcPr>
            <w:tcW w:w="4661" w:type="dxa"/>
            <w:noWrap/>
            <w:vAlign w:val="center"/>
          </w:tcPr>
          <w:p w14:paraId="48085ED9"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Rozpočtové prostriedky</w:t>
            </w:r>
          </w:p>
        </w:tc>
        <w:tc>
          <w:tcPr>
            <w:tcW w:w="1267" w:type="dxa"/>
            <w:noWrap/>
            <w:vAlign w:val="center"/>
          </w:tcPr>
          <w:p w14:paraId="042B98E8"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795A93E"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38A6266"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6B20B202" w14:textId="77777777" w:rsidTr="00657B74">
        <w:trPr>
          <w:trHeight w:val="125"/>
          <w:jc w:val="center"/>
        </w:trPr>
        <w:tc>
          <w:tcPr>
            <w:tcW w:w="4661" w:type="dxa"/>
            <w:noWrap/>
            <w:vAlign w:val="center"/>
          </w:tcPr>
          <w:p w14:paraId="135FF8C0" w14:textId="77777777" w:rsidR="00EE1CF0" w:rsidRPr="00B14AD5" w:rsidRDefault="00EE1CF0" w:rsidP="00657B74">
            <w:pPr>
              <w:spacing w:after="0" w:line="240" w:lineRule="auto"/>
              <w:ind w:left="259"/>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EÚ zdroje</w:t>
            </w:r>
          </w:p>
        </w:tc>
        <w:tc>
          <w:tcPr>
            <w:tcW w:w="1267" w:type="dxa"/>
            <w:noWrap/>
            <w:vAlign w:val="center"/>
          </w:tcPr>
          <w:p w14:paraId="63D6A8FA"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3D1D66BF"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2BFB84C1"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EE1CF0" w:rsidRPr="00B14AD5" w14:paraId="70BD578D" w14:textId="77777777" w:rsidTr="00657B74">
        <w:trPr>
          <w:trHeight w:val="125"/>
          <w:jc w:val="center"/>
        </w:trPr>
        <w:tc>
          <w:tcPr>
            <w:tcW w:w="4661" w:type="dxa"/>
            <w:noWrap/>
            <w:vAlign w:val="center"/>
          </w:tcPr>
          <w:p w14:paraId="6059E505" w14:textId="77777777" w:rsidR="00EE1CF0" w:rsidRPr="00B14AD5" w:rsidRDefault="00EE1CF0" w:rsidP="00657B74">
            <w:pPr>
              <w:spacing w:after="0" w:line="240" w:lineRule="auto"/>
              <w:ind w:left="259"/>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14:paraId="73B3D90A"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559A47DF"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AC41DF1"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70A521C6" w14:textId="77777777" w:rsidTr="00657B74">
        <w:trPr>
          <w:trHeight w:val="125"/>
          <w:jc w:val="center"/>
        </w:trPr>
        <w:tc>
          <w:tcPr>
            <w:tcW w:w="4661" w:type="dxa"/>
            <w:noWrap/>
            <w:vAlign w:val="center"/>
          </w:tcPr>
          <w:p w14:paraId="2AD4B47C"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D1CC10E"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326FEEB"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5A0E4620"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59F49981" w14:textId="77777777" w:rsidTr="00657B74">
        <w:trPr>
          <w:trHeight w:val="125"/>
          <w:jc w:val="center"/>
        </w:trPr>
        <w:tc>
          <w:tcPr>
            <w:tcW w:w="4661" w:type="dxa"/>
            <w:noWrap/>
            <w:vAlign w:val="center"/>
          </w:tcPr>
          <w:p w14:paraId="0A0D9534"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621B180"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5A34B87"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34952D38"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6B0E05E0" w14:textId="77777777" w:rsidTr="00657B74">
        <w:trPr>
          <w:trHeight w:val="543"/>
          <w:jc w:val="center"/>
        </w:trPr>
        <w:tc>
          <w:tcPr>
            <w:tcW w:w="4661" w:type="dxa"/>
            <w:shd w:val="clear" w:color="auto" w:fill="C0C0C0"/>
            <w:noWrap/>
            <w:vAlign w:val="center"/>
          </w:tcPr>
          <w:p w14:paraId="17B1D3BD"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1C14C664" w14:textId="0FE4BB3B" w:rsidR="00EE1CF0" w:rsidRPr="00B14AD5" w:rsidRDefault="00313D1D" w:rsidP="00657B7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122 74</w:t>
            </w:r>
            <w:r w:rsidR="006C089E">
              <w:rPr>
                <w:rFonts w:ascii="Times New Roman" w:eastAsia="Times New Roman" w:hAnsi="Times New Roman" w:cs="Times New Roman"/>
                <w:b/>
                <w:bCs/>
                <w:iCs/>
                <w:sz w:val="24"/>
                <w:szCs w:val="24"/>
                <w:lang w:eastAsia="sk-SK"/>
              </w:rPr>
              <w:t xml:space="preserve">9,35 </w:t>
            </w:r>
          </w:p>
        </w:tc>
        <w:tc>
          <w:tcPr>
            <w:tcW w:w="1267" w:type="dxa"/>
            <w:shd w:val="clear" w:color="auto" w:fill="C0C0C0"/>
            <w:noWrap/>
            <w:vAlign w:val="center"/>
          </w:tcPr>
          <w:p w14:paraId="3926899E" w14:textId="0DC1E8A0" w:rsidR="00EE1CF0" w:rsidRPr="006C089E" w:rsidRDefault="00EE1CF0" w:rsidP="006C089E">
            <w:pPr>
              <w:spacing w:after="0" w:line="240" w:lineRule="auto"/>
              <w:jc w:val="right"/>
            </w:pPr>
            <w:r>
              <w:rPr>
                <w:rFonts w:ascii="Times New Roman" w:eastAsia="Times New Roman" w:hAnsi="Times New Roman" w:cs="Times New Roman"/>
                <w:b/>
                <w:bCs/>
                <w:iCs/>
                <w:sz w:val="24"/>
                <w:szCs w:val="24"/>
                <w:lang w:eastAsia="sk-SK"/>
              </w:rPr>
              <w:fldChar w:fldCharType="begin"/>
            </w:r>
            <w:r>
              <w:rPr>
                <w:rFonts w:ascii="Times New Roman" w:eastAsia="Times New Roman" w:hAnsi="Times New Roman" w:cs="Times New Roman"/>
                <w:b/>
                <w:bCs/>
                <w:iCs/>
                <w:sz w:val="24"/>
                <w:szCs w:val="24"/>
                <w:lang w:eastAsia="sk-SK"/>
              </w:rPr>
              <w:instrText xml:space="preserve"> LINK </w:instrText>
            </w:r>
            <w:r w:rsidR="0026019C">
              <w:rPr>
                <w:rFonts w:ascii="Times New Roman" w:eastAsia="Times New Roman" w:hAnsi="Times New Roman" w:cs="Times New Roman"/>
                <w:b/>
                <w:bCs/>
                <w:iCs/>
                <w:sz w:val="24"/>
                <w:szCs w:val="24"/>
                <w:lang w:eastAsia="sk-SK"/>
              </w:rPr>
              <w:instrText xml:space="preserve">Excel.Sheet.12 "\\\\fserver2\\data\\08. OEaKU\\Jana Hrašková\\DMA\\DMA_bez valorizacie_MPK_6FTE.xlsx" "NRVS_DMA_MPK_bez valorizacie!R5C3" </w:instrText>
            </w:r>
            <w:r>
              <w:rPr>
                <w:rFonts w:ascii="Times New Roman" w:eastAsia="Times New Roman" w:hAnsi="Times New Roman" w:cs="Times New Roman"/>
                <w:b/>
                <w:bCs/>
                <w:iCs/>
                <w:sz w:val="24"/>
                <w:szCs w:val="24"/>
                <w:lang w:eastAsia="sk-SK"/>
              </w:rPr>
              <w:instrText xml:space="preserve">\a \f 5 \h  \* MERGEFORMAT </w:instrText>
            </w:r>
            <w:r>
              <w:rPr>
                <w:rFonts w:ascii="Times New Roman" w:eastAsia="Times New Roman" w:hAnsi="Times New Roman" w:cs="Times New Roman"/>
                <w:b/>
                <w:bCs/>
                <w:iCs/>
                <w:sz w:val="24"/>
                <w:szCs w:val="24"/>
                <w:lang w:eastAsia="sk-SK"/>
              </w:rPr>
              <w:fldChar w:fldCharType="separate"/>
            </w:r>
            <w:r w:rsidR="006C089E">
              <w:rPr>
                <w:rFonts w:ascii="Times New Roman" w:eastAsia="Times New Roman" w:hAnsi="Times New Roman" w:cs="Times New Roman"/>
                <w:b/>
                <w:bCs/>
                <w:iCs/>
                <w:sz w:val="24"/>
                <w:szCs w:val="24"/>
                <w:lang w:eastAsia="sk-SK"/>
              </w:rPr>
              <w:t xml:space="preserve">119 944,35 </w:t>
            </w:r>
            <w:r>
              <w:rPr>
                <w:rFonts w:ascii="Times New Roman" w:eastAsia="Times New Roman" w:hAnsi="Times New Roman" w:cs="Times New Roman"/>
                <w:b/>
                <w:bCs/>
                <w:iCs/>
                <w:sz w:val="24"/>
                <w:szCs w:val="24"/>
                <w:lang w:eastAsia="sk-SK"/>
              </w:rPr>
              <w:fldChar w:fldCharType="end"/>
            </w:r>
          </w:p>
        </w:tc>
        <w:tc>
          <w:tcPr>
            <w:tcW w:w="1267" w:type="dxa"/>
            <w:shd w:val="clear" w:color="auto" w:fill="C0C0C0"/>
            <w:noWrap/>
            <w:vAlign w:val="center"/>
          </w:tcPr>
          <w:p w14:paraId="167A40A0" w14:textId="5AFCC859" w:rsidR="00EE1CF0" w:rsidRPr="00B14AD5" w:rsidRDefault="006C089E" w:rsidP="00657B74">
            <w:pPr>
              <w:spacing w:after="0" w:line="240" w:lineRule="auto"/>
              <w:jc w:val="right"/>
              <w:rPr>
                <w:rFonts w:ascii="Times New Roman" w:eastAsia="Times New Roman" w:hAnsi="Times New Roman" w:cs="Times New Roman"/>
                <w:b/>
                <w:bCs/>
                <w:iCs/>
                <w:sz w:val="24"/>
                <w:szCs w:val="24"/>
                <w:lang w:eastAsia="sk-SK"/>
              </w:rPr>
            </w:pPr>
            <w:r w:rsidRPr="006C089E">
              <w:rPr>
                <w:rFonts w:ascii="Times New Roman" w:eastAsia="Times New Roman" w:hAnsi="Times New Roman" w:cs="Times New Roman"/>
                <w:b/>
                <w:bCs/>
                <w:iCs/>
                <w:sz w:val="24"/>
                <w:szCs w:val="24"/>
                <w:lang w:eastAsia="sk-SK"/>
              </w:rPr>
              <w:t>119 944,35</w:t>
            </w:r>
          </w:p>
        </w:tc>
      </w:tr>
      <w:tr w:rsidR="00EE1CF0" w:rsidRPr="00B14AD5" w14:paraId="746F52AA" w14:textId="77777777" w:rsidTr="00657B74">
        <w:trPr>
          <w:trHeight w:val="125"/>
          <w:jc w:val="center"/>
        </w:trPr>
        <w:tc>
          <w:tcPr>
            <w:tcW w:w="4661" w:type="dxa"/>
            <w:noWrap/>
            <w:vAlign w:val="center"/>
          </w:tcPr>
          <w:p w14:paraId="140454B8" w14:textId="77777777" w:rsidR="00EE1CF0" w:rsidRPr="00B14AD5" w:rsidRDefault="00EE1CF0" w:rsidP="00657B7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0532D184" w14:textId="77777777" w:rsidR="00EE1CF0" w:rsidRPr="003C0E8B"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099C710D" w14:textId="77777777" w:rsidR="00EE1CF0" w:rsidRPr="003C0E8B"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51A9A6C2" w14:textId="77777777" w:rsidR="00EE1CF0" w:rsidRPr="003C0E8B"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EE1CF0" w:rsidRPr="00B14AD5" w14:paraId="669EF88C" w14:textId="77777777" w:rsidTr="00657B74">
        <w:trPr>
          <w:trHeight w:val="70"/>
          <w:jc w:val="center"/>
        </w:trPr>
        <w:tc>
          <w:tcPr>
            <w:tcW w:w="4661" w:type="dxa"/>
            <w:noWrap/>
            <w:vAlign w:val="center"/>
          </w:tcPr>
          <w:p w14:paraId="6DC33D10" w14:textId="77777777" w:rsidR="00EE1CF0" w:rsidRPr="00B14AD5" w:rsidRDefault="00EE1CF0" w:rsidP="00657B7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760A9202"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0E905908"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52B43696"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p>
        </w:tc>
      </w:tr>
      <w:tr w:rsidR="00EE1CF0" w:rsidRPr="00B14AD5" w14:paraId="5C694ACD" w14:textId="77777777" w:rsidTr="00657B74">
        <w:trPr>
          <w:trHeight w:val="70"/>
          <w:jc w:val="center"/>
        </w:trPr>
        <w:tc>
          <w:tcPr>
            <w:tcW w:w="4661" w:type="dxa"/>
            <w:noWrap/>
            <w:vAlign w:val="center"/>
          </w:tcPr>
          <w:p w14:paraId="7BB20DD0"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14:paraId="78C8E789" w14:textId="0DE7AEB5" w:rsidR="00EE1CF0" w:rsidRPr="00B14AD5" w:rsidRDefault="00313D1D" w:rsidP="00657B7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122 74</w:t>
            </w:r>
            <w:r w:rsidR="006C089E" w:rsidRPr="006C089E">
              <w:rPr>
                <w:rFonts w:ascii="Times New Roman" w:eastAsia="Times New Roman" w:hAnsi="Times New Roman" w:cs="Times New Roman"/>
                <w:b/>
                <w:bCs/>
                <w:iCs/>
                <w:sz w:val="24"/>
                <w:szCs w:val="24"/>
                <w:lang w:eastAsia="sk-SK"/>
              </w:rPr>
              <w:t>9,35</w:t>
            </w:r>
          </w:p>
        </w:tc>
        <w:tc>
          <w:tcPr>
            <w:tcW w:w="1267" w:type="dxa"/>
            <w:noWrap/>
            <w:vAlign w:val="center"/>
          </w:tcPr>
          <w:p w14:paraId="4E676017" w14:textId="557C2AC8" w:rsidR="00EE1CF0" w:rsidRPr="00B14AD5" w:rsidRDefault="006C089E" w:rsidP="00657B74">
            <w:pPr>
              <w:spacing w:after="0" w:line="240" w:lineRule="auto"/>
              <w:jc w:val="right"/>
              <w:rPr>
                <w:rFonts w:ascii="Times New Roman" w:eastAsia="Times New Roman" w:hAnsi="Times New Roman" w:cs="Times New Roman"/>
                <w:b/>
                <w:bCs/>
                <w:iCs/>
                <w:sz w:val="24"/>
                <w:szCs w:val="24"/>
                <w:lang w:eastAsia="sk-SK"/>
              </w:rPr>
            </w:pPr>
            <w:r w:rsidRPr="006C089E">
              <w:rPr>
                <w:rFonts w:ascii="Times New Roman" w:eastAsia="Times New Roman" w:hAnsi="Times New Roman" w:cs="Times New Roman"/>
                <w:b/>
                <w:bCs/>
                <w:iCs/>
                <w:sz w:val="24"/>
                <w:szCs w:val="24"/>
                <w:lang w:eastAsia="sk-SK"/>
              </w:rPr>
              <w:t>119 944,35</w:t>
            </w:r>
          </w:p>
        </w:tc>
        <w:tc>
          <w:tcPr>
            <w:tcW w:w="1267" w:type="dxa"/>
            <w:noWrap/>
            <w:vAlign w:val="center"/>
          </w:tcPr>
          <w:p w14:paraId="6EDE2CCB" w14:textId="04B1C719" w:rsidR="00EE1CF0" w:rsidRPr="00B14AD5" w:rsidRDefault="006C089E" w:rsidP="00657B74">
            <w:pPr>
              <w:spacing w:after="0" w:line="240" w:lineRule="auto"/>
              <w:jc w:val="right"/>
              <w:rPr>
                <w:rFonts w:ascii="Times New Roman" w:eastAsia="Times New Roman" w:hAnsi="Times New Roman" w:cs="Times New Roman"/>
                <w:b/>
                <w:bCs/>
                <w:iCs/>
                <w:sz w:val="24"/>
                <w:szCs w:val="24"/>
                <w:lang w:eastAsia="sk-SK"/>
              </w:rPr>
            </w:pPr>
            <w:r w:rsidRPr="006C089E">
              <w:rPr>
                <w:rFonts w:ascii="Times New Roman" w:eastAsia="Times New Roman" w:hAnsi="Times New Roman" w:cs="Times New Roman"/>
                <w:b/>
                <w:bCs/>
                <w:iCs/>
                <w:sz w:val="24"/>
                <w:szCs w:val="24"/>
                <w:lang w:eastAsia="sk-SK"/>
              </w:rPr>
              <w:t>119 944,35</w:t>
            </w:r>
          </w:p>
        </w:tc>
      </w:tr>
      <w:tr w:rsidR="00EE1CF0" w:rsidRPr="00B14AD5" w14:paraId="375288F9" w14:textId="77777777" w:rsidTr="00657B74">
        <w:trPr>
          <w:trHeight w:val="70"/>
          <w:jc w:val="center"/>
        </w:trPr>
        <w:tc>
          <w:tcPr>
            <w:tcW w:w="4661" w:type="dxa"/>
            <w:noWrap/>
            <w:vAlign w:val="center"/>
          </w:tcPr>
          <w:p w14:paraId="4E677968"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2A969F0"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8521040"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F464F07"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4D258400" w14:textId="77777777" w:rsidTr="00657B74">
        <w:trPr>
          <w:trHeight w:val="70"/>
          <w:jc w:val="center"/>
        </w:trPr>
        <w:tc>
          <w:tcPr>
            <w:tcW w:w="4661" w:type="dxa"/>
            <w:noWrap/>
            <w:vAlign w:val="center"/>
          </w:tcPr>
          <w:p w14:paraId="745D9298" w14:textId="77777777" w:rsidR="00EE1CF0" w:rsidRPr="00B14AD5" w:rsidRDefault="00EE1CF0" w:rsidP="00657B74">
            <w:pPr>
              <w:spacing w:after="0" w:line="240" w:lineRule="auto"/>
              <w:ind w:left="259"/>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44CDBEC4"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241C2E43"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682777A3"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EE1CF0" w:rsidRPr="00B14AD5" w14:paraId="227E6F89" w14:textId="77777777" w:rsidTr="00657B74">
        <w:trPr>
          <w:trHeight w:val="70"/>
          <w:jc w:val="center"/>
        </w:trPr>
        <w:tc>
          <w:tcPr>
            <w:tcW w:w="4661" w:type="dxa"/>
            <w:noWrap/>
            <w:vAlign w:val="center"/>
          </w:tcPr>
          <w:p w14:paraId="3345E165" w14:textId="77777777" w:rsidR="00EE1CF0" w:rsidRPr="00B14AD5" w:rsidRDefault="00EE1CF0" w:rsidP="00657B74">
            <w:pPr>
              <w:spacing w:after="0" w:line="240" w:lineRule="auto"/>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1AE4C107"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54CDDB25"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785CFDB8"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EE1CF0" w:rsidRPr="00B14AD5" w14:paraId="50FFF6BD" w14:textId="77777777" w:rsidTr="00657B74">
        <w:trPr>
          <w:trHeight w:val="70"/>
          <w:jc w:val="center"/>
        </w:trPr>
        <w:tc>
          <w:tcPr>
            <w:tcW w:w="4661" w:type="dxa"/>
            <w:noWrap/>
            <w:vAlign w:val="center"/>
          </w:tcPr>
          <w:p w14:paraId="67899FA0" w14:textId="77777777" w:rsidR="00EE1CF0" w:rsidRPr="00B14AD5" w:rsidRDefault="00EE1CF0" w:rsidP="00657B74">
            <w:pPr>
              <w:spacing w:after="0" w:line="240" w:lineRule="auto"/>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14:paraId="25BDBA8F"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7AAAB5F8"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0213E9E0"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5DE75F62" w14:textId="77777777" w:rsidTr="00657B74">
        <w:trPr>
          <w:trHeight w:val="125"/>
          <w:jc w:val="center"/>
        </w:trPr>
        <w:tc>
          <w:tcPr>
            <w:tcW w:w="4661" w:type="dxa"/>
            <w:noWrap/>
            <w:vAlign w:val="center"/>
          </w:tcPr>
          <w:p w14:paraId="06A98BA1" w14:textId="77777777" w:rsidR="00EE1CF0" w:rsidRPr="00B14AD5" w:rsidRDefault="00EE1CF0" w:rsidP="00657B74">
            <w:pPr>
              <w:spacing w:after="0" w:line="240" w:lineRule="auto"/>
              <w:ind w:left="203"/>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315E573C"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0B457809"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031A9F94"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2F68ADFC"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EE1CF0" w:rsidRPr="00B14AD5" w14:paraId="021F4CAB" w14:textId="77777777" w:rsidTr="00657B74">
        <w:trPr>
          <w:trHeight w:val="125"/>
          <w:jc w:val="center"/>
        </w:trPr>
        <w:tc>
          <w:tcPr>
            <w:tcW w:w="4661" w:type="dxa"/>
            <w:noWrap/>
            <w:vAlign w:val="center"/>
          </w:tcPr>
          <w:p w14:paraId="10432459" w14:textId="77777777" w:rsidR="00EE1CF0" w:rsidRPr="00B14AD5" w:rsidRDefault="00EE1CF0" w:rsidP="00657B74">
            <w:pPr>
              <w:spacing w:after="0" w:line="240" w:lineRule="auto"/>
              <w:ind w:left="203"/>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AD61377"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01B5B1B9"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326FB27E"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34908EB0" w14:textId="77777777" w:rsidTr="00657B74">
        <w:trPr>
          <w:trHeight w:val="125"/>
          <w:jc w:val="center"/>
        </w:trPr>
        <w:tc>
          <w:tcPr>
            <w:tcW w:w="4661" w:type="dxa"/>
            <w:noWrap/>
            <w:vAlign w:val="center"/>
          </w:tcPr>
          <w:p w14:paraId="05CCEBC8" w14:textId="77777777" w:rsidR="00EE1CF0" w:rsidRPr="00B14AD5" w:rsidRDefault="00EE1CF0" w:rsidP="00657B74">
            <w:pPr>
              <w:spacing w:after="0" w:line="240" w:lineRule="auto"/>
              <w:ind w:left="203"/>
              <w:rPr>
                <w:rFonts w:ascii="Times New Roman" w:eastAsia="Times New Roman" w:hAnsi="Times New Roman" w:cs="Times New Roman"/>
                <w:bCs/>
                <w:i/>
                <w:iCs/>
                <w:sz w:val="24"/>
                <w:szCs w:val="24"/>
                <w:lang w:eastAsia="sk-SK"/>
              </w:rPr>
            </w:pPr>
            <w:r w:rsidRPr="00B14AD5">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217DF8DB"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78C09F92"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10B69393"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47481D15"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sz w:val="24"/>
                <w:szCs w:val="24"/>
                <w:lang w:eastAsia="sk-SK"/>
              </w:rPr>
              <w:t>0</w:t>
            </w:r>
          </w:p>
        </w:tc>
      </w:tr>
      <w:tr w:rsidR="00EE1CF0" w:rsidRPr="00B14AD5" w14:paraId="5E1A1D7B" w14:textId="77777777" w:rsidTr="00657B74">
        <w:trPr>
          <w:trHeight w:val="125"/>
          <w:jc w:val="center"/>
        </w:trPr>
        <w:tc>
          <w:tcPr>
            <w:tcW w:w="4661" w:type="dxa"/>
            <w:noWrap/>
            <w:vAlign w:val="center"/>
          </w:tcPr>
          <w:p w14:paraId="28BECA89" w14:textId="77777777" w:rsidR="00EE1CF0" w:rsidRPr="00B14AD5" w:rsidRDefault="00EE1CF0" w:rsidP="00657B74">
            <w:pPr>
              <w:spacing w:after="0" w:line="240" w:lineRule="auto"/>
              <w:ind w:left="203"/>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3A6CA005"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7443A6C5"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261D44B"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33278D61" w14:textId="77777777" w:rsidTr="00657B74">
        <w:trPr>
          <w:trHeight w:val="70"/>
          <w:jc w:val="center"/>
        </w:trPr>
        <w:tc>
          <w:tcPr>
            <w:tcW w:w="4661" w:type="dxa"/>
            <w:shd w:val="clear" w:color="auto" w:fill="BFBFBF" w:themeFill="background1" w:themeFillShade="BF"/>
            <w:noWrap/>
            <w:vAlign w:val="center"/>
          </w:tcPr>
          <w:p w14:paraId="2AE9E887" w14:textId="77777777" w:rsidR="00EE1CF0" w:rsidRPr="00B14AD5" w:rsidRDefault="00EE1CF0" w:rsidP="00657B7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6A8A4BA5" w14:textId="6AA5928C" w:rsidR="00EE1CF0" w:rsidRPr="00B14AD5" w:rsidRDefault="009D63A6" w:rsidP="00657B7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noWrap/>
            <w:vAlign w:val="center"/>
          </w:tcPr>
          <w:p w14:paraId="5684F984" w14:textId="78B85BC9" w:rsidR="00EE1CF0" w:rsidRPr="00B14AD5" w:rsidRDefault="009D63A6" w:rsidP="00657B7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noWrap/>
            <w:vAlign w:val="center"/>
          </w:tcPr>
          <w:p w14:paraId="46653177" w14:textId="228AD7F7" w:rsidR="00EE1CF0" w:rsidRPr="00B14AD5" w:rsidRDefault="009D63A6" w:rsidP="00657B7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3</w:t>
            </w:r>
          </w:p>
        </w:tc>
      </w:tr>
      <w:tr w:rsidR="00EE1CF0" w:rsidRPr="00B14AD5" w14:paraId="7289690E" w14:textId="77777777" w:rsidTr="00657B74">
        <w:trPr>
          <w:trHeight w:val="70"/>
          <w:jc w:val="center"/>
        </w:trPr>
        <w:tc>
          <w:tcPr>
            <w:tcW w:w="4661" w:type="dxa"/>
            <w:noWrap/>
            <w:vAlign w:val="center"/>
          </w:tcPr>
          <w:p w14:paraId="0F679257" w14:textId="77777777" w:rsidR="00EE1CF0" w:rsidRPr="00B14AD5" w:rsidRDefault="00EE1CF0" w:rsidP="00657B7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14:paraId="1365CDC1" w14:textId="17206067" w:rsidR="00EE1CF0" w:rsidRPr="00B14AD5" w:rsidRDefault="00313D1D" w:rsidP="00657B7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3</w:t>
            </w:r>
          </w:p>
        </w:tc>
        <w:tc>
          <w:tcPr>
            <w:tcW w:w="1267" w:type="dxa"/>
            <w:noWrap/>
            <w:vAlign w:val="center"/>
          </w:tcPr>
          <w:p w14:paraId="439316CA" w14:textId="1F1C647A" w:rsidR="00EE1CF0" w:rsidRPr="00B14AD5" w:rsidRDefault="00313D1D" w:rsidP="00657B7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3</w:t>
            </w:r>
          </w:p>
        </w:tc>
        <w:tc>
          <w:tcPr>
            <w:tcW w:w="1267" w:type="dxa"/>
            <w:noWrap/>
            <w:vAlign w:val="center"/>
          </w:tcPr>
          <w:p w14:paraId="7CDE2DA1" w14:textId="7DE937B9" w:rsidR="00EE1CF0" w:rsidRPr="00B14AD5" w:rsidRDefault="00313D1D" w:rsidP="00657B74">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3</w:t>
            </w:r>
          </w:p>
        </w:tc>
      </w:tr>
      <w:tr w:rsidR="00EE1CF0" w:rsidRPr="00B14AD5" w14:paraId="448CBC36" w14:textId="77777777" w:rsidTr="00657B74">
        <w:trPr>
          <w:trHeight w:val="70"/>
          <w:jc w:val="center"/>
        </w:trPr>
        <w:tc>
          <w:tcPr>
            <w:tcW w:w="4661" w:type="dxa"/>
            <w:noWrap/>
            <w:vAlign w:val="center"/>
          </w:tcPr>
          <w:p w14:paraId="1C9029C3"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14:paraId="619ED210"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4EDA0CE"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4B3ED561"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5B52BA58" w14:textId="77777777" w:rsidTr="00657B74">
        <w:trPr>
          <w:trHeight w:val="70"/>
          <w:jc w:val="center"/>
        </w:trPr>
        <w:tc>
          <w:tcPr>
            <w:tcW w:w="4661" w:type="dxa"/>
            <w:noWrap/>
            <w:vAlign w:val="center"/>
          </w:tcPr>
          <w:p w14:paraId="661D3284"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927D610"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584BCAB3"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EAC1947"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42F008C4" w14:textId="77777777" w:rsidTr="00657B74">
        <w:trPr>
          <w:trHeight w:val="70"/>
          <w:jc w:val="center"/>
        </w:trPr>
        <w:tc>
          <w:tcPr>
            <w:tcW w:w="4661" w:type="dxa"/>
            <w:noWrap/>
            <w:vAlign w:val="center"/>
          </w:tcPr>
          <w:p w14:paraId="0FC39E0F"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5E9361FD"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57231E1F"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794764B9"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2ABD5899" w14:textId="77777777" w:rsidTr="00657B74">
        <w:trPr>
          <w:trHeight w:val="556"/>
          <w:jc w:val="center"/>
        </w:trPr>
        <w:tc>
          <w:tcPr>
            <w:tcW w:w="4661" w:type="dxa"/>
            <w:shd w:val="clear" w:color="auto" w:fill="BFBFBF" w:themeFill="background1" w:themeFillShade="BF"/>
            <w:noWrap/>
            <w:vAlign w:val="center"/>
          </w:tcPr>
          <w:p w14:paraId="0D8D0EEA"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7DACA7D1" w14:textId="16735703" w:rsidR="00EE1CF0" w:rsidRPr="006C089E" w:rsidRDefault="009D63A6" w:rsidP="006C089E">
            <w:pPr>
              <w:spacing w:after="0" w:line="240" w:lineRule="auto"/>
              <w:jc w:val="right"/>
            </w:pPr>
            <w:r w:rsidRPr="009D63A6">
              <w:rPr>
                <w:rFonts w:ascii="Times New Roman" w:eastAsia="Times New Roman" w:hAnsi="Times New Roman" w:cs="Times New Roman"/>
                <w:b/>
                <w:bCs/>
                <w:iCs/>
                <w:sz w:val="24"/>
                <w:szCs w:val="24"/>
                <w:lang w:eastAsia="sk-SK"/>
              </w:rPr>
              <w:t>76 500,00</w:t>
            </w:r>
          </w:p>
        </w:tc>
        <w:tc>
          <w:tcPr>
            <w:tcW w:w="1267" w:type="dxa"/>
            <w:shd w:val="clear" w:color="auto" w:fill="BFBFBF" w:themeFill="background1" w:themeFillShade="BF"/>
            <w:noWrap/>
            <w:vAlign w:val="center"/>
          </w:tcPr>
          <w:p w14:paraId="41DF9CE3" w14:textId="6E59852D" w:rsidR="00EE1CF0" w:rsidRPr="006C089E" w:rsidRDefault="009D63A6" w:rsidP="006C089E">
            <w:pPr>
              <w:spacing w:after="0" w:line="240" w:lineRule="auto"/>
              <w:jc w:val="right"/>
            </w:pPr>
            <w:r w:rsidRPr="009D63A6">
              <w:rPr>
                <w:rFonts w:ascii="Times New Roman" w:eastAsia="Times New Roman" w:hAnsi="Times New Roman" w:cs="Times New Roman"/>
                <w:b/>
                <w:bCs/>
                <w:iCs/>
                <w:sz w:val="24"/>
                <w:szCs w:val="24"/>
                <w:lang w:eastAsia="sk-SK"/>
              </w:rPr>
              <w:t>76 500,00</w:t>
            </w:r>
          </w:p>
        </w:tc>
        <w:tc>
          <w:tcPr>
            <w:tcW w:w="1267" w:type="dxa"/>
            <w:shd w:val="clear" w:color="auto" w:fill="BFBFBF" w:themeFill="background1" w:themeFillShade="BF"/>
            <w:noWrap/>
            <w:vAlign w:val="center"/>
          </w:tcPr>
          <w:p w14:paraId="60EE22E3" w14:textId="18C7EF9E" w:rsidR="00EE1CF0" w:rsidRPr="009D63A6" w:rsidRDefault="00EE1CF0" w:rsidP="009D63A6">
            <w:pPr>
              <w:spacing w:after="0" w:line="240" w:lineRule="auto"/>
              <w:jc w:val="right"/>
            </w:pPr>
            <w:r>
              <w:rPr>
                <w:rFonts w:ascii="Times New Roman" w:eastAsia="Times New Roman" w:hAnsi="Times New Roman" w:cs="Times New Roman"/>
                <w:b/>
                <w:bCs/>
                <w:iCs/>
                <w:sz w:val="24"/>
                <w:szCs w:val="24"/>
                <w:lang w:eastAsia="sk-SK"/>
              </w:rPr>
              <w:fldChar w:fldCharType="begin"/>
            </w:r>
            <w:r>
              <w:rPr>
                <w:rFonts w:ascii="Times New Roman" w:eastAsia="Times New Roman" w:hAnsi="Times New Roman" w:cs="Times New Roman"/>
                <w:b/>
                <w:bCs/>
                <w:iCs/>
                <w:sz w:val="24"/>
                <w:szCs w:val="24"/>
                <w:lang w:eastAsia="sk-SK"/>
              </w:rPr>
              <w:instrText xml:space="preserve"> LINK </w:instrText>
            </w:r>
            <w:r w:rsidR="0026019C">
              <w:rPr>
                <w:rFonts w:ascii="Times New Roman" w:eastAsia="Times New Roman" w:hAnsi="Times New Roman" w:cs="Times New Roman"/>
                <w:b/>
                <w:bCs/>
                <w:iCs/>
                <w:sz w:val="24"/>
                <w:szCs w:val="24"/>
                <w:lang w:eastAsia="sk-SK"/>
              </w:rPr>
              <w:instrText xml:space="preserve">Excel.Sheet.12 "\\\\fserver2\\data\\08. OEaKU\\Jana Hrašková\\DMA\\DMA_bez valorizacie_MPK_6FTE.xlsx" "NRVS_DMA_MPK_bez valorizacie!R6C2" </w:instrText>
            </w:r>
            <w:r>
              <w:rPr>
                <w:rFonts w:ascii="Times New Roman" w:eastAsia="Times New Roman" w:hAnsi="Times New Roman" w:cs="Times New Roman"/>
                <w:b/>
                <w:bCs/>
                <w:iCs/>
                <w:sz w:val="24"/>
                <w:szCs w:val="24"/>
                <w:lang w:eastAsia="sk-SK"/>
              </w:rPr>
              <w:instrText xml:space="preserve">\a \f 5 \h  \* MERGEFORMAT </w:instrText>
            </w:r>
            <w:r>
              <w:rPr>
                <w:rFonts w:ascii="Times New Roman" w:eastAsia="Times New Roman" w:hAnsi="Times New Roman" w:cs="Times New Roman"/>
                <w:b/>
                <w:bCs/>
                <w:iCs/>
                <w:sz w:val="24"/>
                <w:szCs w:val="24"/>
                <w:lang w:eastAsia="sk-SK"/>
              </w:rPr>
              <w:fldChar w:fldCharType="separate"/>
            </w:r>
            <w:r w:rsidR="009D63A6" w:rsidRPr="009D63A6">
              <w:rPr>
                <w:rFonts w:ascii="Times New Roman" w:eastAsia="Times New Roman" w:hAnsi="Times New Roman" w:cs="Times New Roman"/>
                <w:b/>
                <w:bCs/>
                <w:iCs/>
                <w:sz w:val="24"/>
                <w:szCs w:val="24"/>
                <w:lang w:eastAsia="sk-SK"/>
              </w:rPr>
              <w:t>76 500,00</w:t>
            </w:r>
            <w:r>
              <w:rPr>
                <w:rFonts w:ascii="Times New Roman" w:eastAsia="Times New Roman" w:hAnsi="Times New Roman" w:cs="Times New Roman"/>
                <w:b/>
                <w:bCs/>
                <w:iCs/>
                <w:sz w:val="24"/>
                <w:szCs w:val="24"/>
                <w:lang w:eastAsia="sk-SK"/>
              </w:rPr>
              <w:fldChar w:fldCharType="end"/>
            </w:r>
          </w:p>
        </w:tc>
      </w:tr>
      <w:tr w:rsidR="00EE1CF0" w:rsidRPr="00B14AD5" w14:paraId="77C09600" w14:textId="77777777" w:rsidTr="00657B74">
        <w:trPr>
          <w:trHeight w:val="581"/>
          <w:jc w:val="center"/>
        </w:trPr>
        <w:tc>
          <w:tcPr>
            <w:tcW w:w="4661" w:type="dxa"/>
            <w:noWrap/>
            <w:vAlign w:val="center"/>
          </w:tcPr>
          <w:p w14:paraId="3CFCC245" w14:textId="77777777" w:rsidR="00EE1CF0" w:rsidRPr="00B14AD5" w:rsidRDefault="00EE1CF0" w:rsidP="00657B74">
            <w:pPr>
              <w:spacing w:after="0" w:line="240" w:lineRule="auto"/>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bCs/>
                <w:i/>
                <w:iCs/>
                <w:sz w:val="24"/>
                <w:szCs w:val="24"/>
                <w:lang w:eastAsia="sk-SK"/>
              </w:rPr>
              <w:t>- vplyv na ŠR</w:t>
            </w:r>
          </w:p>
        </w:tc>
        <w:tc>
          <w:tcPr>
            <w:tcW w:w="1267" w:type="dxa"/>
            <w:noWrap/>
            <w:vAlign w:val="center"/>
          </w:tcPr>
          <w:p w14:paraId="191C47E8" w14:textId="77777777" w:rsidR="009D63A6" w:rsidRDefault="009D63A6" w:rsidP="00657B74">
            <w:pPr>
              <w:spacing w:after="0" w:line="240" w:lineRule="auto"/>
              <w:jc w:val="right"/>
              <w:rPr>
                <w:rFonts w:ascii="Times New Roman" w:eastAsia="Times New Roman" w:hAnsi="Times New Roman" w:cs="Times New Roman"/>
                <w:b/>
                <w:bCs/>
                <w:iCs/>
                <w:sz w:val="24"/>
                <w:szCs w:val="24"/>
                <w:lang w:eastAsia="sk-SK"/>
              </w:rPr>
            </w:pPr>
          </w:p>
          <w:p w14:paraId="47B59EFE" w14:textId="47A17BEF" w:rsidR="00EE1CF0" w:rsidRDefault="009D63A6" w:rsidP="00657B74">
            <w:pPr>
              <w:spacing w:after="0" w:line="240" w:lineRule="auto"/>
              <w:jc w:val="right"/>
            </w:pPr>
            <w:r w:rsidRPr="009D63A6">
              <w:rPr>
                <w:rFonts w:ascii="Times New Roman" w:eastAsia="Times New Roman" w:hAnsi="Times New Roman" w:cs="Times New Roman"/>
                <w:b/>
                <w:bCs/>
                <w:iCs/>
                <w:sz w:val="24"/>
                <w:szCs w:val="24"/>
                <w:lang w:eastAsia="sk-SK"/>
              </w:rPr>
              <w:t>76 500,00</w:t>
            </w:r>
            <w:r w:rsidR="00EE1CF0">
              <w:rPr>
                <w:rFonts w:ascii="Times New Roman" w:eastAsia="Times New Roman" w:hAnsi="Times New Roman" w:cs="Times New Roman"/>
                <w:b/>
                <w:bCs/>
                <w:iCs/>
                <w:sz w:val="24"/>
                <w:szCs w:val="24"/>
                <w:lang w:eastAsia="sk-SK"/>
              </w:rPr>
              <w:fldChar w:fldCharType="begin"/>
            </w:r>
            <w:r w:rsidR="00EE1CF0">
              <w:rPr>
                <w:rFonts w:ascii="Times New Roman" w:eastAsia="Times New Roman" w:hAnsi="Times New Roman" w:cs="Times New Roman"/>
                <w:b/>
                <w:bCs/>
                <w:iCs/>
                <w:sz w:val="24"/>
                <w:szCs w:val="24"/>
                <w:lang w:eastAsia="sk-SK"/>
              </w:rPr>
              <w:instrText xml:space="preserve"> LINK </w:instrText>
            </w:r>
            <w:r w:rsidR="0026019C">
              <w:rPr>
                <w:rFonts w:ascii="Times New Roman" w:eastAsia="Times New Roman" w:hAnsi="Times New Roman" w:cs="Times New Roman"/>
                <w:b/>
                <w:bCs/>
                <w:iCs/>
                <w:sz w:val="24"/>
                <w:szCs w:val="24"/>
                <w:lang w:eastAsia="sk-SK"/>
              </w:rPr>
              <w:instrText xml:space="preserve">Excel.Sheet.12 "\\\\fserver2\\data\\08. OEaKU\\Jana Hrašková\\DMA\\DMA_bez valorizacie_MPK_6FTE.xlsx" "NRVS_DMA_MPK_bez valorizacie!R6C2" </w:instrText>
            </w:r>
            <w:r w:rsidR="00EE1CF0">
              <w:rPr>
                <w:rFonts w:ascii="Times New Roman" w:eastAsia="Times New Roman" w:hAnsi="Times New Roman" w:cs="Times New Roman"/>
                <w:b/>
                <w:bCs/>
                <w:iCs/>
                <w:sz w:val="24"/>
                <w:szCs w:val="24"/>
                <w:lang w:eastAsia="sk-SK"/>
              </w:rPr>
              <w:instrText xml:space="preserve">\a \f 5 \h  \* MERGEFORMAT </w:instrText>
            </w:r>
            <w:r w:rsidR="00EE1CF0">
              <w:rPr>
                <w:rFonts w:ascii="Times New Roman" w:eastAsia="Times New Roman" w:hAnsi="Times New Roman" w:cs="Times New Roman"/>
                <w:b/>
                <w:bCs/>
                <w:iCs/>
                <w:sz w:val="24"/>
                <w:szCs w:val="24"/>
                <w:lang w:eastAsia="sk-SK"/>
              </w:rPr>
              <w:fldChar w:fldCharType="separate"/>
            </w:r>
          </w:p>
          <w:p w14:paraId="5001406A" w14:textId="1EF3BFCF"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fldChar w:fldCharType="end"/>
            </w:r>
          </w:p>
        </w:tc>
        <w:tc>
          <w:tcPr>
            <w:tcW w:w="1267" w:type="dxa"/>
            <w:noWrap/>
            <w:vAlign w:val="center"/>
          </w:tcPr>
          <w:p w14:paraId="4439FFA9" w14:textId="6237B04B" w:rsidR="00EE1CF0" w:rsidRPr="006C089E" w:rsidRDefault="009D63A6" w:rsidP="006C089E">
            <w:pPr>
              <w:spacing w:after="0" w:line="240" w:lineRule="auto"/>
              <w:jc w:val="right"/>
            </w:pPr>
            <w:r w:rsidRPr="009D63A6">
              <w:rPr>
                <w:rFonts w:ascii="Times New Roman" w:eastAsia="Times New Roman" w:hAnsi="Times New Roman" w:cs="Times New Roman"/>
                <w:b/>
                <w:bCs/>
                <w:iCs/>
                <w:sz w:val="24"/>
                <w:szCs w:val="24"/>
                <w:lang w:eastAsia="sk-SK"/>
              </w:rPr>
              <w:t>76 500,00</w:t>
            </w:r>
          </w:p>
        </w:tc>
        <w:tc>
          <w:tcPr>
            <w:tcW w:w="1267" w:type="dxa"/>
            <w:noWrap/>
            <w:vAlign w:val="center"/>
          </w:tcPr>
          <w:p w14:paraId="3074467A" w14:textId="0AA22349" w:rsidR="00EE1CF0" w:rsidRPr="006C089E" w:rsidRDefault="009D63A6" w:rsidP="006C089E">
            <w:pPr>
              <w:spacing w:after="0" w:line="240" w:lineRule="auto"/>
              <w:jc w:val="right"/>
            </w:pPr>
            <w:r w:rsidRPr="009D63A6">
              <w:rPr>
                <w:rFonts w:ascii="Times New Roman" w:eastAsia="Times New Roman" w:hAnsi="Times New Roman" w:cs="Times New Roman"/>
                <w:b/>
                <w:bCs/>
                <w:iCs/>
                <w:sz w:val="24"/>
                <w:szCs w:val="24"/>
                <w:lang w:eastAsia="sk-SK"/>
              </w:rPr>
              <w:t>76 500,00</w:t>
            </w:r>
          </w:p>
        </w:tc>
      </w:tr>
      <w:tr w:rsidR="00EE1CF0" w:rsidRPr="00B14AD5" w14:paraId="188BA968" w14:textId="77777777" w:rsidTr="00657B74">
        <w:trPr>
          <w:trHeight w:val="310"/>
          <w:jc w:val="center"/>
        </w:trPr>
        <w:tc>
          <w:tcPr>
            <w:tcW w:w="4661" w:type="dxa"/>
            <w:noWrap/>
            <w:vAlign w:val="center"/>
          </w:tcPr>
          <w:p w14:paraId="32477C7B"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67" w:type="dxa"/>
            <w:noWrap/>
            <w:vAlign w:val="center"/>
          </w:tcPr>
          <w:p w14:paraId="7B7F4589"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5C9B8437"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552C1E1A"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129BF572" w14:textId="77777777" w:rsidTr="00657B74">
        <w:trPr>
          <w:trHeight w:val="70"/>
          <w:jc w:val="center"/>
        </w:trPr>
        <w:tc>
          <w:tcPr>
            <w:tcW w:w="4661" w:type="dxa"/>
            <w:noWrap/>
            <w:vAlign w:val="center"/>
          </w:tcPr>
          <w:p w14:paraId="40EECC14"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417F82E"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4698B92E"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6C04E396"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40D2375B" w14:textId="77777777" w:rsidTr="00657B74">
        <w:trPr>
          <w:trHeight w:val="70"/>
          <w:jc w:val="center"/>
        </w:trPr>
        <w:tc>
          <w:tcPr>
            <w:tcW w:w="4661" w:type="dxa"/>
            <w:noWrap/>
            <w:vAlign w:val="center"/>
          </w:tcPr>
          <w:p w14:paraId="0423C4F3" w14:textId="77777777" w:rsidR="00EE1CF0" w:rsidRPr="00B14AD5" w:rsidRDefault="00EE1CF0" w:rsidP="00657B74">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B474A08"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28F0181C"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67" w:type="dxa"/>
            <w:noWrap/>
            <w:vAlign w:val="center"/>
          </w:tcPr>
          <w:p w14:paraId="1DD99FBF"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EE1CF0" w:rsidRPr="00B14AD5" w14:paraId="0BAD68CA" w14:textId="77777777" w:rsidTr="00657B74">
        <w:trPr>
          <w:trHeight w:val="70"/>
          <w:jc w:val="center"/>
        </w:trPr>
        <w:tc>
          <w:tcPr>
            <w:tcW w:w="4661" w:type="dxa"/>
            <w:shd w:val="clear" w:color="auto" w:fill="C0C0C0"/>
            <w:noWrap/>
            <w:vAlign w:val="center"/>
          </w:tcPr>
          <w:p w14:paraId="5BA27726" w14:textId="77777777" w:rsidR="00EE1CF0" w:rsidRPr="00B14AD5" w:rsidRDefault="00EE1CF0" w:rsidP="00657B7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02C1C586"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5EC35B8D"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079C2112" w14:textId="77777777" w:rsidR="00EE1CF0" w:rsidRPr="00B14AD5" w:rsidRDefault="00EE1CF0" w:rsidP="00657B74">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sz w:val="24"/>
                <w:szCs w:val="24"/>
                <w:lang w:eastAsia="sk-SK"/>
              </w:rPr>
              <w:t>0</w:t>
            </w:r>
          </w:p>
        </w:tc>
      </w:tr>
      <w:tr w:rsidR="00EE1CF0" w:rsidRPr="00B14AD5" w14:paraId="1911AF82" w14:textId="77777777" w:rsidTr="00657B74">
        <w:trPr>
          <w:trHeight w:val="70"/>
          <w:jc w:val="center"/>
        </w:trPr>
        <w:tc>
          <w:tcPr>
            <w:tcW w:w="4661" w:type="dxa"/>
            <w:noWrap/>
            <w:vAlign w:val="center"/>
          </w:tcPr>
          <w:p w14:paraId="1699B82B" w14:textId="77777777" w:rsidR="00EE1CF0" w:rsidRPr="00B14AD5" w:rsidRDefault="00EE1CF0" w:rsidP="00657B7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14:paraId="223B1899"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502B6A4A"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c>
          <w:tcPr>
            <w:tcW w:w="1267" w:type="dxa"/>
            <w:noWrap/>
            <w:vAlign w:val="center"/>
          </w:tcPr>
          <w:p w14:paraId="2C998861"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sz w:val="24"/>
                <w:szCs w:val="24"/>
                <w:lang w:eastAsia="sk-SK"/>
              </w:rPr>
              <w:t>0</w:t>
            </w:r>
          </w:p>
        </w:tc>
      </w:tr>
      <w:tr w:rsidR="00EE1CF0" w:rsidRPr="00B14AD5" w14:paraId="2C8F78F4" w14:textId="77777777" w:rsidTr="00657B74">
        <w:trPr>
          <w:trHeight w:val="70"/>
          <w:jc w:val="center"/>
        </w:trPr>
        <w:tc>
          <w:tcPr>
            <w:tcW w:w="4661" w:type="dxa"/>
            <w:shd w:val="clear" w:color="auto" w:fill="BFBFBF" w:themeFill="background1" w:themeFillShade="BF"/>
            <w:noWrap/>
            <w:vAlign w:val="center"/>
          </w:tcPr>
          <w:p w14:paraId="5686BF87" w14:textId="77777777" w:rsidR="00EE1CF0" w:rsidRPr="00B14AD5" w:rsidRDefault="00EE1CF0" w:rsidP="00657B7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0A6E8BD1"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DF6885F"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05DA8E3D" w14:textId="77777777" w:rsidR="00EE1CF0" w:rsidRPr="00B14AD5" w:rsidRDefault="00EE1CF0" w:rsidP="00657B74">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0</w:t>
            </w:r>
          </w:p>
        </w:tc>
      </w:tr>
      <w:tr w:rsidR="00EE1CF0" w:rsidRPr="00B14AD5" w14:paraId="0EC39FC8" w14:textId="77777777" w:rsidTr="00657B74">
        <w:trPr>
          <w:trHeight w:val="70"/>
          <w:jc w:val="center"/>
        </w:trPr>
        <w:tc>
          <w:tcPr>
            <w:tcW w:w="4661" w:type="dxa"/>
            <w:shd w:val="clear" w:color="auto" w:fill="A6A6A6" w:themeFill="background1" w:themeFillShade="A6"/>
            <w:noWrap/>
            <w:vAlign w:val="center"/>
          </w:tcPr>
          <w:p w14:paraId="171FE45C" w14:textId="77777777" w:rsidR="00EE1CF0" w:rsidRPr="00B14AD5" w:rsidRDefault="00EE1CF0" w:rsidP="00657B74">
            <w:pPr>
              <w:spacing w:after="0" w:line="240" w:lineRule="auto"/>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bCs/>
                <w:sz w:val="24"/>
                <w:szCs w:val="24"/>
                <w:lang w:eastAsia="sk-SK"/>
              </w:rPr>
              <w:t xml:space="preserve">Rozpočtovo nekrytý vplyv / </w:t>
            </w:r>
            <w:r w:rsidRPr="00C90818">
              <w:rPr>
                <w:rFonts w:ascii="Times New Roman" w:eastAsia="Times New Roman" w:hAnsi="Times New Roman" w:cs="Times New Roman"/>
                <w:b/>
                <w:bCs/>
                <w:strike/>
                <w:sz w:val="24"/>
                <w:szCs w:val="24"/>
                <w:lang w:eastAsia="sk-SK"/>
              </w:rPr>
              <w:t>úspora</w:t>
            </w:r>
          </w:p>
        </w:tc>
        <w:tc>
          <w:tcPr>
            <w:tcW w:w="1267" w:type="dxa"/>
            <w:shd w:val="clear" w:color="auto" w:fill="A6A6A6" w:themeFill="background1" w:themeFillShade="A6"/>
            <w:noWrap/>
            <w:vAlign w:val="center"/>
          </w:tcPr>
          <w:p w14:paraId="3D886E58" w14:textId="2FCD09B1" w:rsidR="00EE1CF0" w:rsidRPr="00B14AD5" w:rsidRDefault="00313D1D" w:rsidP="00C9081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122 74</w:t>
            </w:r>
            <w:r w:rsidR="006C089E" w:rsidRPr="006C089E">
              <w:rPr>
                <w:rFonts w:ascii="Times New Roman" w:eastAsia="Times New Roman" w:hAnsi="Times New Roman" w:cs="Times New Roman"/>
                <w:b/>
                <w:bCs/>
                <w:sz w:val="24"/>
                <w:szCs w:val="24"/>
                <w:lang w:eastAsia="sk-SK"/>
              </w:rPr>
              <w:t>9,35</w:t>
            </w:r>
          </w:p>
        </w:tc>
        <w:tc>
          <w:tcPr>
            <w:tcW w:w="1267" w:type="dxa"/>
            <w:shd w:val="clear" w:color="auto" w:fill="A6A6A6" w:themeFill="background1" w:themeFillShade="A6"/>
            <w:noWrap/>
            <w:vAlign w:val="center"/>
          </w:tcPr>
          <w:p w14:paraId="35FE0667" w14:textId="14B46849" w:rsidR="00EE1CF0" w:rsidRPr="00B14AD5" w:rsidRDefault="006C089E" w:rsidP="00657B74">
            <w:pPr>
              <w:spacing w:after="0" w:line="240" w:lineRule="auto"/>
              <w:jc w:val="right"/>
              <w:rPr>
                <w:rFonts w:ascii="Times New Roman" w:eastAsia="Times New Roman" w:hAnsi="Times New Roman" w:cs="Times New Roman"/>
                <w:b/>
                <w:bCs/>
                <w:sz w:val="24"/>
                <w:szCs w:val="24"/>
                <w:lang w:eastAsia="sk-SK"/>
              </w:rPr>
            </w:pPr>
            <w:r w:rsidRPr="006C089E">
              <w:rPr>
                <w:rFonts w:ascii="Times New Roman" w:eastAsia="Times New Roman" w:hAnsi="Times New Roman" w:cs="Times New Roman"/>
                <w:b/>
                <w:bCs/>
                <w:sz w:val="24"/>
                <w:szCs w:val="24"/>
                <w:lang w:eastAsia="sk-SK"/>
              </w:rPr>
              <w:t>119 944,35</w:t>
            </w:r>
          </w:p>
        </w:tc>
        <w:tc>
          <w:tcPr>
            <w:tcW w:w="1267" w:type="dxa"/>
            <w:shd w:val="clear" w:color="auto" w:fill="A6A6A6" w:themeFill="background1" w:themeFillShade="A6"/>
            <w:noWrap/>
            <w:vAlign w:val="center"/>
          </w:tcPr>
          <w:p w14:paraId="6D486E7D" w14:textId="06D468D3" w:rsidR="00EE1CF0" w:rsidRPr="00B14AD5" w:rsidRDefault="006C089E" w:rsidP="00657B74">
            <w:pPr>
              <w:spacing w:after="0" w:line="240" w:lineRule="auto"/>
              <w:jc w:val="right"/>
              <w:rPr>
                <w:rFonts w:ascii="Times New Roman" w:eastAsia="Times New Roman" w:hAnsi="Times New Roman" w:cs="Times New Roman"/>
                <w:b/>
                <w:bCs/>
                <w:sz w:val="24"/>
                <w:szCs w:val="24"/>
                <w:lang w:eastAsia="sk-SK"/>
              </w:rPr>
            </w:pPr>
            <w:r w:rsidRPr="006C089E">
              <w:rPr>
                <w:rFonts w:ascii="Times New Roman" w:eastAsia="Times New Roman" w:hAnsi="Times New Roman" w:cs="Times New Roman"/>
                <w:b/>
                <w:bCs/>
                <w:sz w:val="24"/>
                <w:szCs w:val="24"/>
                <w:lang w:eastAsia="sk-SK"/>
              </w:rPr>
              <w:t>119 944,35</w:t>
            </w:r>
          </w:p>
        </w:tc>
      </w:tr>
      <w:tr w:rsidR="00EE1CF0" w:rsidRPr="00B14AD5" w14:paraId="0FADCB4A" w14:textId="77777777" w:rsidTr="00657B74">
        <w:trPr>
          <w:trHeight w:val="70"/>
          <w:jc w:val="center"/>
        </w:trPr>
        <w:tc>
          <w:tcPr>
            <w:tcW w:w="4661" w:type="dxa"/>
            <w:shd w:val="clear" w:color="auto" w:fill="A6A6A6" w:themeFill="background1" w:themeFillShade="A6"/>
            <w:noWrap/>
            <w:vAlign w:val="center"/>
          </w:tcPr>
          <w:p w14:paraId="01D58491" w14:textId="77777777" w:rsidR="00EE1CF0" w:rsidRPr="00B14AD5" w:rsidRDefault="00EE1CF0" w:rsidP="00657B74">
            <w:pPr>
              <w:spacing w:after="0" w:line="240" w:lineRule="auto"/>
              <w:rPr>
                <w:rFonts w:ascii="Times New Roman" w:eastAsia="Times New Roman" w:hAnsi="Times New Roman" w:cs="Times New Roman"/>
                <w:b/>
                <w:bCs/>
                <w:sz w:val="24"/>
                <w:szCs w:val="24"/>
                <w:lang w:eastAsia="sk-SK"/>
              </w:rPr>
            </w:pPr>
          </w:p>
        </w:tc>
        <w:tc>
          <w:tcPr>
            <w:tcW w:w="1267" w:type="dxa"/>
            <w:shd w:val="clear" w:color="auto" w:fill="A6A6A6" w:themeFill="background1" w:themeFillShade="A6"/>
            <w:noWrap/>
            <w:vAlign w:val="center"/>
          </w:tcPr>
          <w:p w14:paraId="774B5808"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p>
        </w:tc>
        <w:tc>
          <w:tcPr>
            <w:tcW w:w="1267" w:type="dxa"/>
            <w:shd w:val="clear" w:color="auto" w:fill="A6A6A6" w:themeFill="background1" w:themeFillShade="A6"/>
            <w:noWrap/>
            <w:vAlign w:val="center"/>
          </w:tcPr>
          <w:p w14:paraId="207D354E"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p>
        </w:tc>
        <w:tc>
          <w:tcPr>
            <w:tcW w:w="1267" w:type="dxa"/>
            <w:shd w:val="clear" w:color="auto" w:fill="A6A6A6" w:themeFill="background1" w:themeFillShade="A6"/>
            <w:noWrap/>
            <w:vAlign w:val="center"/>
          </w:tcPr>
          <w:p w14:paraId="7E72A841" w14:textId="77777777" w:rsidR="00EE1CF0" w:rsidRPr="00B14AD5" w:rsidRDefault="00EE1CF0" w:rsidP="00657B74">
            <w:pPr>
              <w:spacing w:after="0" w:line="240" w:lineRule="auto"/>
              <w:jc w:val="right"/>
              <w:rPr>
                <w:rFonts w:ascii="Times New Roman" w:eastAsia="Times New Roman" w:hAnsi="Times New Roman" w:cs="Times New Roman"/>
                <w:b/>
                <w:bCs/>
                <w:sz w:val="24"/>
                <w:szCs w:val="24"/>
                <w:lang w:eastAsia="sk-SK"/>
              </w:rPr>
            </w:pPr>
          </w:p>
        </w:tc>
      </w:tr>
      <w:bookmarkEnd w:id="0"/>
    </w:tbl>
    <w:p w14:paraId="589C3F4E" w14:textId="77777777" w:rsidR="00EE1CF0" w:rsidRPr="00B14AD5" w:rsidRDefault="00EE1CF0" w:rsidP="00EE1CF0">
      <w:pPr>
        <w:spacing w:after="0" w:line="240" w:lineRule="auto"/>
        <w:rPr>
          <w:rFonts w:ascii="Times New Roman" w:eastAsia="Times New Roman" w:hAnsi="Times New Roman" w:cs="Times New Roman"/>
          <w:sz w:val="20"/>
          <w:szCs w:val="20"/>
          <w:lang w:eastAsia="sk-SK"/>
        </w:rPr>
      </w:pPr>
    </w:p>
    <w:p w14:paraId="7A1BFA83" w14:textId="77777777" w:rsidR="007D5748" w:rsidRPr="00B14AD5" w:rsidRDefault="00E963A3" w:rsidP="005307FC">
      <w:pP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br w:type="page"/>
      </w:r>
      <w:r w:rsidR="007D5748" w:rsidRPr="00B14AD5">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1E665BF8" w14:textId="77777777" w:rsidR="007D5748" w:rsidRPr="00B14AD5" w:rsidRDefault="007D5748" w:rsidP="007D5748">
      <w:pPr>
        <w:spacing w:after="0" w:line="240" w:lineRule="auto"/>
        <w:jc w:val="both"/>
        <w:rPr>
          <w:rFonts w:ascii="Times New Roman" w:eastAsia="Times New Roman" w:hAnsi="Times New Roman" w:cs="Times New Roman"/>
          <w:b/>
          <w:bCs/>
          <w:sz w:val="12"/>
          <w:szCs w:val="24"/>
          <w:lang w:eastAsia="sk-SK"/>
        </w:rPr>
      </w:pPr>
    </w:p>
    <w:p w14:paraId="57E2ED9E" w14:textId="135B5640" w:rsidR="00D0235F" w:rsidRPr="00680A6B" w:rsidRDefault="00D0235F" w:rsidP="00D0235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680A6B">
        <w:rPr>
          <w:rFonts w:ascii="Times New Roman" w:eastAsia="Times New Roman" w:hAnsi="Times New Roman" w:cs="Times New Roman"/>
          <w:bCs/>
          <w:sz w:val="24"/>
          <w:szCs w:val="24"/>
          <w:lang w:eastAsia="sk-SK"/>
        </w:rPr>
        <w:t>Financovanie návrhu</w:t>
      </w:r>
      <w:r>
        <w:rPr>
          <w:rFonts w:ascii="Times New Roman" w:eastAsia="Times New Roman" w:hAnsi="Times New Roman" w:cs="Times New Roman"/>
          <w:bCs/>
          <w:sz w:val="24"/>
          <w:szCs w:val="24"/>
          <w:lang w:eastAsia="sk-SK"/>
        </w:rPr>
        <w:t xml:space="preserve"> nie</w:t>
      </w:r>
      <w:r w:rsidRPr="00680A6B">
        <w:rPr>
          <w:rFonts w:ascii="Times New Roman" w:eastAsia="Times New Roman" w:hAnsi="Times New Roman" w:cs="Times New Roman"/>
          <w:bCs/>
          <w:sz w:val="24"/>
          <w:szCs w:val="24"/>
          <w:lang w:eastAsia="sk-SK"/>
        </w:rPr>
        <w:t xml:space="preserve"> je zabezpečené v rozpočte Protimonopolného úradu Slovenskej republiky v programe 084 Hospodárska súťaž (podprogram 08401 Hospodárska súťaž – riadenie, kontrola a podpora činnosti úradu)</w:t>
      </w:r>
      <w:r>
        <w:rPr>
          <w:rFonts w:ascii="Times New Roman" w:eastAsia="Times New Roman" w:hAnsi="Times New Roman" w:cs="Times New Roman"/>
          <w:bCs/>
          <w:sz w:val="24"/>
          <w:szCs w:val="24"/>
          <w:lang w:eastAsia="sk-SK"/>
        </w:rPr>
        <w:t xml:space="preserve"> a </w:t>
      </w:r>
      <w:r w:rsidRPr="00680A6B">
        <w:rPr>
          <w:rFonts w:ascii="Times New Roman" w:eastAsia="Times New Roman" w:hAnsi="Times New Roman" w:cs="Times New Roman"/>
          <w:bCs/>
          <w:sz w:val="24"/>
          <w:szCs w:val="24"/>
          <w:lang w:eastAsia="sk-SK"/>
        </w:rPr>
        <w:t>vznikne rozpočtovo nekrytý vplyv v hlavnej kategórii 600 Bežné výdavky. Limit počtu zamestna</w:t>
      </w:r>
      <w:r>
        <w:rPr>
          <w:rFonts w:ascii="Times New Roman" w:eastAsia="Times New Roman" w:hAnsi="Times New Roman" w:cs="Times New Roman"/>
          <w:bCs/>
          <w:sz w:val="24"/>
          <w:szCs w:val="24"/>
          <w:lang w:eastAsia="sk-SK"/>
        </w:rPr>
        <w:t xml:space="preserve">ncov </w:t>
      </w:r>
      <w:r w:rsidRPr="00680A6B">
        <w:rPr>
          <w:rFonts w:ascii="Times New Roman" w:eastAsia="Times New Roman" w:hAnsi="Times New Roman" w:cs="Times New Roman"/>
          <w:bCs/>
          <w:sz w:val="24"/>
          <w:szCs w:val="24"/>
          <w:lang w:eastAsia="sk-SK"/>
        </w:rPr>
        <w:t>bude navýšený</w:t>
      </w:r>
      <w:r w:rsidR="009F3197">
        <w:rPr>
          <w:rFonts w:ascii="Times New Roman" w:eastAsia="Times New Roman" w:hAnsi="Times New Roman" w:cs="Times New Roman"/>
          <w:bCs/>
          <w:sz w:val="24"/>
          <w:szCs w:val="24"/>
          <w:lang w:eastAsia="sk-SK"/>
        </w:rPr>
        <w:t xml:space="preserve"> o </w:t>
      </w:r>
      <w:r w:rsidR="006C089E">
        <w:rPr>
          <w:rFonts w:ascii="Times New Roman" w:eastAsia="Times New Roman" w:hAnsi="Times New Roman" w:cs="Times New Roman"/>
          <w:b/>
          <w:bCs/>
          <w:sz w:val="24"/>
          <w:szCs w:val="24"/>
          <w:lang w:eastAsia="sk-SK"/>
        </w:rPr>
        <w:t>3 osoby</w:t>
      </w:r>
      <w:r w:rsidRPr="009F3197">
        <w:rPr>
          <w:rFonts w:ascii="Times New Roman" w:eastAsia="Times New Roman" w:hAnsi="Times New Roman" w:cs="Times New Roman"/>
          <w:b/>
          <w:bCs/>
          <w:sz w:val="24"/>
          <w:szCs w:val="24"/>
          <w:lang w:eastAsia="sk-SK"/>
        </w:rPr>
        <w:t>.</w:t>
      </w:r>
    </w:p>
    <w:p w14:paraId="37C2ACE7" w14:textId="77777777" w:rsidR="001227E2" w:rsidRDefault="001227E2"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426FDFFA" w14:textId="77777777"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58F04D4A" w14:textId="77777777"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15D1F710" w14:textId="77777777"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32FFD8DC" w14:textId="77777777" w:rsidR="007D5748" w:rsidRPr="00B14AD5"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1C2F44AB"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 Popis a charakteristika návrhu</w:t>
      </w:r>
    </w:p>
    <w:p w14:paraId="5C6A184E"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6D334D69" w14:textId="77777777" w:rsidR="007D5748" w:rsidRPr="00B14AD5" w:rsidRDefault="007D5748" w:rsidP="007D5748">
      <w:pPr>
        <w:spacing w:after="0" w:line="240" w:lineRule="auto"/>
        <w:jc w:val="both"/>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2.2.1. Popis návrhu:</w:t>
      </w:r>
    </w:p>
    <w:p w14:paraId="642DB69E" w14:textId="77777777" w:rsidR="007D5748" w:rsidRPr="00B14AD5" w:rsidRDefault="007D5748" w:rsidP="007D5748">
      <w:pPr>
        <w:spacing w:after="0" w:line="240" w:lineRule="auto"/>
        <w:jc w:val="both"/>
        <w:rPr>
          <w:rFonts w:ascii="Times New Roman" w:eastAsia="Times New Roman" w:hAnsi="Times New Roman" w:cs="Times New Roman"/>
          <w:b/>
          <w:bCs/>
          <w:sz w:val="24"/>
          <w:szCs w:val="24"/>
          <w:lang w:eastAsia="sk-SK"/>
        </w:rPr>
      </w:pPr>
    </w:p>
    <w:p w14:paraId="48C3C6CE" w14:textId="77777777"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Akú problematiku návrh rieši? Kto bude návrh implementovať? Kde sa budú služby poskytovať?</w:t>
      </w:r>
    </w:p>
    <w:p w14:paraId="19AEACE6" w14:textId="77777777" w:rsidR="00B24E1C" w:rsidRDefault="00B24E1C" w:rsidP="001227E2">
      <w:pPr>
        <w:spacing w:after="0" w:line="240" w:lineRule="auto"/>
        <w:ind w:firstLine="708"/>
        <w:rPr>
          <w:rFonts w:ascii="Times New Roman" w:hAnsi="Times New Roman" w:cs="Times New Roman"/>
          <w:sz w:val="18"/>
          <w:szCs w:val="18"/>
        </w:rPr>
      </w:pPr>
    </w:p>
    <w:p w14:paraId="5D2BA1C9" w14:textId="77777777" w:rsidR="00D108E3" w:rsidRPr="00DF6545" w:rsidRDefault="00D108E3" w:rsidP="00DF654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rPr>
      </w:pPr>
      <w:r w:rsidRPr="000053E1">
        <w:rPr>
          <w:rFonts w:ascii="Times New Roman" w:eastAsia="Times New Roman" w:hAnsi="Times New Roman" w:cs="Times New Roman"/>
          <w:bCs/>
          <w:sz w:val="24"/>
          <w:szCs w:val="24"/>
          <w:lang w:eastAsia="sk-SK"/>
        </w:rPr>
        <w:t>V roku 2022 došlo k prijatiu</w:t>
      </w:r>
      <w:r w:rsidRPr="00DF6545">
        <w:rPr>
          <w:rFonts w:ascii="Times New Roman" w:hAnsi="Times New Roman"/>
          <w:sz w:val="24"/>
        </w:rPr>
        <w:t xml:space="preserve"> Nariadenia Európskeho parlamentu a</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Rady (EÚ) 2022/1925 o</w:t>
      </w:r>
      <w:r w:rsidRPr="000053E1">
        <w:rPr>
          <w:rFonts w:ascii="Times New Roman" w:eastAsia="Times New Roman" w:hAnsi="Times New Roman" w:cs="Times New Roman"/>
          <w:bCs/>
          <w:sz w:val="24"/>
          <w:szCs w:val="24"/>
          <w:lang w:eastAsia="sk-SK"/>
        </w:rPr>
        <w:t> </w:t>
      </w:r>
      <w:proofErr w:type="spellStart"/>
      <w:r w:rsidRPr="00DF6545">
        <w:rPr>
          <w:rFonts w:ascii="Times New Roman" w:hAnsi="Times New Roman"/>
          <w:sz w:val="24"/>
        </w:rPr>
        <w:t>súťažeschopných</w:t>
      </w:r>
      <w:proofErr w:type="spellEnd"/>
      <w:r w:rsidRPr="00DF6545">
        <w:rPr>
          <w:rFonts w:ascii="Times New Roman" w:hAnsi="Times New Roman"/>
          <w:sz w:val="24"/>
        </w:rPr>
        <w:t xml:space="preserve"> a</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spravodlivých trhoch digitálneho sektora a o</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zmene smerníc (EÚ) 2019/1937 a (EÚ) 2020/1828 (akt o</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digitálnych trhoch</w:t>
      </w:r>
      <w:r w:rsidRPr="000053E1">
        <w:rPr>
          <w:rFonts w:ascii="Times New Roman" w:eastAsia="Times New Roman" w:hAnsi="Times New Roman" w:cs="Times New Roman"/>
          <w:bCs/>
          <w:sz w:val="24"/>
          <w:szCs w:val="24"/>
          <w:lang w:eastAsia="sk-SK"/>
        </w:rPr>
        <w:t>) (</w:t>
      </w:r>
      <w:r w:rsidRPr="00DF6545">
        <w:rPr>
          <w:rFonts w:ascii="Times New Roman" w:hAnsi="Times New Roman"/>
          <w:sz w:val="24"/>
        </w:rPr>
        <w:t xml:space="preserve">ďalej len </w:t>
      </w:r>
      <w:r w:rsidRPr="000053E1">
        <w:rPr>
          <w:rFonts w:ascii="Times New Roman" w:eastAsia="Times New Roman" w:hAnsi="Times New Roman" w:cs="Times New Roman"/>
          <w:bCs/>
          <w:sz w:val="24"/>
          <w:szCs w:val="24"/>
          <w:lang w:eastAsia="sk-SK"/>
        </w:rPr>
        <w:t xml:space="preserve">„nariadenie </w:t>
      </w:r>
      <w:r w:rsidRPr="00DF6545">
        <w:rPr>
          <w:rFonts w:ascii="Times New Roman" w:hAnsi="Times New Roman"/>
          <w:sz w:val="24"/>
        </w:rPr>
        <w:t>DMA</w:t>
      </w:r>
      <w:r w:rsidRPr="000053E1">
        <w:rPr>
          <w:rFonts w:ascii="Times New Roman" w:eastAsia="Times New Roman" w:hAnsi="Times New Roman" w:cs="Times New Roman"/>
          <w:bCs/>
          <w:sz w:val="24"/>
          <w:szCs w:val="24"/>
          <w:lang w:eastAsia="sk-SK"/>
        </w:rPr>
        <w:t xml:space="preserve">“). </w:t>
      </w:r>
      <w:r w:rsidR="00DF6545">
        <w:rPr>
          <w:rFonts w:ascii="Times New Roman" w:eastAsia="Times New Roman" w:hAnsi="Times New Roman" w:cs="Times New Roman"/>
          <w:bCs/>
          <w:sz w:val="24"/>
          <w:szCs w:val="24"/>
          <w:lang w:eastAsia="sk-SK"/>
        </w:rPr>
        <w:t xml:space="preserve">Nariadenie </w:t>
      </w:r>
      <w:r w:rsidRPr="000053E1">
        <w:rPr>
          <w:rFonts w:ascii="Times New Roman" w:eastAsia="Times New Roman" w:hAnsi="Times New Roman" w:cs="Times New Roman"/>
          <w:bCs/>
          <w:sz w:val="24"/>
          <w:szCs w:val="24"/>
          <w:lang w:eastAsia="sk-SK"/>
        </w:rPr>
        <w:t xml:space="preserve">DMA vstúpi do účinnosti dňa 2. 5. </w:t>
      </w:r>
      <w:r w:rsidRPr="00DF6545">
        <w:rPr>
          <w:rFonts w:ascii="Times New Roman" w:hAnsi="Times New Roman"/>
          <w:sz w:val="24"/>
        </w:rPr>
        <w:t>2023.</w:t>
      </w:r>
      <w:r w:rsidRPr="000053E1">
        <w:rPr>
          <w:rFonts w:ascii="Times New Roman" w:eastAsia="Times New Roman" w:hAnsi="Times New Roman" w:cs="Times New Roman"/>
          <w:bCs/>
          <w:sz w:val="24"/>
          <w:szCs w:val="24"/>
          <w:lang w:eastAsia="sk-SK"/>
        </w:rPr>
        <w:t xml:space="preserve"> </w:t>
      </w:r>
      <w:r w:rsidRPr="00DF6545">
        <w:rPr>
          <w:rFonts w:ascii="Times New Roman" w:hAnsi="Times New Roman"/>
          <w:sz w:val="24"/>
        </w:rPr>
        <w:t>Pr</w:t>
      </w:r>
      <w:r w:rsidR="00DF6545">
        <w:rPr>
          <w:rFonts w:ascii="Times New Roman" w:hAnsi="Times New Roman"/>
          <w:sz w:val="24"/>
        </w:rPr>
        <w:t>vým krokom zo strany Európskej k</w:t>
      </w:r>
      <w:r w:rsidRPr="00DF6545">
        <w:rPr>
          <w:rFonts w:ascii="Times New Roman" w:hAnsi="Times New Roman"/>
          <w:sz w:val="24"/>
        </w:rPr>
        <w:t xml:space="preserve">omisie po nadobudnutí účinnosti nariadenia DMA bude proces označenia digitálnych gigantov za strážcov prístupu (tzv. </w:t>
      </w:r>
      <w:proofErr w:type="spellStart"/>
      <w:r w:rsidRPr="00DF6545">
        <w:rPr>
          <w:rFonts w:ascii="Times New Roman" w:hAnsi="Times New Roman"/>
          <w:sz w:val="24"/>
        </w:rPr>
        <w:t>gatekeeprov</w:t>
      </w:r>
      <w:proofErr w:type="spellEnd"/>
      <w:r w:rsidRPr="00DF6545">
        <w:rPr>
          <w:rFonts w:ascii="Times New Roman" w:hAnsi="Times New Roman"/>
          <w:sz w:val="24"/>
        </w:rPr>
        <w:t xml:space="preserve">), teda spoločností, ktoré sa vyznačujú veľkou hospodárskou silou a prevádzkujú jednu alebo aj väčší počet základných platformových služieb (z angl. </w:t>
      </w:r>
      <w:proofErr w:type="spellStart"/>
      <w:r w:rsidRPr="00DF6545">
        <w:rPr>
          <w:rFonts w:ascii="Times New Roman" w:hAnsi="Times New Roman"/>
          <w:sz w:val="24"/>
        </w:rPr>
        <w:t>core</w:t>
      </w:r>
      <w:proofErr w:type="spellEnd"/>
      <w:r w:rsidRPr="00DF6545">
        <w:rPr>
          <w:rFonts w:ascii="Times New Roman" w:hAnsi="Times New Roman"/>
          <w:sz w:val="24"/>
        </w:rPr>
        <w:t xml:space="preserve"> </w:t>
      </w:r>
      <w:proofErr w:type="spellStart"/>
      <w:r w:rsidRPr="00DF6545">
        <w:rPr>
          <w:rFonts w:ascii="Times New Roman" w:hAnsi="Times New Roman"/>
          <w:sz w:val="24"/>
        </w:rPr>
        <w:t>platform</w:t>
      </w:r>
      <w:proofErr w:type="spellEnd"/>
      <w:r w:rsidRPr="00DF6545">
        <w:rPr>
          <w:rFonts w:ascii="Times New Roman" w:hAnsi="Times New Roman"/>
          <w:sz w:val="24"/>
        </w:rPr>
        <w:t xml:space="preserve"> </w:t>
      </w:r>
      <w:proofErr w:type="spellStart"/>
      <w:r w:rsidRPr="00DF6545">
        <w:rPr>
          <w:rFonts w:ascii="Times New Roman" w:hAnsi="Times New Roman"/>
          <w:sz w:val="24"/>
        </w:rPr>
        <w:t>services</w:t>
      </w:r>
      <w:proofErr w:type="spellEnd"/>
      <w:r w:rsidRPr="00DF6545">
        <w:rPr>
          <w:rFonts w:ascii="Times New Roman" w:hAnsi="Times New Roman"/>
          <w:sz w:val="24"/>
        </w:rPr>
        <w:t>).</w:t>
      </w:r>
      <w:r w:rsidRPr="000053E1">
        <w:rPr>
          <w:rFonts w:ascii="Times New Roman" w:eastAsia="Times New Roman" w:hAnsi="Times New Roman" w:cs="Times New Roman"/>
          <w:bCs/>
          <w:sz w:val="24"/>
          <w:szCs w:val="24"/>
          <w:lang w:eastAsia="sk-SK"/>
        </w:rPr>
        <w:t xml:space="preserve"> Strážcovia prístupu zvyčajne dokážu svojimi službami prepojiť mnohých komerčných používateľov s mnohými koncovými používateľmi, čo im umožňuje, aby výhody, ako napr. prístup k veľkému množstvu údajov z jednej oblasti činnosti, využili </w:t>
      </w:r>
      <w:r w:rsidRPr="000053E1">
        <w:rPr>
          <w:rFonts w:ascii="Times New Roman" w:eastAsia="Times New Roman" w:hAnsi="Times New Roman" w:cs="Times New Roman"/>
          <w:bCs/>
          <w:sz w:val="24"/>
          <w:szCs w:val="24"/>
          <w:lang w:eastAsia="sk-SK"/>
        </w:rPr>
        <w:lastRenderedPageBreak/>
        <w:t xml:space="preserve">aj v rámci svojich ďalších podnikateľských aktivít v iných oblastiach. </w:t>
      </w:r>
    </w:p>
    <w:p w14:paraId="6DEA78A1" w14:textId="7ED85D71" w:rsidR="00D108E3" w:rsidRPr="00DF6545" w:rsidRDefault="00D108E3" w:rsidP="00DF654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rPr>
      </w:pPr>
      <w:r w:rsidRPr="000053E1">
        <w:rPr>
          <w:rFonts w:ascii="Times New Roman" w:eastAsia="Times New Roman" w:hAnsi="Times New Roman" w:cs="Times New Roman"/>
          <w:bCs/>
          <w:sz w:val="24"/>
          <w:szCs w:val="24"/>
          <w:lang w:eastAsia="sk-SK"/>
        </w:rPr>
        <w:t xml:space="preserve">Hoci primárna kompetencia uplatňovať ustanovenia nariadenia DMA ostáva výlučne na Európskej komisii, niektoré povinnosti a čiastkové kompetencie/právomoci vyplývajú z nariadenia DMA aj pre jednotlivé členské štáty. </w:t>
      </w:r>
      <w:r w:rsidRPr="00DF6545">
        <w:rPr>
          <w:rFonts w:ascii="Times New Roman" w:hAnsi="Times New Roman"/>
          <w:sz w:val="24"/>
        </w:rPr>
        <w:t>V rámci implementácie pravidiel vyplývajúcich z nariadenia DMA si každý členský štát určí kompetentný orgán, príp. viaceré orgány, ktoré budú na danom území príslušné činnosti a právomoci vykonávať. V </w:t>
      </w:r>
      <w:r w:rsidR="00C07FB9">
        <w:rPr>
          <w:rFonts w:ascii="Times New Roman" w:hAnsi="Times New Roman"/>
          <w:sz w:val="24"/>
        </w:rPr>
        <w:t>Slovenskej republike</w:t>
      </w:r>
      <w:r w:rsidR="00C07FB9" w:rsidRPr="00DF6545">
        <w:rPr>
          <w:rFonts w:ascii="Times New Roman" w:hAnsi="Times New Roman"/>
          <w:sz w:val="24"/>
        </w:rPr>
        <w:t xml:space="preserve"> </w:t>
      </w:r>
      <w:r w:rsidRPr="00DF6545">
        <w:rPr>
          <w:rFonts w:ascii="Times New Roman" w:hAnsi="Times New Roman"/>
          <w:sz w:val="24"/>
        </w:rPr>
        <w:t xml:space="preserve">bol za takýto orgán určený Protimonopolný úrad SR (ďalej </w:t>
      </w:r>
      <w:r w:rsidR="00D113A8">
        <w:rPr>
          <w:rFonts w:ascii="Times New Roman" w:hAnsi="Times New Roman"/>
          <w:sz w:val="24"/>
        </w:rPr>
        <w:t>len</w:t>
      </w:r>
      <w:r w:rsidR="00D113A8" w:rsidRPr="00DF6545">
        <w:rPr>
          <w:rFonts w:ascii="Times New Roman" w:hAnsi="Times New Roman"/>
          <w:sz w:val="24"/>
        </w:rPr>
        <w:t xml:space="preserve"> </w:t>
      </w:r>
      <w:r w:rsidRPr="00DF6545">
        <w:rPr>
          <w:rFonts w:ascii="Times New Roman" w:hAnsi="Times New Roman"/>
          <w:sz w:val="24"/>
        </w:rPr>
        <w:t xml:space="preserve">„úrad“ alebo „PMÚ SR“), ktorý je zároveň gestorom implementácie nariadenia DMA. Zároveň nariadenie DMA zveruje priamo niektoré právomoci úradom na ochranu hospodárskej súťaže, teda aj priamo úradu. V súhrnne ide napr. o právomoci v oblasti výkonu prieskumu trhu, získavanie podkladov a informácií pre Európsku komisiu, prešetrovanie možných porušení povinností strážcov prístupu, spoluprácu pri inšpekciách či koordinácia postupu členských krajín v rámci ECN 2 siete, cez ktorú bude agenda nariadenia DMA spravovaná, zúčastňovanie sa na poradných výboroch, sledovanie agendy </w:t>
      </w:r>
      <w:proofErr w:type="spellStart"/>
      <w:r w:rsidRPr="00DF6545">
        <w:rPr>
          <w:rFonts w:ascii="Times New Roman" w:hAnsi="Times New Roman"/>
          <w:sz w:val="24"/>
        </w:rPr>
        <w:t>High</w:t>
      </w:r>
      <w:proofErr w:type="spellEnd"/>
      <w:r w:rsidRPr="00DF6545">
        <w:rPr>
          <w:rFonts w:ascii="Times New Roman" w:hAnsi="Times New Roman"/>
          <w:sz w:val="24"/>
        </w:rPr>
        <w:t xml:space="preserve"> Level Group, s tým súvisiaca príprava podkladov a vyjadrení a koordinácia v prípadoch. </w:t>
      </w:r>
    </w:p>
    <w:p w14:paraId="5722A5CF" w14:textId="7804077F" w:rsidR="00D108E3" w:rsidRPr="00CD5BDA" w:rsidRDefault="00D108E3" w:rsidP="000053E1">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trike/>
          <w:sz w:val="24"/>
          <w:szCs w:val="24"/>
          <w:lang w:eastAsia="sk-SK"/>
        </w:rPr>
      </w:pPr>
      <w:r w:rsidRPr="000053E1">
        <w:rPr>
          <w:rFonts w:ascii="Times New Roman" w:eastAsia="Times New Roman" w:hAnsi="Times New Roman" w:cs="Times New Roman"/>
          <w:bCs/>
          <w:sz w:val="24"/>
          <w:szCs w:val="24"/>
          <w:lang w:eastAsia="sk-SK"/>
        </w:rPr>
        <w:t xml:space="preserve">Úrad zaznamenal zvýšenú administratívnu záťaž už v rámci procesu súvisiaceho s prijímaním a pripomienkovaním návrhu nariadenia DMA na úkor bežných súčasných povinností konkrétnych zamestnancov, ako aj v súvislosti s prípravou Európskej komisie na vykonávanie nariadenia DMA, kde už o jeho vyhlásenie vo Vestníku </w:t>
      </w:r>
      <w:r w:rsidR="00C07FB9">
        <w:rPr>
          <w:rFonts w:ascii="Times New Roman" w:eastAsia="Times New Roman" w:hAnsi="Times New Roman" w:cs="Times New Roman"/>
          <w:bCs/>
          <w:sz w:val="24"/>
          <w:szCs w:val="24"/>
          <w:lang w:eastAsia="sk-SK"/>
        </w:rPr>
        <w:t>Európskej únie</w:t>
      </w:r>
      <w:r w:rsidRPr="000053E1">
        <w:rPr>
          <w:rFonts w:ascii="Times New Roman" w:eastAsia="Times New Roman" w:hAnsi="Times New Roman" w:cs="Times New Roman"/>
          <w:bCs/>
          <w:sz w:val="24"/>
          <w:szCs w:val="24"/>
          <w:lang w:eastAsia="sk-SK"/>
        </w:rPr>
        <w:t xml:space="preserve">, prebiehajú pravidelné stretnutia a nastavenie procesov vzájomnej spolupráce, koordinácie a komunikácie. </w:t>
      </w:r>
      <w:r w:rsidR="00657B74" w:rsidRPr="00CD5BDA">
        <w:rPr>
          <w:rFonts w:ascii="Times New Roman" w:eastAsia="Times New Roman" w:hAnsi="Times New Roman" w:cs="Times New Roman"/>
          <w:bCs/>
          <w:sz w:val="24"/>
          <w:szCs w:val="24"/>
          <w:lang w:eastAsia="sk-SK"/>
        </w:rPr>
        <w:t>N</w:t>
      </w:r>
      <w:r w:rsidRPr="00CD5BDA">
        <w:rPr>
          <w:rFonts w:ascii="Times New Roman" w:eastAsia="Times New Roman" w:hAnsi="Times New Roman" w:cs="Times New Roman"/>
          <w:bCs/>
          <w:sz w:val="24"/>
          <w:szCs w:val="24"/>
          <w:lang w:eastAsia="sk-SK"/>
        </w:rPr>
        <w:t>adobudnutí</w:t>
      </w:r>
      <w:r w:rsidR="00657B74" w:rsidRPr="00CD5BDA">
        <w:rPr>
          <w:rFonts w:ascii="Times New Roman" w:eastAsia="Times New Roman" w:hAnsi="Times New Roman" w:cs="Times New Roman"/>
          <w:bCs/>
          <w:sz w:val="24"/>
          <w:szCs w:val="24"/>
          <w:lang w:eastAsia="sk-SK"/>
        </w:rPr>
        <w:t>m</w:t>
      </w:r>
      <w:r w:rsidRPr="00CD5BDA">
        <w:rPr>
          <w:rFonts w:ascii="Times New Roman" w:eastAsia="Times New Roman" w:hAnsi="Times New Roman" w:cs="Times New Roman"/>
          <w:bCs/>
          <w:sz w:val="24"/>
          <w:szCs w:val="24"/>
          <w:lang w:eastAsia="sk-SK"/>
        </w:rPr>
        <w:t xml:space="preserve"> účinnosti nariadenia DMA </w:t>
      </w:r>
      <w:r w:rsidR="00657B74" w:rsidRPr="00CD5BDA">
        <w:rPr>
          <w:rFonts w:ascii="Times New Roman" w:eastAsia="Times New Roman" w:hAnsi="Times New Roman" w:cs="Times New Roman"/>
          <w:bCs/>
          <w:sz w:val="24"/>
          <w:szCs w:val="24"/>
          <w:lang w:eastAsia="sk-SK"/>
        </w:rPr>
        <w:t xml:space="preserve">vyplynie úradu </w:t>
      </w:r>
      <w:r w:rsidRPr="00CD5BDA">
        <w:rPr>
          <w:rFonts w:ascii="Times New Roman" w:eastAsia="Times New Roman" w:hAnsi="Times New Roman" w:cs="Times New Roman"/>
          <w:bCs/>
          <w:sz w:val="24"/>
          <w:szCs w:val="24"/>
          <w:lang w:eastAsia="sk-SK"/>
        </w:rPr>
        <w:t>vyšši</w:t>
      </w:r>
      <w:r w:rsidR="00657B74" w:rsidRPr="00CD5BDA">
        <w:rPr>
          <w:rFonts w:ascii="Times New Roman" w:eastAsia="Times New Roman" w:hAnsi="Times New Roman" w:cs="Times New Roman"/>
          <w:bCs/>
          <w:sz w:val="24"/>
          <w:szCs w:val="24"/>
          <w:lang w:eastAsia="sk-SK"/>
        </w:rPr>
        <w:t>a</w:t>
      </w:r>
      <w:r w:rsidRPr="00CD5BDA">
        <w:rPr>
          <w:rFonts w:ascii="Times New Roman" w:eastAsia="Times New Roman" w:hAnsi="Times New Roman" w:cs="Times New Roman"/>
          <w:bCs/>
          <w:sz w:val="24"/>
          <w:szCs w:val="24"/>
          <w:lang w:eastAsia="sk-SK"/>
        </w:rPr>
        <w:t xml:space="preserve"> časov</w:t>
      </w:r>
      <w:r w:rsidR="00657B74" w:rsidRPr="00CD5BDA">
        <w:rPr>
          <w:rFonts w:ascii="Times New Roman" w:eastAsia="Times New Roman" w:hAnsi="Times New Roman" w:cs="Times New Roman"/>
          <w:bCs/>
          <w:sz w:val="24"/>
          <w:szCs w:val="24"/>
          <w:lang w:eastAsia="sk-SK"/>
        </w:rPr>
        <w:t>á</w:t>
      </w:r>
      <w:r w:rsidRPr="00CD5BDA">
        <w:rPr>
          <w:rFonts w:ascii="Times New Roman" w:eastAsia="Times New Roman" w:hAnsi="Times New Roman" w:cs="Times New Roman"/>
          <w:bCs/>
          <w:sz w:val="24"/>
          <w:szCs w:val="24"/>
          <w:lang w:eastAsia="sk-SK"/>
        </w:rPr>
        <w:t xml:space="preserve"> či odborn</w:t>
      </w:r>
      <w:r w:rsidR="00657B74" w:rsidRPr="00CD5BDA">
        <w:rPr>
          <w:rFonts w:ascii="Times New Roman" w:eastAsia="Times New Roman" w:hAnsi="Times New Roman" w:cs="Times New Roman"/>
          <w:bCs/>
          <w:sz w:val="24"/>
          <w:szCs w:val="24"/>
          <w:lang w:eastAsia="sk-SK"/>
        </w:rPr>
        <w:t>á</w:t>
      </w:r>
      <w:r w:rsidRPr="00CD5BDA">
        <w:rPr>
          <w:rFonts w:ascii="Times New Roman" w:eastAsia="Times New Roman" w:hAnsi="Times New Roman" w:cs="Times New Roman"/>
          <w:bCs/>
          <w:sz w:val="24"/>
          <w:szCs w:val="24"/>
          <w:lang w:eastAsia="sk-SK"/>
        </w:rPr>
        <w:t xml:space="preserve"> záťaž v súvislosti s novými činnosťami a povinnosťami</w:t>
      </w:r>
      <w:r w:rsidRPr="00CD5BDA">
        <w:rPr>
          <w:rFonts w:ascii="Times New Roman" w:eastAsia="Times New Roman" w:hAnsi="Times New Roman" w:cs="Times New Roman"/>
          <w:bCs/>
          <w:strike/>
          <w:sz w:val="24"/>
          <w:szCs w:val="24"/>
          <w:lang w:eastAsia="sk-SK"/>
        </w:rPr>
        <w:t xml:space="preserve"> </w:t>
      </w:r>
    </w:p>
    <w:p w14:paraId="673FD0A3" w14:textId="2EC2FEB0" w:rsidR="00D108E3" w:rsidRPr="00DF6545" w:rsidRDefault="00D108E3" w:rsidP="00DF654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rPr>
      </w:pPr>
      <w:r w:rsidRPr="00DF6545">
        <w:rPr>
          <w:rFonts w:ascii="Times New Roman" w:hAnsi="Times New Roman"/>
          <w:sz w:val="24"/>
        </w:rPr>
        <w:t xml:space="preserve">V nadväznosti na nové právomoci vyplývajúce z nariadenia DMA, členské krajiny </w:t>
      </w:r>
      <w:r w:rsidRPr="000053E1">
        <w:rPr>
          <w:rFonts w:ascii="Times New Roman" w:eastAsia="Times New Roman" w:hAnsi="Times New Roman" w:cs="Times New Roman"/>
          <w:bCs/>
          <w:sz w:val="24"/>
          <w:szCs w:val="24"/>
          <w:lang w:eastAsia="sk-SK"/>
        </w:rPr>
        <w:t xml:space="preserve">pristúpili alebo </w:t>
      </w:r>
      <w:r w:rsidRPr="00DF6545">
        <w:rPr>
          <w:rFonts w:ascii="Times New Roman" w:hAnsi="Times New Roman"/>
          <w:sz w:val="24"/>
        </w:rPr>
        <w:t xml:space="preserve">postupne </w:t>
      </w:r>
      <w:r w:rsidRPr="000053E1">
        <w:rPr>
          <w:rFonts w:ascii="Times New Roman" w:eastAsia="Times New Roman" w:hAnsi="Times New Roman" w:cs="Times New Roman"/>
          <w:bCs/>
          <w:sz w:val="24"/>
          <w:szCs w:val="24"/>
          <w:lang w:eastAsia="sk-SK"/>
        </w:rPr>
        <w:t>pristupujúc</w:t>
      </w:r>
      <w:r w:rsidRPr="00DF6545">
        <w:rPr>
          <w:rFonts w:ascii="Times New Roman" w:hAnsi="Times New Roman"/>
          <w:sz w:val="24"/>
        </w:rPr>
        <w:t xml:space="preserve"> k úprave vnútroštátnej právnej úpravy, ako aj k rôznej miere posilnenia kompetentných orgánov a počtu ich zamestnancov. Samotná Európska komisia už v súčasnosti vytvorila desiatky pracovných pozícií na výkon činností vyplývajúcich z nariadenia DMA</w:t>
      </w:r>
      <w:r w:rsidRPr="000053E1">
        <w:rPr>
          <w:rFonts w:ascii="Times New Roman" w:eastAsia="Times New Roman" w:hAnsi="Times New Roman" w:cs="Times New Roman"/>
          <w:bCs/>
          <w:sz w:val="24"/>
          <w:szCs w:val="24"/>
          <w:lang w:eastAsia="sk-SK"/>
        </w:rPr>
        <w:t xml:space="preserve"> a avizovala, že </w:t>
      </w:r>
      <w:r w:rsidRPr="000053E1">
        <w:rPr>
          <w:rFonts w:ascii="Times New Roman" w:eastAsia="Times New Roman" w:hAnsi="Times New Roman" w:cs="Times New Roman"/>
          <w:bCs/>
          <w:sz w:val="24"/>
          <w:szCs w:val="24"/>
          <w:lang w:eastAsia="sk-SK"/>
        </w:rPr>
        <w:lastRenderedPageBreak/>
        <w:t xml:space="preserve">v personálnom posilňovaní bude pokračovať. Máme informácie o vzniku úplne nových orgánov členských štátov, či ich oddelení, ktoré budú zamestnávať niekoľko desiatok zamestnancov venujúcich sa výlučne problematike nariadenia DMA. </w:t>
      </w:r>
    </w:p>
    <w:p w14:paraId="1633E046" w14:textId="2C9B9169" w:rsidR="00D108E3" w:rsidRPr="00DF6545" w:rsidRDefault="00D108E3" w:rsidP="00DF654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rPr>
      </w:pPr>
      <w:r w:rsidRPr="00DF6545">
        <w:rPr>
          <w:rFonts w:ascii="Times New Roman" w:hAnsi="Times New Roman"/>
          <w:sz w:val="24"/>
        </w:rPr>
        <w:t>Vzhľadom na uvedené skutočnosti pokladáme za</w:t>
      </w:r>
      <w:r w:rsidR="00657B74">
        <w:rPr>
          <w:rFonts w:ascii="Times New Roman" w:eastAsia="Times New Roman" w:hAnsi="Times New Roman" w:cs="Times New Roman"/>
          <w:bCs/>
          <w:sz w:val="24"/>
          <w:szCs w:val="24"/>
          <w:lang w:eastAsia="sk-SK"/>
        </w:rPr>
        <w:t xml:space="preserve"> nutné</w:t>
      </w:r>
      <w:r w:rsidRPr="00DF6545">
        <w:rPr>
          <w:rFonts w:ascii="Times New Roman" w:hAnsi="Times New Roman"/>
          <w:sz w:val="24"/>
        </w:rPr>
        <w:t xml:space="preserve">, aby sa posilnil počet zamestnancov úradu na konkrétnych organizačných útvaroch, ktoré budú zabezpečovať plnenie povinností </w:t>
      </w:r>
      <w:r w:rsidR="00C07FB9">
        <w:rPr>
          <w:rFonts w:ascii="Times New Roman" w:hAnsi="Times New Roman"/>
          <w:sz w:val="24"/>
        </w:rPr>
        <w:t>Slovenskej republiky</w:t>
      </w:r>
      <w:r w:rsidR="00C07FB9" w:rsidRPr="00DF6545">
        <w:rPr>
          <w:rFonts w:ascii="Times New Roman" w:hAnsi="Times New Roman"/>
          <w:sz w:val="24"/>
        </w:rPr>
        <w:t xml:space="preserve"> </w:t>
      </w:r>
      <w:r w:rsidRPr="00DF6545">
        <w:rPr>
          <w:rFonts w:ascii="Times New Roman" w:hAnsi="Times New Roman"/>
          <w:sz w:val="24"/>
        </w:rPr>
        <w:t>vyplývajúcich z nariadenia DMA. Zároveň Európska komisia od členských štátov očakáva, že spolupráca nebude zo strany členských štátov len formálna, ale tejto agende sa bude určený orgán náležite venovať. Samotná agenda je pomerne náročná z odborného hľadiska. Bez personálneho posilnenia úradu úrad nebude môcť v tejto agende plniť úlohu efektívneho partnera Európskej komisii a ostatným členským štátom v tejto agende</w:t>
      </w:r>
      <w:r w:rsidR="00DE7B0C">
        <w:rPr>
          <w:rFonts w:ascii="Times New Roman" w:hAnsi="Times New Roman"/>
          <w:sz w:val="24"/>
        </w:rPr>
        <w:t xml:space="preserve"> a plnenie jeho úloh bude ohrozené</w:t>
      </w:r>
      <w:r w:rsidRPr="00DF6545">
        <w:rPr>
          <w:rFonts w:ascii="Times New Roman" w:hAnsi="Times New Roman"/>
          <w:sz w:val="24"/>
        </w:rPr>
        <w:t xml:space="preserve">. Taktiež je potrebné uviesť, že na potrebu regulácie tejto oblasti sa v odborných kruhoch už celosvetovo dlho poukazovalo, je dlhodobou súčasťou agendy </w:t>
      </w:r>
      <w:r w:rsidR="00C07FB9">
        <w:rPr>
          <w:rFonts w:ascii="Times New Roman" w:hAnsi="Times New Roman"/>
          <w:sz w:val="24"/>
        </w:rPr>
        <w:t>Európskej únie</w:t>
      </w:r>
      <w:r w:rsidR="00C07FB9" w:rsidRPr="00DF6545">
        <w:rPr>
          <w:rFonts w:ascii="Times New Roman" w:hAnsi="Times New Roman"/>
          <w:sz w:val="24"/>
        </w:rPr>
        <w:t xml:space="preserve"> </w:t>
      </w:r>
      <w:r w:rsidRPr="00DF6545">
        <w:rPr>
          <w:rFonts w:ascii="Times New Roman" w:hAnsi="Times New Roman"/>
          <w:sz w:val="24"/>
        </w:rPr>
        <w:t xml:space="preserve">v oblasti digitalizácie a s prijatým nariadením DMA a jeho </w:t>
      </w:r>
      <w:r w:rsidRPr="000053E1">
        <w:rPr>
          <w:rFonts w:ascii="Times New Roman" w:eastAsia="Times New Roman" w:hAnsi="Times New Roman" w:cs="Times New Roman"/>
          <w:bCs/>
          <w:sz w:val="24"/>
          <w:szCs w:val="24"/>
          <w:lang w:eastAsia="sk-SK"/>
        </w:rPr>
        <w:t>aplikáciou sú spojené veľké očakávania.</w:t>
      </w:r>
      <w:r w:rsidRPr="00DF6545">
        <w:rPr>
          <w:rFonts w:ascii="Times New Roman" w:hAnsi="Times New Roman"/>
          <w:sz w:val="24"/>
        </w:rPr>
        <w:t xml:space="preserve"> </w:t>
      </w:r>
    </w:p>
    <w:p w14:paraId="5F2F95D9" w14:textId="77777777" w:rsidR="001227E2" w:rsidRPr="00B14AD5" w:rsidRDefault="001227E2" w:rsidP="007D5748">
      <w:pPr>
        <w:spacing w:after="0" w:line="240" w:lineRule="auto"/>
        <w:rPr>
          <w:rFonts w:ascii="Times New Roman" w:eastAsia="Times New Roman" w:hAnsi="Times New Roman" w:cs="Times New Roman"/>
          <w:sz w:val="24"/>
          <w:szCs w:val="24"/>
          <w:lang w:eastAsia="sk-SK"/>
        </w:rPr>
      </w:pPr>
    </w:p>
    <w:p w14:paraId="3F949D6B"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w:t>
      </w:r>
    </w:p>
    <w:p w14:paraId="4367E7D0"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0434FD85"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2.2.2. Charakteristika návrhu:</w:t>
      </w:r>
    </w:p>
    <w:p w14:paraId="7FEE7A74"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7ADCBB9C"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sz w:val="24"/>
          <w:szCs w:val="24"/>
          <w:bdr w:val="single" w:sz="4" w:space="0" w:color="auto"/>
          <w:lang w:eastAsia="sk-SK"/>
        </w:rPr>
        <w:t xml:space="preserve">     </w:t>
      </w:r>
      <w:r w:rsidRPr="00B14AD5">
        <w:rPr>
          <w:rFonts w:ascii="Times New Roman" w:eastAsia="Times New Roman" w:hAnsi="Times New Roman" w:cs="Times New Roman"/>
          <w:b/>
          <w:sz w:val="24"/>
          <w:szCs w:val="24"/>
          <w:lang w:eastAsia="sk-SK"/>
        </w:rPr>
        <w:t xml:space="preserve">  </w:t>
      </w:r>
      <w:r w:rsidRPr="00B14AD5">
        <w:rPr>
          <w:rFonts w:ascii="Times New Roman" w:eastAsia="Times New Roman" w:hAnsi="Times New Roman" w:cs="Times New Roman"/>
          <w:sz w:val="24"/>
          <w:szCs w:val="24"/>
          <w:lang w:eastAsia="sk-SK"/>
        </w:rPr>
        <w:t>zmena sadzby</w:t>
      </w:r>
    </w:p>
    <w:p w14:paraId="0116391A"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zmena v nároku</w:t>
      </w:r>
    </w:p>
    <w:p w14:paraId="4C993D70" w14:textId="77777777" w:rsidR="007D5748" w:rsidRPr="00B14AD5" w:rsidRDefault="001227E2"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w:t>
      </w:r>
      <w:r w:rsidR="007D5748" w:rsidRPr="00B14AD5">
        <w:rPr>
          <w:rFonts w:ascii="Times New Roman" w:eastAsia="Times New Roman" w:hAnsi="Times New Roman" w:cs="Times New Roman"/>
          <w:sz w:val="24"/>
          <w:szCs w:val="24"/>
          <w:bdr w:val="single" w:sz="4" w:space="0" w:color="auto"/>
          <w:lang w:eastAsia="sk-SK"/>
        </w:rPr>
        <w:t xml:space="preserve"> </w:t>
      </w:r>
      <w:r w:rsidR="007D5748" w:rsidRPr="00B14AD5">
        <w:rPr>
          <w:rFonts w:ascii="Times New Roman" w:eastAsia="Times New Roman" w:hAnsi="Times New Roman" w:cs="Times New Roman"/>
          <w:sz w:val="24"/>
          <w:szCs w:val="24"/>
          <w:lang w:eastAsia="sk-SK"/>
        </w:rPr>
        <w:t xml:space="preserve">  nová služba alebo nariadenie (alebo ich zrušenie)</w:t>
      </w:r>
    </w:p>
    <w:p w14:paraId="2DD6C4DC"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kombinovaný návrh</w:t>
      </w:r>
    </w:p>
    <w:p w14:paraId="234B02B1"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bdr w:val="single" w:sz="4" w:space="0" w:color="auto"/>
          <w:lang w:eastAsia="sk-SK"/>
        </w:rPr>
        <w:t xml:space="preserve">     </w:t>
      </w:r>
      <w:r w:rsidRPr="00B14AD5">
        <w:rPr>
          <w:rFonts w:ascii="Times New Roman" w:eastAsia="Times New Roman" w:hAnsi="Times New Roman" w:cs="Times New Roman"/>
          <w:sz w:val="24"/>
          <w:szCs w:val="24"/>
          <w:lang w:eastAsia="sk-SK"/>
        </w:rPr>
        <w:t xml:space="preserve">  iné </w:t>
      </w:r>
    </w:p>
    <w:p w14:paraId="0FB300D1"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61331476"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7FA4D817"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2.2.3. Predpoklady vývoja objemu aktivít:</w:t>
      </w:r>
    </w:p>
    <w:p w14:paraId="7202F9C4"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7734C784" w14:textId="77777777"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lastRenderedPageBreak/>
        <w:t>Jasne popíšte, v prípade potreby použite nižšie uvedenú tabuľku. Uveďte aj odhady základov daní a/alebo poplatkov, ak sa ich táto zmena týka.</w:t>
      </w:r>
    </w:p>
    <w:p w14:paraId="3ED701C6" w14:textId="77777777" w:rsidR="007D5748" w:rsidRPr="00B14AD5" w:rsidRDefault="007D5748" w:rsidP="007D5748">
      <w:pPr>
        <w:spacing w:after="0" w:line="240" w:lineRule="auto"/>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14AD5" w:rsidRPr="00B14AD5" w14:paraId="326D963B" w14:textId="77777777" w:rsidTr="002B63FD">
        <w:trPr>
          <w:cantSplit/>
          <w:trHeight w:val="70"/>
        </w:trPr>
        <w:tc>
          <w:tcPr>
            <w:tcW w:w="4530" w:type="dxa"/>
            <w:vMerge w:val="restart"/>
            <w:shd w:val="clear" w:color="auto" w:fill="BFBFBF" w:themeFill="background1" w:themeFillShade="BF"/>
            <w:vAlign w:val="center"/>
          </w:tcPr>
          <w:p w14:paraId="596BD548" w14:textId="77777777"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18E20885" w14:textId="77777777"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Odhadované objemy</w:t>
            </w:r>
          </w:p>
        </w:tc>
      </w:tr>
      <w:tr w:rsidR="00B14AD5" w:rsidRPr="00B14AD5" w14:paraId="426606B6" w14:textId="77777777" w:rsidTr="002B63FD">
        <w:trPr>
          <w:cantSplit/>
          <w:trHeight w:val="70"/>
        </w:trPr>
        <w:tc>
          <w:tcPr>
            <w:tcW w:w="4530" w:type="dxa"/>
            <w:vMerge/>
            <w:shd w:val="clear" w:color="auto" w:fill="BFBFBF" w:themeFill="background1" w:themeFillShade="BF"/>
          </w:tcPr>
          <w:p w14:paraId="31292CF3" w14:textId="77777777"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13AE461D" w14:textId="77777777"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1FC4863A" w14:textId="77777777"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515E21AE" w14:textId="77777777"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233EFC69" w14:textId="77777777" w:rsidR="007D5748" w:rsidRPr="00B14AD5"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r>
      <w:tr w:rsidR="00B14AD5" w:rsidRPr="00B14AD5" w14:paraId="19D3E1A3" w14:textId="77777777" w:rsidTr="002B63FD">
        <w:trPr>
          <w:trHeight w:val="70"/>
        </w:trPr>
        <w:tc>
          <w:tcPr>
            <w:tcW w:w="4530" w:type="dxa"/>
          </w:tcPr>
          <w:p w14:paraId="5F1C414B" w14:textId="77777777"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ABC</w:t>
            </w:r>
          </w:p>
        </w:tc>
        <w:tc>
          <w:tcPr>
            <w:tcW w:w="1134" w:type="dxa"/>
          </w:tcPr>
          <w:p w14:paraId="5A01B788"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0EEABBB8"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5E30371E"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7ABF595B"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B14AD5" w:rsidRPr="00B14AD5" w14:paraId="5FF74B0C" w14:textId="77777777" w:rsidTr="002B63FD">
        <w:trPr>
          <w:trHeight w:val="70"/>
        </w:trPr>
        <w:tc>
          <w:tcPr>
            <w:tcW w:w="4530" w:type="dxa"/>
          </w:tcPr>
          <w:p w14:paraId="7083DB24" w14:textId="77777777"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KLM</w:t>
            </w:r>
          </w:p>
        </w:tc>
        <w:tc>
          <w:tcPr>
            <w:tcW w:w="1134" w:type="dxa"/>
          </w:tcPr>
          <w:p w14:paraId="0D7AE560"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EBE3990"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22B3312A"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4F71E8A8"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D5748" w:rsidRPr="00B14AD5" w14:paraId="120E0E0A" w14:textId="77777777" w:rsidTr="002B63FD">
        <w:trPr>
          <w:trHeight w:val="70"/>
        </w:trPr>
        <w:tc>
          <w:tcPr>
            <w:tcW w:w="4530" w:type="dxa"/>
          </w:tcPr>
          <w:p w14:paraId="2D06F948" w14:textId="77777777" w:rsidR="007D5748" w:rsidRPr="00B14AD5"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Indikátor XYZ</w:t>
            </w:r>
          </w:p>
        </w:tc>
        <w:tc>
          <w:tcPr>
            <w:tcW w:w="1134" w:type="dxa"/>
          </w:tcPr>
          <w:p w14:paraId="7F960489"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939039E"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5B4C8403"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21714919" w14:textId="77777777" w:rsidR="007D5748" w:rsidRPr="00B14AD5"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14:paraId="403D53D3" w14:textId="1DDB1F05"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0BC5965B"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3625C639"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2.2.4. Výpočty vplyvov na verejné financie</w:t>
      </w:r>
    </w:p>
    <w:p w14:paraId="62325624"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p>
    <w:p w14:paraId="401F9053" w14:textId="77777777" w:rsidR="007D5748" w:rsidRPr="00B14AD5"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15F0938D" w14:textId="77777777" w:rsidR="007D5748" w:rsidRPr="00B14AD5" w:rsidRDefault="007D5748" w:rsidP="007D5748">
      <w:pPr>
        <w:spacing w:after="0" w:line="240" w:lineRule="auto"/>
        <w:jc w:val="both"/>
        <w:rPr>
          <w:rFonts w:ascii="Times New Roman" w:eastAsia="Times New Roman" w:hAnsi="Times New Roman" w:cs="Times New Roman"/>
          <w:sz w:val="24"/>
          <w:szCs w:val="24"/>
          <w:lang w:eastAsia="sk-SK"/>
        </w:rPr>
      </w:pPr>
    </w:p>
    <w:p w14:paraId="49594211" w14:textId="69D78CB4" w:rsidR="00955073" w:rsidRDefault="00961D0F"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Výpočet výdavkov</w:t>
      </w:r>
      <w:r w:rsidR="00C436DB">
        <w:rPr>
          <w:rFonts w:ascii="Times New Roman" w:eastAsia="Times New Roman" w:hAnsi="Times New Roman" w:cs="Times New Roman"/>
          <w:bCs/>
          <w:sz w:val="24"/>
          <w:szCs w:val="24"/>
          <w:lang w:eastAsia="sk-SK"/>
        </w:rPr>
        <w:t xml:space="preserve"> j</w:t>
      </w:r>
      <w:r w:rsidR="000C51AC">
        <w:rPr>
          <w:rFonts w:ascii="Times New Roman" w:eastAsia="Times New Roman" w:hAnsi="Times New Roman" w:cs="Times New Roman"/>
          <w:bCs/>
          <w:sz w:val="24"/>
          <w:szCs w:val="24"/>
          <w:lang w:eastAsia="sk-SK"/>
        </w:rPr>
        <w:t xml:space="preserve">e výdavkovo rozpočítaný od 01. </w:t>
      </w:r>
      <w:r w:rsidR="00657B74">
        <w:rPr>
          <w:rFonts w:ascii="Times New Roman" w:eastAsia="Times New Roman" w:hAnsi="Times New Roman" w:cs="Times New Roman"/>
          <w:bCs/>
          <w:sz w:val="24"/>
          <w:szCs w:val="24"/>
          <w:lang w:eastAsia="sk-SK"/>
        </w:rPr>
        <w:t>01</w:t>
      </w:r>
      <w:r w:rsidR="00C436DB">
        <w:rPr>
          <w:rFonts w:ascii="Times New Roman" w:eastAsia="Times New Roman" w:hAnsi="Times New Roman" w:cs="Times New Roman"/>
          <w:bCs/>
          <w:sz w:val="24"/>
          <w:szCs w:val="24"/>
          <w:lang w:eastAsia="sk-SK"/>
        </w:rPr>
        <w:t>.</w:t>
      </w:r>
      <w:r w:rsidR="000C51AC">
        <w:rPr>
          <w:rFonts w:ascii="Times New Roman" w:eastAsia="Times New Roman" w:hAnsi="Times New Roman" w:cs="Times New Roman"/>
          <w:bCs/>
          <w:sz w:val="24"/>
          <w:szCs w:val="24"/>
          <w:lang w:eastAsia="sk-SK"/>
        </w:rPr>
        <w:t xml:space="preserve"> </w:t>
      </w:r>
      <w:r w:rsidR="00C436DB">
        <w:rPr>
          <w:rFonts w:ascii="Times New Roman" w:eastAsia="Times New Roman" w:hAnsi="Times New Roman" w:cs="Times New Roman"/>
          <w:bCs/>
          <w:sz w:val="24"/>
          <w:szCs w:val="24"/>
          <w:lang w:eastAsia="sk-SK"/>
        </w:rPr>
        <w:t>202</w:t>
      </w:r>
      <w:r w:rsidR="00657B74">
        <w:rPr>
          <w:rFonts w:ascii="Times New Roman" w:eastAsia="Times New Roman" w:hAnsi="Times New Roman" w:cs="Times New Roman"/>
          <w:bCs/>
          <w:sz w:val="24"/>
          <w:szCs w:val="24"/>
          <w:lang w:eastAsia="sk-SK"/>
        </w:rPr>
        <w:t>4</w:t>
      </w:r>
      <w:r w:rsidR="00955073">
        <w:rPr>
          <w:rFonts w:ascii="Times New Roman" w:eastAsia="Times New Roman" w:hAnsi="Times New Roman" w:cs="Times New Roman"/>
          <w:bCs/>
          <w:sz w:val="24"/>
          <w:szCs w:val="24"/>
          <w:lang w:eastAsia="sk-SK"/>
        </w:rPr>
        <w:t xml:space="preserve"> do konca roku 31.</w:t>
      </w:r>
      <w:r w:rsidR="000C51AC">
        <w:rPr>
          <w:rFonts w:ascii="Times New Roman" w:eastAsia="Times New Roman" w:hAnsi="Times New Roman" w:cs="Times New Roman"/>
          <w:bCs/>
          <w:sz w:val="24"/>
          <w:szCs w:val="24"/>
          <w:lang w:eastAsia="sk-SK"/>
        </w:rPr>
        <w:t xml:space="preserve"> </w:t>
      </w:r>
      <w:r w:rsidR="00955073">
        <w:rPr>
          <w:rFonts w:ascii="Times New Roman" w:eastAsia="Times New Roman" w:hAnsi="Times New Roman" w:cs="Times New Roman"/>
          <w:bCs/>
          <w:sz w:val="24"/>
          <w:szCs w:val="24"/>
          <w:lang w:eastAsia="sk-SK"/>
        </w:rPr>
        <w:t>12.</w:t>
      </w:r>
      <w:r w:rsidR="000C51AC">
        <w:rPr>
          <w:rFonts w:ascii="Times New Roman" w:eastAsia="Times New Roman" w:hAnsi="Times New Roman" w:cs="Times New Roman"/>
          <w:bCs/>
          <w:sz w:val="24"/>
          <w:szCs w:val="24"/>
          <w:lang w:eastAsia="sk-SK"/>
        </w:rPr>
        <w:t xml:space="preserve"> </w:t>
      </w:r>
      <w:r w:rsidR="00955073">
        <w:rPr>
          <w:rFonts w:ascii="Times New Roman" w:eastAsia="Times New Roman" w:hAnsi="Times New Roman" w:cs="Times New Roman"/>
          <w:bCs/>
          <w:sz w:val="24"/>
          <w:szCs w:val="24"/>
          <w:lang w:eastAsia="sk-SK"/>
        </w:rPr>
        <w:t>202</w:t>
      </w:r>
      <w:r w:rsidR="00657B74">
        <w:rPr>
          <w:rFonts w:ascii="Times New Roman" w:eastAsia="Times New Roman" w:hAnsi="Times New Roman" w:cs="Times New Roman"/>
          <w:bCs/>
          <w:sz w:val="24"/>
          <w:szCs w:val="24"/>
          <w:lang w:eastAsia="sk-SK"/>
        </w:rPr>
        <w:t>6</w:t>
      </w:r>
      <w:r w:rsidR="00955073">
        <w:rPr>
          <w:rFonts w:ascii="Times New Roman" w:eastAsia="Times New Roman" w:hAnsi="Times New Roman" w:cs="Times New Roman"/>
          <w:bCs/>
          <w:sz w:val="24"/>
          <w:szCs w:val="24"/>
          <w:lang w:eastAsia="sk-SK"/>
        </w:rPr>
        <w:t>, t.</w:t>
      </w:r>
      <w:r w:rsidR="00C92814">
        <w:rPr>
          <w:rFonts w:ascii="Times New Roman" w:eastAsia="Times New Roman" w:hAnsi="Times New Roman" w:cs="Times New Roman"/>
          <w:bCs/>
          <w:sz w:val="24"/>
          <w:szCs w:val="24"/>
          <w:lang w:eastAsia="sk-SK"/>
        </w:rPr>
        <w:t xml:space="preserve"> </w:t>
      </w:r>
      <w:r w:rsidR="00955073">
        <w:rPr>
          <w:rFonts w:ascii="Times New Roman" w:eastAsia="Times New Roman" w:hAnsi="Times New Roman" w:cs="Times New Roman"/>
          <w:bCs/>
          <w:sz w:val="24"/>
          <w:szCs w:val="24"/>
          <w:lang w:eastAsia="sk-SK"/>
        </w:rPr>
        <w:t>j. v</w:t>
      </w:r>
      <w:r w:rsidR="00C92814">
        <w:rPr>
          <w:rFonts w:ascii="Times New Roman" w:eastAsia="Times New Roman" w:hAnsi="Times New Roman" w:cs="Times New Roman"/>
          <w:bCs/>
          <w:sz w:val="24"/>
          <w:szCs w:val="24"/>
          <w:lang w:eastAsia="sk-SK"/>
        </w:rPr>
        <w:t> </w:t>
      </w:r>
      <w:r w:rsidR="00955073">
        <w:rPr>
          <w:rFonts w:ascii="Times New Roman" w:eastAsia="Times New Roman" w:hAnsi="Times New Roman" w:cs="Times New Roman"/>
          <w:bCs/>
          <w:sz w:val="24"/>
          <w:szCs w:val="24"/>
          <w:lang w:eastAsia="sk-SK"/>
        </w:rPr>
        <w:t>počte</w:t>
      </w:r>
      <w:r w:rsidR="00C92814">
        <w:rPr>
          <w:rFonts w:ascii="Times New Roman" w:eastAsia="Times New Roman" w:hAnsi="Times New Roman" w:cs="Times New Roman"/>
          <w:bCs/>
          <w:sz w:val="24"/>
          <w:szCs w:val="24"/>
          <w:lang w:eastAsia="sk-SK"/>
        </w:rPr>
        <w:t xml:space="preserve"> </w:t>
      </w:r>
      <w:r w:rsidR="00E40E86">
        <w:rPr>
          <w:rFonts w:ascii="Times New Roman" w:eastAsia="Times New Roman" w:hAnsi="Times New Roman" w:cs="Times New Roman"/>
          <w:bCs/>
          <w:sz w:val="24"/>
          <w:szCs w:val="24"/>
          <w:lang w:eastAsia="sk-SK"/>
        </w:rPr>
        <w:t>3 rokov</w:t>
      </w:r>
      <w:r w:rsidR="00955073">
        <w:rPr>
          <w:rFonts w:ascii="Times New Roman" w:eastAsia="Times New Roman" w:hAnsi="Times New Roman" w:cs="Times New Roman"/>
          <w:bCs/>
          <w:sz w:val="24"/>
          <w:szCs w:val="24"/>
          <w:lang w:eastAsia="sk-SK"/>
        </w:rPr>
        <w:t xml:space="preserve">. </w:t>
      </w:r>
    </w:p>
    <w:p w14:paraId="004868B6" w14:textId="77777777" w:rsidR="00961D0F" w:rsidRDefault="00961D0F"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74E5BC1F" w14:textId="698A0996" w:rsidR="00296554" w:rsidRPr="00296554" w:rsidRDefault="00296554" w:rsidP="00296554">
      <w:pPr>
        <w:tabs>
          <w:tab w:val="num" w:pos="1080"/>
        </w:tabs>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Schéma n</w:t>
      </w:r>
      <w:r w:rsidRPr="00296554">
        <w:rPr>
          <w:rFonts w:ascii="Times New Roman" w:eastAsia="Times New Roman" w:hAnsi="Times New Roman" w:cs="Times New Roman"/>
          <w:b/>
          <w:bCs/>
          <w:sz w:val="24"/>
          <w:szCs w:val="24"/>
          <w:lang w:eastAsia="sk-SK"/>
        </w:rPr>
        <w:t>ovovytvorených</w:t>
      </w:r>
      <w:r w:rsidR="000053E1">
        <w:rPr>
          <w:rFonts w:ascii="Times New Roman" w:eastAsia="Times New Roman" w:hAnsi="Times New Roman" w:cs="Times New Roman"/>
          <w:b/>
          <w:bCs/>
          <w:sz w:val="24"/>
          <w:szCs w:val="24"/>
          <w:lang w:eastAsia="sk-SK"/>
        </w:rPr>
        <w:t xml:space="preserve"> </w:t>
      </w:r>
      <w:r w:rsidR="005A5337">
        <w:rPr>
          <w:rFonts w:ascii="Times New Roman" w:eastAsia="Times New Roman" w:hAnsi="Times New Roman" w:cs="Times New Roman"/>
          <w:b/>
          <w:bCs/>
          <w:sz w:val="24"/>
          <w:szCs w:val="24"/>
          <w:lang w:eastAsia="sk-SK"/>
        </w:rPr>
        <w:t>troch</w:t>
      </w:r>
      <w:r w:rsidRPr="00296554">
        <w:rPr>
          <w:rFonts w:ascii="Times New Roman" w:eastAsia="Times New Roman" w:hAnsi="Times New Roman" w:cs="Times New Roman"/>
          <w:b/>
          <w:bCs/>
          <w:sz w:val="24"/>
          <w:szCs w:val="24"/>
          <w:lang w:eastAsia="sk-SK"/>
        </w:rPr>
        <w:t xml:space="preserve"> štátnozamestnaneckých miest (ŠZM) v organizačných útvaroch PMÚ SR</w:t>
      </w:r>
      <w:r>
        <w:rPr>
          <w:rFonts w:ascii="Times New Roman" w:eastAsia="Times New Roman" w:hAnsi="Times New Roman" w:cs="Times New Roman"/>
          <w:b/>
          <w:bCs/>
          <w:sz w:val="24"/>
          <w:szCs w:val="24"/>
          <w:lang w:eastAsia="sk-SK"/>
        </w:rPr>
        <w:t>:</w:t>
      </w:r>
    </w:p>
    <w:p w14:paraId="2C6EDF56" w14:textId="77777777" w:rsidR="00296554" w:rsidRPr="00296554" w:rsidRDefault="00296554" w:rsidP="00296554">
      <w:pPr>
        <w:tabs>
          <w:tab w:val="num" w:pos="1080"/>
        </w:tabs>
        <w:spacing w:after="0" w:line="240" w:lineRule="auto"/>
        <w:jc w:val="both"/>
        <w:rPr>
          <w:rFonts w:ascii="Times New Roman" w:eastAsia="Times New Roman" w:hAnsi="Times New Roman" w:cs="Times New Roman"/>
          <w:bCs/>
          <w:sz w:val="24"/>
          <w:szCs w:val="24"/>
          <w:lang w:eastAsia="sk-SK"/>
        </w:rPr>
      </w:pPr>
    </w:p>
    <w:tbl>
      <w:tblPr>
        <w:tblStyle w:val="Mriekatabuky"/>
        <w:tblW w:w="9209" w:type="dxa"/>
        <w:tblLook w:val="04A0" w:firstRow="1" w:lastRow="0" w:firstColumn="1" w:lastColumn="0" w:noHBand="0" w:noVBand="1"/>
      </w:tblPr>
      <w:tblGrid>
        <w:gridCol w:w="7083"/>
        <w:gridCol w:w="1276"/>
        <w:gridCol w:w="850"/>
      </w:tblGrid>
      <w:tr w:rsidR="00296554" w:rsidRPr="00296554" w14:paraId="54EB31B0" w14:textId="77777777" w:rsidTr="00FE54B3">
        <w:tc>
          <w:tcPr>
            <w:tcW w:w="7083" w:type="dxa"/>
          </w:tcPr>
          <w:p w14:paraId="347AA1A9" w14:textId="77777777" w:rsidR="00296554" w:rsidRPr="00296554" w:rsidRDefault="00296554" w:rsidP="00296554">
            <w:pPr>
              <w:tabs>
                <w:tab w:val="num" w:pos="1080"/>
              </w:tabs>
              <w:jc w:val="both"/>
              <w:rPr>
                <w:b/>
                <w:bCs/>
                <w:sz w:val="24"/>
                <w:szCs w:val="24"/>
              </w:rPr>
            </w:pPr>
            <w:r w:rsidRPr="00296554">
              <w:rPr>
                <w:b/>
                <w:bCs/>
                <w:sz w:val="24"/>
                <w:szCs w:val="24"/>
              </w:rPr>
              <w:t>organizačný útvar</w:t>
            </w:r>
          </w:p>
        </w:tc>
        <w:tc>
          <w:tcPr>
            <w:tcW w:w="1276" w:type="dxa"/>
          </w:tcPr>
          <w:p w14:paraId="5F98ABCE" w14:textId="77777777" w:rsidR="00296554" w:rsidRPr="00296554" w:rsidRDefault="00296554" w:rsidP="00296554">
            <w:pPr>
              <w:tabs>
                <w:tab w:val="num" w:pos="1080"/>
              </w:tabs>
              <w:jc w:val="both"/>
              <w:rPr>
                <w:b/>
                <w:bCs/>
                <w:sz w:val="24"/>
                <w:szCs w:val="24"/>
              </w:rPr>
            </w:pPr>
            <w:r w:rsidRPr="00296554">
              <w:rPr>
                <w:b/>
                <w:bCs/>
                <w:sz w:val="24"/>
                <w:szCs w:val="24"/>
              </w:rPr>
              <w:t>počet ŠZM</w:t>
            </w:r>
          </w:p>
        </w:tc>
        <w:tc>
          <w:tcPr>
            <w:tcW w:w="850" w:type="dxa"/>
          </w:tcPr>
          <w:p w14:paraId="7F03EEC0" w14:textId="77777777" w:rsidR="00296554" w:rsidRPr="00296554" w:rsidRDefault="00296554" w:rsidP="00296554">
            <w:pPr>
              <w:tabs>
                <w:tab w:val="num" w:pos="1080"/>
              </w:tabs>
              <w:jc w:val="both"/>
              <w:rPr>
                <w:b/>
                <w:bCs/>
                <w:sz w:val="24"/>
                <w:szCs w:val="24"/>
              </w:rPr>
            </w:pPr>
            <w:r w:rsidRPr="00296554">
              <w:rPr>
                <w:b/>
                <w:bCs/>
                <w:sz w:val="24"/>
                <w:szCs w:val="24"/>
              </w:rPr>
              <w:t>PT</w:t>
            </w:r>
          </w:p>
        </w:tc>
      </w:tr>
      <w:tr w:rsidR="00296554" w:rsidRPr="00764A85" w14:paraId="6C84CBC0" w14:textId="77777777" w:rsidTr="00FE54B3">
        <w:tc>
          <w:tcPr>
            <w:tcW w:w="7083" w:type="dxa"/>
          </w:tcPr>
          <w:p w14:paraId="5DDE032E" w14:textId="77777777" w:rsidR="00296554" w:rsidRPr="00296554" w:rsidRDefault="00296554" w:rsidP="00296554">
            <w:pPr>
              <w:tabs>
                <w:tab w:val="num" w:pos="1080"/>
              </w:tabs>
              <w:jc w:val="both"/>
              <w:rPr>
                <w:bCs/>
                <w:sz w:val="24"/>
                <w:szCs w:val="24"/>
              </w:rPr>
            </w:pPr>
            <w:r w:rsidRPr="00296554">
              <w:rPr>
                <w:bCs/>
                <w:sz w:val="24"/>
                <w:szCs w:val="24"/>
              </w:rPr>
              <w:t>odbor zneužívania dominantného postavenia a vertikálnych dohôd</w:t>
            </w:r>
          </w:p>
        </w:tc>
        <w:tc>
          <w:tcPr>
            <w:tcW w:w="1276" w:type="dxa"/>
          </w:tcPr>
          <w:p w14:paraId="292CD82D" w14:textId="6724C989" w:rsidR="00296554" w:rsidRPr="00764A85" w:rsidRDefault="00764A85" w:rsidP="00296554">
            <w:pPr>
              <w:tabs>
                <w:tab w:val="num" w:pos="1080"/>
              </w:tabs>
              <w:jc w:val="both"/>
              <w:rPr>
                <w:bCs/>
                <w:sz w:val="24"/>
                <w:szCs w:val="24"/>
              </w:rPr>
            </w:pPr>
            <w:r w:rsidRPr="00764A85">
              <w:rPr>
                <w:bCs/>
                <w:sz w:val="24"/>
                <w:szCs w:val="24"/>
              </w:rPr>
              <w:t>1</w:t>
            </w:r>
          </w:p>
        </w:tc>
        <w:tc>
          <w:tcPr>
            <w:tcW w:w="850" w:type="dxa"/>
          </w:tcPr>
          <w:p w14:paraId="386DEF5E" w14:textId="77777777" w:rsidR="00296554" w:rsidRPr="00764A85" w:rsidRDefault="00296554" w:rsidP="00296554">
            <w:pPr>
              <w:tabs>
                <w:tab w:val="num" w:pos="1080"/>
              </w:tabs>
              <w:jc w:val="both"/>
              <w:rPr>
                <w:bCs/>
                <w:sz w:val="24"/>
                <w:szCs w:val="24"/>
              </w:rPr>
            </w:pPr>
            <w:r w:rsidRPr="00764A85">
              <w:rPr>
                <w:bCs/>
                <w:sz w:val="24"/>
                <w:szCs w:val="24"/>
              </w:rPr>
              <w:t>8</w:t>
            </w:r>
          </w:p>
        </w:tc>
      </w:tr>
      <w:tr w:rsidR="00296554" w:rsidRPr="00764A85" w14:paraId="3C8DA40A" w14:textId="77777777" w:rsidTr="00FE54B3">
        <w:tc>
          <w:tcPr>
            <w:tcW w:w="7083" w:type="dxa"/>
          </w:tcPr>
          <w:p w14:paraId="3275297C" w14:textId="77777777" w:rsidR="00296554" w:rsidRPr="00296554" w:rsidRDefault="00296554" w:rsidP="00296554">
            <w:pPr>
              <w:tabs>
                <w:tab w:val="num" w:pos="1080"/>
              </w:tabs>
              <w:jc w:val="both"/>
              <w:rPr>
                <w:bCs/>
                <w:sz w:val="24"/>
                <w:szCs w:val="24"/>
              </w:rPr>
            </w:pPr>
            <w:r w:rsidRPr="00296554">
              <w:rPr>
                <w:bCs/>
                <w:sz w:val="24"/>
                <w:szCs w:val="24"/>
              </w:rPr>
              <w:t>odbor legislatívno-právny a zahraničných vzťahov</w:t>
            </w:r>
          </w:p>
        </w:tc>
        <w:tc>
          <w:tcPr>
            <w:tcW w:w="1276" w:type="dxa"/>
          </w:tcPr>
          <w:p w14:paraId="53C54C64" w14:textId="77777777" w:rsidR="00296554" w:rsidRPr="00764A85" w:rsidRDefault="00296554" w:rsidP="00296554">
            <w:pPr>
              <w:tabs>
                <w:tab w:val="num" w:pos="1080"/>
              </w:tabs>
              <w:jc w:val="both"/>
              <w:rPr>
                <w:bCs/>
                <w:sz w:val="24"/>
                <w:szCs w:val="24"/>
              </w:rPr>
            </w:pPr>
            <w:r w:rsidRPr="00764A85">
              <w:rPr>
                <w:bCs/>
                <w:sz w:val="24"/>
                <w:szCs w:val="24"/>
              </w:rPr>
              <w:t>1</w:t>
            </w:r>
          </w:p>
        </w:tc>
        <w:tc>
          <w:tcPr>
            <w:tcW w:w="850" w:type="dxa"/>
          </w:tcPr>
          <w:p w14:paraId="53108A12" w14:textId="77777777" w:rsidR="00296554" w:rsidRPr="00764A85" w:rsidRDefault="00296554" w:rsidP="00296554">
            <w:pPr>
              <w:tabs>
                <w:tab w:val="num" w:pos="1080"/>
              </w:tabs>
              <w:jc w:val="both"/>
              <w:rPr>
                <w:bCs/>
                <w:sz w:val="24"/>
                <w:szCs w:val="24"/>
              </w:rPr>
            </w:pPr>
            <w:r w:rsidRPr="00764A85">
              <w:rPr>
                <w:bCs/>
                <w:sz w:val="24"/>
                <w:szCs w:val="24"/>
              </w:rPr>
              <w:t>8</w:t>
            </w:r>
          </w:p>
        </w:tc>
      </w:tr>
      <w:tr w:rsidR="00296554" w:rsidRPr="00764A85" w14:paraId="131499F9" w14:textId="77777777" w:rsidTr="00FE54B3">
        <w:tc>
          <w:tcPr>
            <w:tcW w:w="7083" w:type="dxa"/>
          </w:tcPr>
          <w:p w14:paraId="20DAE2C2" w14:textId="77777777" w:rsidR="00296554" w:rsidRPr="00296554" w:rsidRDefault="00296554" w:rsidP="00296554">
            <w:pPr>
              <w:tabs>
                <w:tab w:val="num" w:pos="1080"/>
              </w:tabs>
              <w:jc w:val="both"/>
              <w:rPr>
                <w:bCs/>
                <w:sz w:val="24"/>
                <w:szCs w:val="24"/>
              </w:rPr>
            </w:pPr>
            <w:r w:rsidRPr="00296554">
              <w:rPr>
                <w:bCs/>
                <w:sz w:val="24"/>
                <w:szCs w:val="24"/>
              </w:rPr>
              <w:t>referát hlavného ekonóma - špecialistu</w:t>
            </w:r>
          </w:p>
        </w:tc>
        <w:tc>
          <w:tcPr>
            <w:tcW w:w="1276" w:type="dxa"/>
          </w:tcPr>
          <w:p w14:paraId="0839FF20" w14:textId="77777777" w:rsidR="00296554" w:rsidRPr="00764A85" w:rsidRDefault="00296554" w:rsidP="00296554">
            <w:pPr>
              <w:tabs>
                <w:tab w:val="num" w:pos="1080"/>
              </w:tabs>
              <w:jc w:val="both"/>
              <w:rPr>
                <w:bCs/>
                <w:sz w:val="24"/>
                <w:szCs w:val="24"/>
              </w:rPr>
            </w:pPr>
            <w:r w:rsidRPr="00764A85">
              <w:rPr>
                <w:bCs/>
                <w:sz w:val="24"/>
                <w:szCs w:val="24"/>
              </w:rPr>
              <w:t>1</w:t>
            </w:r>
          </w:p>
        </w:tc>
        <w:tc>
          <w:tcPr>
            <w:tcW w:w="850" w:type="dxa"/>
          </w:tcPr>
          <w:p w14:paraId="33FD2F84" w14:textId="77777777" w:rsidR="00296554" w:rsidRPr="00764A85" w:rsidRDefault="00296554" w:rsidP="00296554">
            <w:pPr>
              <w:tabs>
                <w:tab w:val="num" w:pos="1080"/>
              </w:tabs>
              <w:jc w:val="both"/>
              <w:rPr>
                <w:bCs/>
                <w:sz w:val="24"/>
                <w:szCs w:val="24"/>
              </w:rPr>
            </w:pPr>
            <w:r w:rsidRPr="00764A85">
              <w:rPr>
                <w:bCs/>
                <w:sz w:val="24"/>
                <w:szCs w:val="24"/>
              </w:rPr>
              <w:t>8</w:t>
            </w:r>
          </w:p>
        </w:tc>
      </w:tr>
    </w:tbl>
    <w:p w14:paraId="18638FB8" w14:textId="77777777" w:rsidR="00296554" w:rsidRDefault="00296554"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3E8D4A67" w14:textId="4D5F0B40" w:rsidR="009D3D61" w:rsidRDefault="00C436DB"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w:t>
      </w:r>
      <w:r w:rsidR="00955073">
        <w:rPr>
          <w:rFonts w:ascii="Times New Roman" w:eastAsia="Times New Roman" w:hAnsi="Times New Roman" w:cs="Times New Roman"/>
          <w:bCs/>
          <w:sz w:val="24"/>
          <w:szCs w:val="24"/>
          <w:lang w:eastAsia="sk-SK"/>
        </w:rPr>
        <w:t>hlavných</w:t>
      </w:r>
      <w:r>
        <w:rPr>
          <w:rFonts w:ascii="Times New Roman" w:eastAsia="Times New Roman" w:hAnsi="Times New Roman" w:cs="Times New Roman"/>
          <w:bCs/>
          <w:sz w:val="24"/>
          <w:szCs w:val="24"/>
          <w:lang w:eastAsia="sk-SK"/>
        </w:rPr>
        <w:t xml:space="preserve"> kateg</w:t>
      </w:r>
      <w:r w:rsidR="009D5118">
        <w:rPr>
          <w:rFonts w:ascii="Times New Roman" w:eastAsia="Times New Roman" w:hAnsi="Times New Roman" w:cs="Times New Roman"/>
          <w:bCs/>
          <w:sz w:val="24"/>
          <w:szCs w:val="24"/>
          <w:lang w:eastAsia="sk-SK"/>
        </w:rPr>
        <w:t>órií</w:t>
      </w:r>
      <w:r>
        <w:rPr>
          <w:rFonts w:ascii="Times New Roman" w:eastAsia="Times New Roman" w:hAnsi="Times New Roman" w:cs="Times New Roman"/>
          <w:bCs/>
          <w:sz w:val="24"/>
          <w:szCs w:val="24"/>
          <w:lang w:eastAsia="sk-SK"/>
        </w:rPr>
        <w:t xml:space="preserve"> </w:t>
      </w:r>
      <w:r w:rsidR="00955073">
        <w:rPr>
          <w:rFonts w:ascii="Times New Roman" w:eastAsia="Times New Roman" w:hAnsi="Times New Roman" w:cs="Times New Roman"/>
          <w:bCs/>
          <w:sz w:val="24"/>
          <w:szCs w:val="24"/>
          <w:lang w:eastAsia="sk-SK"/>
        </w:rPr>
        <w:t xml:space="preserve">EKRK </w:t>
      </w:r>
      <w:r>
        <w:rPr>
          <w:rFonts w:ascii="Times New Roman" w:eastAsia="Times New Roman" w:hAnsi="Times New Roman" w:cs="Times New Roman"/>
          <w:bCs/>
          <w:sz w:val="24"/>
          <w:szCs w:val="24"/>
          <w:lang w:eastAsia="sk-SK"/>
        </w:rPr>
        <w:t>610 –</w:t>
      </w:r>
      <w:r w:rsidR="00955073">
        <w:rPr>
          <w:rFonts w:ascii="Times New Roman" w:eastAsia="Times New Roman" w:hAnsi="Times New Roman" w:cs="Times New Roman"/>
          <w:bCs/>
          <w:sz w:val="24"/>
          <w:szCs w:val="24"/>
          <w:lang w:eastAsia="sk-SK"/>
        </w:rPr>
        <w:t xml:space="preserve"> </w:t>
      </w:r>
      <w:r w:rsidR="00955073" w:rsidRPr="00955073">
        <w:rPr>
          <w:rFonts w:ascii="Times New Roman" w:eastAsia="Times New Roman" w:hAnsi="Times New Roman" w:cs="Times New Roman"/>
          <w:bCs/>
          <w:i/>
          <w:sz w:val="24"/>
          <w:szCs w:val="24"/>
          <w:lang w:eastAsia="sk-SK"/>
        </w:rPr>
        <w:t>Mzdy, platy, služobné príjmy a ostatné osobné vyrovnania</w:t>
      </w:r>
      <w:r w:rsidR="00955073">
        <w:rPr>
          <w:rFonts w:ascii="Times New Roman" w:eastAsia="Times New Roman" w:hAnsi="Times New Roman" w:cs="Times New Roman"/>
          <w:bCs/>
          <w:sz w:val="24"/>
          <w:szCs w:val="24"/>
          <w:lang w:eastAsia="sk-SK"/>
        </w:rPr>
        <w:t xml:space="preserve"> ako aj 620 - </w:t>
      </w:r>
      <w:r w:rsidR="00955073" w:rsidRPr="00955073">
        <w:rPr>
          <w:rFonts w:ascii="Times New Roman" w:eastAsia="Times New Roman" w:hAnsi="Times New Roman" w:cs="Times New Roman"/>
          <w:bCs/>
          <w:i/>
          <w:sz w:val="24"/>
          <w:szCs w:val="24"/>
          <w:lang w:eastAsia="sk-SK"/>
        </w:rPr>
        <w:t>Poistné a príspevok do poisťovní</w:t>
      </w:r>
      <w:r w:rsidR="009D3D61">
        <w:rPr>
          <w:rFonts w:ascii="Times New Roman" w:eastAsia="Times New Roman" w:hAnsi="Times New Roman" w:cs="Times New Roman"/>
          <w:bCs/>
          <w:sz w:val="24"/>
          <w:szCs w:val="24"/>
          <w:lang w:eastAsia="sk-SK"/>
        </w:rPr>
        <w:t xml:space="preserve"> od nasledujúceho roku 2024 až</w:t>
      </w:r>
      <w:r w:rsidR="00955073">
        <w:rPr>
          <w:rFonts w:ascii="Times New Roman" w:eastAsia="Times New Roman" w:hAnsi="Times New Roman" w:cs="Times New Roman"/>
          <w:bCs/>
          <w:sz w:val="24"/>
          <w:szCs w:val="24"/>
          <w:lang w:eastAsia="sk-SK"/>
        </w:rPr>
        <w:t xml:space="preserve"> 2026 </w:t>
      </w:r>
      <w:r w:rsidR="00E40E86" w:rsidRPr="00CD5BDA">
        <w:rPr>
          <w:rFonts w:ascii="Times New Roman" w:eastAsia="Times New Roman" w:hAnsi="Times New Roman" w:cs="Times New Roman"/>
          <w:bCs/>
          <w:sz w:val="24"/>
          <w:szCs w:val="24"/>
          <w:u w:val="single"/>
          <w:lang w:eastAsia="sk-SK"/>
        </w:rPr>
        <w:t xml:space="preserve">nie </w:t>
      </w:r>
      <w:r w:rsidR="00955073" w:rsidRPr="00CD5BDA">
        <w:rPr>
          <w:rFonts w:ascii="Times New Roman" w:eastAsia="Times New Roman" w:hAnsi="Times New Roman" w:cs="Times New Roman"/>
          <w:bCs/>
          <w:sz w:val="24"/>
          <w:szCs w:val="24"/>
          <w:u w:val="single"/>
          <w:lang w:eastAsia="sk-SK"/>
        </w:rPr>
        <w:t>je</w:t>
      </w:r>
      <w:r w:rsidR="00955073">
        <w:rPr>
          <w:rFonts w:ascii="Times New Roman" w:eastAsia="Times New Roman" w:hAnsi="Times New Roman" w:cs="Times New Roman"/>
          <w:bCs/>
          <w:sz w:val="24"/>
          <w:szCs w:val="24"/>
          <w:lang w:eastAsia="sk-SK"/>
        </w:rPr>
        <w:t xml:space="preserve"> zohľadnené každoročné 7% valorizovanie platov. </w:t>
      </w:r>
    </w:p>
    <w:p w14:paraId="4D6C32F9" w14:textId="0D3DBAFF" w:rsidR="00B34306" w:rsidRDefault="00955073"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hlavnej kategórii 630 – </w:t>
      </w:r>
      <w:r w:rsidRPr="00955073">
        <w:rPr>
          <w:rFonts w:ascii="Times New Roman" w:eastAsia="Times New Roman" w:hAnsi="Times New Roman" w:cs="Times New Roman"/>
          <w:bCs/>
          <w:i/>
          <w:sz w:val="24"/>
          <w:szCs w:val="24"/>
          <w:lang w:eastAsia="sk-SK"/>
        </w:rPr>
        <w:t>Tovary a</w:t>
      </w:r>
      <w:r>
        <w:rPr>
          <w:rFonts w:ascii="Times New Roman" w:eastAsia="Times New Roman" w:hAnsi="Times New Roman" w:cs="Times New Roman"/>
          <w:bCs/>
          <w:i/>
          <w:sz w:val="24"/>
          <w:szCs w:val="24"/>
          <w:lang w:eastAsia="sk-SK"/>
        </w:rPr>
        <w:t> </w:t>
      </w:r>
      <w:r w:rsidRPr="00955073">
        <w:rPr>
          <w:rFonts w:ascii="Times New Roman" w:eastAsia="Times New Roman" w:hAnsi="Times New Roman" w:cs="Times New Roman"/>
          <w:bCs/>
          <w:i/>
          <w:sz w:val="24"/>
          <w:szCs w:val="24"/>
          <w:lang w:eastAsia="sk-SK"/>
        </w:rPr>
        <w:t>služby</w:t>
      </w:r>
      <w:r>
        <w:rPr>
          <w:rFonts w:ascii="Times New Roman" w:eastAsia="Times New Roman" w:hAnsi="Times New Roman" w:cs="Times New Roman"/>
          <w:bCs/>
          <w:i/>
          <w:sz w:val="24"/>
          <w:szCs w:val="24"/>
          <w:lang w:eastAsia="sk-SK"/>
        </w:rPr>
        <w:t xml:space="preserve"> </w:t>
      </w:r>
      <w:r>
        <w:rPr>
          <w:rFonts w:ascii="Times New Roman" w:eastAsia="Times New Roman" w:hAnsi="Times New Roman" w:cs="Times New Roman"/>
          <w:bCs/>
          <w:sz w:val="24"/>
          <w:szCs w:val="24"/>
          <w:lang w:eastAsia="sk-SK"/>
        </w:rPr>
        <w:t>je v roku 202</w:t>
      </w:r>
      <w:r w:rsidR="00E40E86">
        <w:rPr>
          <w:rFonts w:ascii="Times New Roman" w:eastAsia="Times New Roman" w:hAnsi="Times New Roman" w:cs="Times New Roman"/>
          <w:bCs/>
          <w:sz w:val="24"/>
          <w:szCs w:val="24"/>
          <w:lang w:eastAsia="sk-SK"/>
        </w:rPr>
        <w:t>4</w:t>
      </w:r>
      <w:r>
        <w:rPr>
          <w:rFonts w:ascii="Times New Roman" w:eastAsia="Times New Roman" w:hAnsi="Times New Roman" w:cs="Times New Roman"/>
          <w:bCs/>
          <w:sz w:val="24"/>
          <w:szCs w:val="24"/>
          <w:lang w:eastAsia="sk-SK"/>
        </w:rPr>
        <w:t xml:space="preserve"> zohľadnené</w:t>
      </w:r>
      <w:r w:rsidR="009D3D61">
        <w:rPr>
          <w:rFonts w:ascii="Times New Roman" w:eastAsia="Times New Roman" w:hAnsi="Times New Roman" w:cs="Times New Roman"/>
          <w:bCs/>
          <w:sz w:val="24"/>
          <w:szCs w:val="24"/>
          <w:lang w:eastAsia="sk-SK"/>
        </w:rPr>
        <w:t xml:space="preserve"> vo výpočte</w:t>
      </w:r>
      <w:r>
        <w:rPr>
          <w:rFonts w:ascii="Times New Roman" w:eastAsia="Times New Roman" w:hAnsi="Times New Roman" w:cs="Times New Roman"/>
          <w:bCs/>
          <w:sz w:val="24"/>
          <w:szCs w:val="24"/>
          <w:lang w:eastAsia="sk-SK"/>
        </w:rPr>
        <w:t xml:space="preserve"> jednorazový </w:t>
      </w:r>
      <w:r w:rsidR="00B24E1C">
        <w:rPr>
          <w:rFonts w:ascii="Times New Roman" w:eastAsia="Times New Roman" w:hAnsi="Times New Roman" w:cs="Times New Roman"/>
          <w:bCs/>
          <w:sz w:val="24"/>
          <w:szCs w:val="24"/>
          <w:lang w:eastAsia="sk-SK"/>
        </w:rPr>
        <w:t>dopad na výdavky pre</w:t>
      </w:r>
      <w:r w:rsidR="00307A41">
        <w:rPr>
          <w:rFonts w:ascii="Times New Roman" w:eastAsia="Times New Roman" w:hAnsi="Times New Roman" w:cs="Times New Roman"/>
          <w:bCs/>
          <w:sz w:val="24"/>
          <w:szCs w:val="24"/>
          <w:lang w:eastAsia="sk-SK"/>
        </w:rPr>
        <w:t xml:space="preserve"> zariadenie </w:t>
      </w:r>
      <w:r>
        <w:rPr>
          <w:rFonts w:ascii="Times New Roman" w:eastAsia="Times New Roman" w:hAnsi="Times New Roman" w:cs="Times New Roman"/>
          <w:bCs/>
          <w:sz w:val="24"/>
          <w:szCs w:val="24"/>
          <w:lang w:eastAsia="sk-SK"/>
        </w:rPr>
        <w:t>kancelárskych priestorov</w:t>
      </w:r>
      <w:r w:rsidR="00307A41" w:rsidRPr="00DF6545">
        <w:rPr>
          <w:rFonts w:ascii="Times New Roman" w:hAnsi="Times New Roman"/>
          <w:sz w:val="24"/>
        </w:rPr>
        <w:t xml:space="preserve"> a </w:t>
      </w:r>
      <w:r w:rsidR="00307A41">
        <w:rPr>
          <w:rFonts w:ascii="Times New Roman" w:eastAsia="Times New Roman" w:hAnsi="Times New Roman" w:cs="Times New Roman"/>
          <w:bCs/>
          <w:sz w:val="24"/>
          <w:szCs w:val="24"/>
          <w:lang w:eastAsia="sk-SK"/>
        </w:rPr>
        <w:t>technické vybavenie</w:t>
      </w:r>
      <w:r w:rsidR="00296554">
        <w:rPr>
          <w:rFonts w:ascii="Times New Roman" w:eastAsia="Times New Roman" w:hAnsi="Times New Roman" w:cs="Times New Roman"/>
          <w:bCs/>
          <w:sz w:val="24"/>
          <w:szCs w:val="24"/>
          <w:lang w:eastAsia="sk-SK"/>
        </w:rPr>
        <w:t>.</w:t>
      </w:r>
    </w:p>
    <w:p w14:paraId="4AEC6754" w14:textId="77777777" w:rsidR="007D5748" w:rsidRPr="00955073" w:rsidRDefault="00296554"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p>
    <w:p w14:paraId="6A44D86E" w14:textId="77777777" w:rsidR="009D5118" w:rsidRPr="009D5118" w:rsidRDefault="009D5118" w:rsidP="009D5118">
      <w:pPr>
        <w:tabs>
          <w:tab w:val="num" w:pos="1080"/>
        </w:tabs>
        <w:spacing w:after="0" w:line="240" w:lineRule="auto"/>
        <w:jc w:val="both"/>
        <w:rPr>
          <w:rFonts w:ascii="Times New Roman" w:eastAsia="Times New Roman" w:hAnsi="Times New Roman" w:cs="Times New Roman"/>
          <w:bCs/>
          <w:sz w:val="24"/>
          <w:szCs w:val="24"/>
          <w:lang w:eastAsia="sk-SK"/>
        </w:rPr>
      </w:pPr>
      <w:r w:rsidRPr="009D5118">
        <w:rPr>
          <w:rFonts w:ascii="Times New Roman" w:eastAsia="Times New Roman" w:hAnsi="Times New Roman" w:cs="Times New Roman"/>
          <w:bCs/>
          <w:i/>
          <w:iCs/>
          <w:sz w:val="24"/>
          <w:szCs w:val="24"/>
          <w:lang w:eastAsia="sk-SK"/>
        </w:rPr>
        <w:t>Stanov</w:t>
      </w:r>
      <w:r>
        <w:rPr>
          <w:rFonts w:ascii="Times New Roman" w:eastAsia="Times New Roman" w:hAnsi="Times New Roman" w:cs="Times New Roman"/>
          <w:bCs/>
          <w:i/>
          <w:iCs/>
          <w:sz w:val="24"/>
          <w:szCs w:val="24"/>
          <w:lang w:eastAsia="sk-SK"/>
        </w:rPr>
        <w:t>enie požadovaných vstupov do výpočtu</w:t>
      </w:r>
      <w:r w:rsidRPr="009D5118">
        <w:rPr>
          <w:rFonts w:ascii="Times New Roman" w:eastAsia="Times New Roman" w:hAnsi="Times New Roman" w:cs="Times New Roman"/>
          <w:bCs/>
          <w:sz w:val="24"/>
          <w:szCs w:val="24"/>
          <w:lang w:eastAsia="sk-SK"/>
        </w:rPr>
        <w:t>:</w:t>
      </w:r>
    </w:p>
    <w:p w14:paraId="6E2FE8C6" w14:textId="77777777" w:rsidR="009D5118" w:rsidRPr="009D5118" w:rsidRDefault="009D5118" w:rsidP="009D5118">
      <w:pPr>
        <w:tabs>
          <w:tab w:val="num" w:pos="1080"/>
        </w:tabs>
        <w:spacing w:after="0" w:line="240" w:lineRule="auto"/>
        <w:jc w:val="both"/>
        <w:rPr>
          <w:rFonts w:ascii="Times New Roman" w:eastAsia="Times New Roman" w:hAnsi="Times New Roman" w:cs="Times New Roman"/>
          <w:bCs/>
          <w:sz w:val="24"/>
          <w:szCs w:val="24"/>
          <w:u w:val="single"/>
          <w:lang w:eastAsia="sk-SK"/>
        </w:rPr>
      </w:pPr>
    </w:p>
    <w:p w14:paraId="3F01D496" w14:textId="77777777" w:rsidR="009D5118" w:rsidRDefault="009D5118" w:rsidP="00FE54B3">
      <w:pPr>
        <w:numPr>
          <w:ilvl w:val="0"/>
          <w:numId w:val="2"/>
        </w:numPr>
        <w:tabs>
          <w:tab w:val="num" w:pos="1080"/>
        </w:tabs>
        <w:spacing w:after="0" w:line="240" w:lineRule="auto"/>
        <w:jc w:val="both"/>
        <w:rPr>
          <w:rFonts w:ascii="Times New Roman" w:eastAsia="Times New Roman" w:hAnsi="Times New Roman" w:cs="Times New Roman"/>
          <w:bCs/>
          <w:sz w:val="24"/>
          <w:szCs w:val="24"/>
          <w:lang w:eastAsia="sk-SK"/>
        </w:rPr>
      </w:pPr>
      <w:r w:rsidRPr="009D5118">
        <w:rPr>
          <w:rFonts w:ascii="Times New Roman" w:eastAsia="Times New Roman" w:hAnsi="Times New Roman" w:cs="Times New Roman"/>
          <w:bCs/>
          <w:i/>
          <w:iCs/>
          <w:sz w:val="24"/>
          <w:szCs w:val="24"/>
          <w:lang w:eastAsia="sk-SK"/>
        </w:rPr>
        <w:lastRenderedPageBreak/>
        <w:t>zamestnanci</w:t>
      </w:r>
      <w:r w:rsidRPr="009D5118">
        <w:rPr>
          <w:rFonts w:ascii="Times New Roman" w:eastAsia="Times New Roman" w:hAnsi="Times New Roman" w:cs="Times New Roman"/>
          <w:bCs/>
          <w:sz w:val="24"/>
          <w:szCs w:val="24"/>
          <w:lang w:eastAsia="sk-SK"/>
        </w:rPr>
        <w:t xml:space="preserve"> – uplatňovanie nariadení a riadenie činností programu. Počet (a typ) zamestnancov neurčil iba objemy miezd (610) a poistného (620), ale mal vplyv aj na výpočet objemu tovarov a slu</w:t>
      </w:r>
      <w:r>
        <w:rPr>
          <w:rFonts w:ascii="Times New Roman" w:eastAsia="Times New Roman" w:hAnsi="Times New Roman" w:cs="Times New Roman"/>
          <w:bCs/>
          <w:sz w:val="24"/>
          <w:szCs w:val="24"/>
          <w:lang w:eastAsia="sk-SK"/>
        </w:rPr>
        <w:t>žieb (630)</w:t>
      </w:r>
    </w:p>
    <w:p w14:paraId="4445649F" w14:textId="77777777" w:rsidR="009D5118" w:rsidRPr="009D5118" w:rsidRDefault="009D5118" w:rsidP="00FE54B3">
      <w:pPr>
        <w:numPr>
          <w:ilvl w:val="0"/>
          <w:numId w:val="2"/>
        </w:numPr>
        <w:tabs>
          <w:tab w:val="num" w:pos="1080"/>
        </w:tabs>
        <w:spacing w:after="0" w:line="240" w:lineRule="auto"/>
        <w:jc w:val="both"/>
        <w:rPr>
          <w:rFonts w:ascii="Times New Roman" w:eastAsia="Times New Roman" w:hAnsi="Times New Roman" w:cs="Times New Roman"/>
          <w:bCs/>
          <w:sz w:val="24"/>
          <w:szCs w:val="24"/>
          <w:lang w:eastAsia="sk-SK"/>
        </w:rPr>
      </w:pPr>
      <w:r w:rsidRPr="009D5118">
        <w:rPr>
          <w:rFonts w:ascii="Times New Roman" w:eastAsia="Times New Roman" w:hAnsi="Times New Roman" w:cs="Times New Roman"/>
          <w:bCs/>
          <w:i/>
          <w:iCs/>
          <w:sz w:val="24"/>
          <w:szCs w:val="24"/>
          <w:lang w:eastAsia="sk-SK"/>
        </w:rPr>
        <w:t>vybavenie</w:t>
      </w:r>
      <w:r w:rsidR="007B08A9">
        <w:rPr>
          <w:rFonts w:ascii="Times New Roman" w:eastAsia="Times New Roman" w:hAnsi="Times New Roman" w:cs="Times New Roman"/>
          <w:bCs/>
          <w:sz w:val="24"/>
          <w:szCs w:val="24"/>
          <w:lang w:eastAsia="sk-SK"/>
        </w:rPr>
        <w:t xml:space="preserve"> – zariadenie kancelárie a technické vybavenie pre zamestnancov</w:t>
      </w:r>
      <w:r w:rsidR="00B34306">
        <w:rPr>
          <w:rFonts w:ascii="Times New Roman" w:eastAsia="Times New Roman" w:hAnsi="Times New Roman" w:cs="Times New Roman"/>
          <w:bCs/>
          <w:sz w:val="24"/>
          <w:szCs w:val="24"/>
          <w:lang w:eastAsia="sk-SK"/>
        </w:rPr>
        <w:t>.</w:t>
      </w:r>
    </w:p>
    <w:p w14:paraId="3531F158" w14:textId="77777777" w:rsidR="009D5118" w:rsidRPr="009D5118" w:rsidRDefault="009D5118" w:rsidP="009D5118">
      <w:pPr>
        <w:numPr>
          <w:ilvl w:val="0"/>
          <w:numId w:val="2"/>
        </w:numPr>
        <w:tabs>
          <w:tab w:val="num" w:pos="1080"/>
        </w:tabs>
        <w:spacing w:after="0" w:line="240" w:lineRule="auto"/>
        <w:jc w:val="both"/>
        <w:rPr>
          <w:rFonts w:ascii="Times New Roman" w:eastAsia="Times New Roman" w:hAnsi="Times New Roman" w:cs="Times New Roman"/>
          <w:bCs/>
          <w:sz w:val="24"/>
          <w:szCs w:val="24"/>
          <w:lang w:eastAsia="sk-SK"/>
        </w:rPr>
      </w:pPr>
      <w:r w:rsidRPr="009D5118">
        <w:rPr>
          <w:rFonts w:ascii="Times New Roman" w:eastAsia="Times New Roman" w:hAnsi="Times New Roman" w:cs="Times New Roman"/>
          <w:bCs/>
          <w:i/>
          <w:iCs/>
          <w:sz w:val="24"/>
          <w:szCs w:val="24"/>
          <w:lang w:eastAsia="sk-SK"/>
        </w:rPr>
        <w:t>iné prevádzkové náklady</w:t>
      </w:r>
      <w:r w:rsidRPr="009D5118">
        <w:rPr>
          <w:rFonts w:ascii="Times New Roman" w:eastAsia="Times New Roman" w:hAnsi="Times New Roman" w:cs="Times New Roman"/>
          <w:bCs/>
          <w:sz w:val="24"/>
          <w:szCs w:val="24"/>
          <w:lang w:eastAsia="sk-SK"/>
        </w:rPr>
        <w:t xml:space="preserve"> – vrátane nákladov na elektrickú energiu, vykurovanie, telekomunikácie,</w:t>
      </w:r>
      <w:r>
        <w:rPr>
          <w:rFonts w:ascii="Times New Roman" w:eastAsia="Times New Roman" w:hAnsi="Times New Roman" w:cs="Times New Roman"/>
          <w:bCs/>
          <w:sz w:val="24"/>
          <w:szCs w:val="24"/>
          <w:lang w:eastAsia="sk-SK"/>
        </w:rPr>
        <w:t xml:space="preserve"> prenájom priestorov a iné</w:t>
      </w:r>
    </w:p>
    <w:p w14:paraId="58047EAE" w14:textId="77777777"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B14AD5" w:rsidSect="002B63F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14:paraId="3F7CBE84" w14:textId="77777777" w:rsidR="007D5748" w:rsidRPr="00B14AD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lastRenderedPageBreak/>
        <w:t xml:space="preserve">Tabuľka č. 3 </w:t>
      </w:r>
    </w:p>
    <w:p w14:paraId="2FA5979C" w14:textId="77777777"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14AD5" w:rsidRPr="00B14AD5" w14:paraId="7C422098" w14:textId="77777777" w:rsidTr="002B63F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B60459"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7D1D1E1"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76D6ED8"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r>
      <w:tr w:rsidR="00B14AD5" w:rsidRPr="00B14AD5" w14:paraId="54A06AC1" w14:textId="77777777" w:rsidTr="002B63F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FE9560A"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059689FD"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7B3865E7"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3DAA5B8F"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4B87548A"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21C318F0"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tc>
      </w:tr>
      <w:tr w:rsidR="00B14AD5" w:rsidRPr="00B14AD5" w14:paraId="716E18EF" w14:textId="77777777" w:rsidTr="002B63FD">
        <w:trPr>
          <w:trHeight w:val="255"/>
        </w:trPr>
        <w:tc>
          <w:tcPr>
            <w:tcW w:w="4950" w:type="dxa"/>
            <w:tcBorders>
              <w:top w:val="nil"/>
              <w:left w:val="single" w:sz="4" w:space="0" w:color="auto"/>
              <w:bottom w:val="single" w:sz="4" w:space="0" w:color="auto"/>
              <w:right w:val="single" w:sz="4" w:space="0" w:color="auto"/>
            </w:tcBorders>
          </w:tcPr>
          <w:p w14:paraId="292C5777" w14:textId="77777777" w:rsidR="007D5748" w:rsidRPr="00B14AD5"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B14AD5">
              <w:rPr>
                <w:rFonts w:ascii="Times New Roman" w:eastAsia="Times New Roman" w:hAnsi="Times New Roman" w:cs="Times New Roman"/>
                <w:b/>
                <w:bCs/>
                <w:sz w:val="24"/>
                <w:szCs w:val="24"/>
                <w:lang w:eastAsia="sk-SK"/>
              </w:rPr>
              <w:t>Daňové príjmy (100)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524328B"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8B3CED1"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5121D57"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2FC5E5C"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6BCBB66"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14:paraId="55576F5E" w14:textId="77777777" w:rsidTr="002B63FD">
        <w:trPr>
          <w:trHeight w:val="255"/>
        </w:trPr>
        <w:tc>
          <w:tcPr>
            <w:tcW w:w="4950" w:type="dxa"/>
            <w:tcBorders>
              <w:top w:val="nil"/>
              <w:left w:val="single" w:sz="4" w:space="0" w:color="auto"/>
              <w:bottom w:val="single" w:sz="4" w:space="0" w:color="auto"/>
              <w:right w:val="single" w:sz="4" w:space="0" w:color="auto"/>
            </w:tcBorders>
          </w:tcPr>
          <w:p w14:paraId="27BF83B5"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Nedaňové príjmy (200)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92C8C65"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D12F022"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A93227E"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99F02F5"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44139EA"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14:paraId="5D56381B" w14:textId="77777777" w:rsidTr="002B63FD">
        <w:trPr>
          <w:trHeight w:val="255"/>
        </w:trPr>
        <w:tc>
          <w:tcPr>
            <w:tcW w:w="4950" w:type="dxa"/>
            <w:tcBorders>
              <w:top w:val="nil"/>
              <w:left w:val="single" w:sz="4" w:space="0" w:color="auto"/>
              <w:bottom w:val="single" w:sz="4" w:space="0" w:color="auto"/>
              <w:right w:val="single" w:sz="4" w:space="0" w:color="auto"/>
            </w:tcBorders>
          </w:tcPr>
          <w:p w14:paraId="16584D2E"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Granty a transfery (300)</w:t>
            </w:r>
            <w:r w:rsidRPr="00B14AD5">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495A3FE"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BC12FA7"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D4DCE1F"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CE9346E"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98D5082"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14:paraId="7FF96CEF" w14:textId="77777777" w:rsidTr="002B63FD">
        <w:trPr>
          <w:trHeight w:val="255"/>
        </w:trPr>
        <w:tc>
          <w:tcPr>
            <w:tcW w:w="4950" w:type="dxa"/>
            <w:tcBorders>
              <w:top w:val="nil"/>
              <w:left w:val="single" w:sz="4" w:space="0" w:color="auto"/>
              <w:bottom w:val="single" w:sz="4" w:space="0" w:color="auto"/>
              <w:right w:val="single" w:sz="4" w:space="0" w:color="auto"/>
            </w:tcBorders>
          </w:tcPr>
          <w:p w14:paraId="4FB35C71"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2EEE45D3"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5F98347"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02DE32E"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B7131E2"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10935A3C"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14:paraId="38335C6F" w14:textId="77777777" w:rsidTr="002B63FD">
        <w:trPr>
          <w:trHeight w:val="255"/>
        </w:trPr>
        <w:tc>
          <w:tcPr>
            <w:tcW w:w="4950" w:type="dxa"/>
            <w:tcBorders>
              <w:top w:val="nil"/>
              <w:left w:val="single" w:sz="4" w:space="0" w:color="auto"/>
              <w:bottom w:val="single" w:sz="4" w:space="0" w:color="auto"/>
              <w:right w:val="single" w:sz="4" w:space="0" w:color="auto"/>
            </w:tcBorders>
          </w:tcPr>
          <w:p w14:paraId="1ED5156C"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6FA388CD"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6FC425FE"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2F2757D"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A920BC3"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0FD9F908"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B14AD5" w:rsidRPr="00B14AD5" w14:paraId="6C6C6DA6" w14:textId="77777777" w:rsidTr="002B63F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56DCE77"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0096714B"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684F75B"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6121EDF"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0373AED" w14:textId="77777777" w:rsidR="007D5748" w:rsidRPr="00B14AD5" w:rsidRDefault="007D5748"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1DC5317" w14:textId="77777777" w:rsidR="007D5748" w:rsidRPr="00B14AD5" w:rsidRDefault="007D5748" w:rsidP="007D5748">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bl>
    <w:p w14:paraId="16B76069" w14:textId="77777777" w:rsidR="007D5748" w:rsidRPr="00B14AD5"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1 –  príjmy rozpísať až do položiek platnej ekonomickej klasifikácie</w:t>
      </w:r>
    </w:p>
    <w:p w14:paraId="13FA4D3A" w14:textId="77777777"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04715C93" w14:textId="77777777" w:rsidR="007D5748" w:rsidRPr="00B14AD5"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B14AD5">
        <w:rPr>
          <w:rFonts w:ascii="Times New Roman" w:eastAsia="Times New Roman" w:hAnsi="Times New Roman" w:cs="Times New Roman"/>
          <w:b/>
          <w:bCs/>
          <w:sz w:val="24"/>
          <w:szCs w:val="20"/>
          <w:lang w:eastAsia="sk-SK"/>
        </w:rPr>
        <w:t>Poznámka:</w:t>
      </w:r>
    </w:p>
    <w:p w14:paraId="0BF93737" w14:textId="77777777"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72C7FB37"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 </w:t>
      </w:r>
    </w:p>
    <w:p w14:paraId="7CFD5CB2"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EDA1246"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EFBD9C7"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EDE72AD"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6E1FFFD"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72635AC"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FE5DA20"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FEE0B3E"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A3208B0"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C84267F"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4C5B8D2"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0500C3C"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F21944"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7BFF369" w14:textId="77777777" w:rsidR="007D5748" w:rsidRPr="00B14AD5"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E9D558" w14:textId="77777777" w:rsidR="007D5748" w:rsidRPr="00B14AD5"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Tabuľka č. 4 </w:t>
      </w:r>
    </w:p>
    <w:p w14:paraId="6AAA4E68" w14:textId="77777777"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5EE79EE9" w14:textId="53C7EFAA" w:rsid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2 –  výdavky rozpísať až do položiek platnej ekonomickej klasifikácie</w:t>
      </w:r>
    </w:p>
    <w:p w14:paraId="38422A6B" w14:textId="77777777" w:rsidR="00E40E86" w:rsidRPr="00B14AD5" w:rsidRDefault="00E40E8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tbl>
      <w:tblPr>
        <w:tblpPr w:leftFromText="141" w:rightFromText="141" w:vertAnchor="text" w:horzAnchor="page" w:tblpX="629" w:tblpY="2"/>
        <w:tblW w:w="5000" w:type="pct"/>
        <w:tblCellMar>
          <w:left w:w="70" w:type="dxa"/>
          <w:right w:w="70" w:type="dxa"/>
        </w:tblCellMar>
        <w:tblLook w:val="0000" w:firstRow="0" w:lastRow="0" w:firstColumn="0" w:lastColumn="0" w:noHBand="0" w:noVBand="0"/>
      </w:tblPr>
      <w:tblGrid>
        <w:gridCol w:w="7358"/>
        <w:gridCol w:w="1716"/>
        <w:gridCol w:w="1601"/>
        <w:gridCol w:w="1601"/>
        <w:gridCol w:w="1718"/>
      </w:tblGrid>
      <w:tr w:rsidR="00E40E86" w:rsidRPr="00B14AD5" w14:paraId="139609B1" w14:textId="77777777" w:rsidTr="00CD5BDA">
        <w:trPr>
          <w:cantSplit/>
          <w:trHeight w:val="250"/>
        </w:trPr>
        <w:tc>
          <w:tcPr>
            <w:tcW w:w="2629"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11451F4B" w14:textId="77777777" w:rsidR="00E40E86" w:rsidRPr="00B14AD5" w:rsidRDefault="00E40E86" w:rsidP="00CC1A93">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(v eurách)</w:t>
            </w:r>
          </w:p>
        </w:tc>
        <w:tc>
          <w:tcPr>
            <w:tcW w:w="2371" w:type="pct"/>
            <w:gridSpan w:val="4"/>
            <w:tcBorders>
              <w:top w:val="single" w:sz="4" w:space="0" w:color="auto"/>
              <w:left w:val="nil"/>
              <w:bottom w:val="single" w:sz="4" w:space="0" w:color="auto"/>
              <w:right w:val="single" w:sz="4" w:space="0" w:color="auto"/>
            </w:tcBorders>
            <w:shd w:val="clear" w:color="auto" w:fill="BFBFBF" w:themeFill="background1" w:themeFillShade="BF"/>
          </w:tcPr>
          <w:p w14:paraId="23CE4B54" w14:textId="77777777" w:rsidR="00E40E86" w:rsidRPr="00B14AD5" w:rsidRDefault="00E40E86" w:rsidP="00CC1A93">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Vplyv na rozpočet verejnej správy</w:t>
            </w:r>
          </w:p>
        </w:tc>
      </w:tr>
      <w:tr w:rsidR="00E40E86" w:rsidRPr="00B14AD5" w14:paraId="79EF965E" w14:textId="77777777" w:rsidTr="006C089E">
        <w:trPr>
          <w:cantSplit/>
          <w:trHeight w:val="250"/>
        </w:trPr>
        <w:tc>
          <w:tcPr>
            <w:tcW w:w="2629" w:type="pct"/>
            <w:vMerge/>
            <w:tcBorders>
              <w:top w:val="single" w:sz="4" w:space="0" w:color="auto"/>
              <w:left w:val="single" w:sz="4" w:space="0" w:color="auto"/>
              <w:bottom w:val="single" w:sz="4" w:space="0" w:color="000000"/>
              <w:right w:val="single" w:sz="4" w:space="0" w:color="auto"/>
            </w:tcBorders>
            <w:vAlign w:val="center"/>
          </w:tcPr>
          <w:p w14:paraId="7DFE7615" w14:textId="77777777" w:rsidR="00E40E86" w:rsidRPr="00B14AD5" w:rsidRDefault="00E40E86" w:rsidP="00CC1A93">
            <w:pPr>
              <w:spacing w:after="0" w:line="240" w:lineRule="auto"/>
              <w:rPr>
                <w:rFonts w:ascii="Times New Roman" w:eastAsia="Times New Roman" w:hAnsi="Times New Roman" w:cs="Times New Roman"/>
                <w:b/>
                <w:bCs/>
                <w:sz w:val="20"/>
                <w:szCs w:val="20"/>
                <w:lang w:eastAsia="sk-SK"/>
              </w:rPr>
            </w:pPr>
          </w:p>
        </w:tc>
        <w:tc>
          <w:tcPr>
            <w:tcW w:w="613" w:type="pct"/>
            <w:tcBorders>
              <w:top w:val="nil"/>
              <w:left w:val="nil"/>
              <w:bottom w:val="single" w:sz="4" w:space="0" w:color="auto"/>
              <w:right w:val="single" w:sz="4" w:space="0" w:color="auto"/>
            </w:tcBorders>
            <w:shd w:val="clear" w:color="auto" w:fill="BFBFBF" w:themeFill="background1" w:themeFillShade="BF"/>
          </w:tcPr>
          <w:p w14:paraId="27D006F4" w14:textId="77777777" w:rsidR="00E40E86" w:rsidRPr="00B14AD5" w:rsidRDefault="00E40E86" w:rsidP="00CC1A9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572" w:type="pct"/>
            <w:tcBorders>
              <w:top w:val="nil"/>
              <w:left w:val="nil"/>
              <w:bottom w:val="single" w:sz="4" w:space="0" w:color="auto"/>
              <w:right w:val="single" w:sz="4" w:space="0" w:color="auto"/>
            </w:tcBorders>
            <w:shd w:val="clear" w:color="auto" w:fill="BFBFBF" w:themeFill="background1" w:themeFillShade="BF"/>
          </w:tcPr>
          <w:p w14:paraId="72A795B4" w14:textId="77777777" w:rsidR="00E40E86" w:rsidRPr="00B14AD5" w:rsidRDefault="00E40E86" w:rsidP="00CC1A9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572" w:type="pct"/>
            <w:tcBorders>
              <w:top w:val="nil"/>
              <w:left w:val="nil"/>
              <w:bottom w:val="single" w:sz="4" w:space="0" w:color="auto"/>
              <w:right w:val="single" w:sz="4" w:space="0" w:color="auto"/>
            </w:tcBorders>
            <w:shd w:val="clear" w:color="auto" w:fill="BFBFBF" w:themeFill="background1" w:themeFillShade="BF"/>
          </w:tcPr>
          <w:p w14:paraId="22271D25" w14:textId="77777777" w:rsidR="00E40E86" w:rsidRPr="00B14AD5" w:rsidRDefault="00E40E86" w:rsidP="00CC1A9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6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95C691" w14:textId="4E0170C1" w:rsidR="00E40E86" w:rsidRPr="00B14AD5" w:rsidRDefault="00E40E86" w:rsidP="00CC1A93">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6C089E" w:rsidRPr="00B14AD5" w14:paraId="47E52EFD" w14:textId="77777777" w:rsidTr="006C089E">
        <w:trPr>
          <w:trHeight w:val="250"/>
        </w:trPr>
        <w:tc>
          <w:tcPr>
            <w:tcW w:w="2629" w:type="pct"/>
            <w:tcBorders>
              <w:top w:val="nil"/>
              <w:left w:val="single" w:sz="4" w:space="0" w:color="auto"/>
              <w:bottom w:val="single" w:sz="4" w:space="0" w:color="auto"/>
              <w:right w:val="single" w:sz="4" w:space="0" w:color="auto"/>
            </w:tcBorders>
          </w:tcPr>
          <w:p w14:paraId="7768915A" w14:textId="77777777" w:rsidR="006C089E" w:rsidRPr="00B14AD5" w:rsidRDefault="006C089E" w:rsidP="006C089E">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Bežné výdavky (600)</w:t>
            </w:r>
          </w:p>
        </w:tc>
        <w:tc>
          <w:tcPr>
            <w:tcW w:w="613" w:type="pct"/>
            <w:tcBorders>
              <w:top w:val="nil"/>
              <w:left w:val="nil"/>
              <w:bottom w:val="single" w:sz="4" w:space="0" w:color="auto"/>
              <w:right w:val="single" w:sz="4" w:space="0" w:color="auto"/>
            </w:tcBorders>
          </w:tcPr>
          <w:p w14:paraId="029FCDDC" w14:textId="7665B8D5" w:rsidR="006C089E" w:rsidRPr="006C089E" w:rsidRDefault="006C089E" w:rsidP="006C089E">
            <w:pPr>
              <w:spacing w:after="0" w:line="240" w:lineRule="auto"/>
              <w:jc w:val="center"/>
              <w:rPr>
                <w:rFonts w:ascii="Times New Roman" w:eastAsia="Times New Roman" w:hAnsi="Times New Roman" w:cs="Times New Roman"/>
                <w:sz w:val="20"/>
                <w:szCs w:val="20"/>
                <w:lang w:eastAsia="sk-SK"/>
              </w:rPr>
            </w:pPr>
            <w:r w:rsidRPr="006C089E">
              <w:rPr>
                <w:rFonts w:ascii="Times New Roman" w:eastAsia="Times New Roman" w:hAnsi="Times New Roman" w:cs="Times New Roman"/>
                <w:sz w:val="20"/>
                <w:szCs w:val="20"/>
                <w:lang w:eastAsia="sk-SK"/>
              </w:rPr>
              <w:t>122 719,35</w:t>
            </w:r>
          </w:p>
        </w:tc>
        <w:tc>
          <w:tcPr>
            <w:tcW w:w="572" w:type="pct"/>
            <w:tcBorders>
              <w:top w:val="nil"/>
              <w:left w:val="nil"/>
              <w:bottom w:val="single" w:sz="4" w:space="0" w:color="auto"/>
              <w:right w:val="single" w:sz="4" w:space="0" w:color="auto"/>
            </w:tcBorders>
          </w:tcPr>
          <w:p w14:paraId="47A93302" w14:textId="79CA36F1" w:rsidR="006C089E" w:rsidRPr="006C089E" w:rsidRDefault="006C089E" w:rsidP="006C089E">
            <w:pPr>
              <w:spacing w:after="0" w:line="240" w:lineRule="auto"/>
              <w:jc w:val="center"/>
              <w:rPr>
                <w:rFonts w:ascii="Times New Roman" w:eastAsia="Times New Roman" w:hAnsi="Times New Roman" w:cs="Times New Roman"/>
                <w:sz w:val="20"/>
                <w:szCs w:val="20"/>
                <w:lang w:eastAsia="sk-SK"/>
              </w:rPr>
            </w:pPr>
            <w:r w:rsidRPr="006C089E">
              <w:rPr>
                <w:rFonts w:ascii="Times New Roman" w:eastAsia="Times New Roman" w:hAnsi="Times New Roman" w:cs="Times New Roman"/>
                <w:sz w:val="20"/>
                <w:szCs w:val="20"/>
                <w:lang w:eastAsia="sk-SK"/>
              </w:rPr>
              <w:t>119 944,35</w:t>
            </w:r>
          </w:p>
        </w:tc>
        <w:tc>
          <w:tcPr>
            <w:tcW w:w="572" w:type="pct"/>
            <w:tcBorders>
              <w:top w:val="nil"/>
              <w:left w:val="nil"/>
              <w:bottom w:val="single" w:sz="4" w:space="0" w:color="auto"/>
              <w:right w:val="single" w:sz="4" w:space="0" w:color="auto"/>
            </w:tcBorders>
          </w:tcPr>
          <w:p w14:paraId="4116C102" w14:textId="799E50AF" w:rsidR="006C089E" w:rsidRPr="006C089E" w:rsidRDefault="006C089E" w:rsidP="006C089E">
            <w:pPr>
              <w:spacing w:after="0" w:line="240" w:lineRule="auto"/>
              <w:jc w:val="center"/>
              <w:rPr>
                <w:rFonts w:ascii="Times New Roman" w:eastAsia="Times New Roman" w:hAnsi="Times New Roman" w:cs="Times New Roman"/>
                <w:sz w:val="20"/>
                <w:szCs w:val="20"/>
                <w:lang w:eastAsia="sk-SK"/>
              </w:rPr>
            </w:pPr>
            <w:r w:rsidRPr="006C089E">
              <w:rPr>
                <w:rFonts w:ascii="Times New Roman" w:eastAsia="Times New Roman" w:hAnsi="Times New Roman" w:cs="Times New Roman"/>
                <w:sz w:val="20"/>
                <w:szCs w:val="20"/>
                <w:lang w:eastAsia="sk-SK"/>
              </w:rPr>
              <w:t>119 944,35</w:t>
            </w:r>
          </w:p>
        </w:tc>
        <w:tc>
          <w:tcPr>
            <w:tcW w:w="614" w:type="pct"/>
            <w:tcBorders>
              <w:top w:val="nil"/>
              <w:left w:val="nil"/>
              <w:bottom w:val="single" w:sz="4" w:space="0" w:color="auto"/>
              <w:right w:val="single" w:sz="4" w:space="0" w:color="auto"/>
            </w:tcBorders>
            <w:noWrap/>
            <w:vAlign w:val="bottom"/>
          </w:tcPr>
          <w:p w14:paraId="20F73CD3" w14:textId="01505E98" w:rsidR="006C089E" w:rsidRPr="006C089E" w:rsidRDefault="006C089E" w:rsidP="009D63A6">
            <w:pPr>
              <w:spacing w:after="0" w:line="240" w:lineRule="auto"/>
              <w:rPr>
                <w:rFonts w:ascii="Times New Roman" w:eastAsia="Times New Roman" w:hAnsi="Times New Roman" w:cs="Times New Roman"/>
                <w:sz w:val="16"/>
                <w:szCs w:val="16"/>
                <w:lang w:eastAsia="sk-SK"/>
              </w:rPr>
            </w:pPr>
            <w:r w:rsidRPr="00B14AD5">
              <w:rPr>
                <w:rFonts w:ascii="Times New Roman" w:eastAsia="Times New Roman" w:hAnsi="Times New Roman" w:cs="Times New Roman"/>
                <w:sz w:val="24"/>
                <w:szCs w:val="24"/>
                <w:lang w:eastAsia="sk-SK"/>
              </w:rPr>
              <w:t> </w:t>
            </w:r>
          </w:p>
        </w:tc>
      </w:tr>
      <w:tr w:rsidR="00E40E86" w:rsidRPr="00B14AD5" w14:paraId="499B2103" w14:textId="77777777" w:rsidTr="006C089E">
        <w:trPr>
          <w:trHeight w:val="250"/>
        </w:trPr>
        <w:tc>
          <w:tcPr>
            <w:tcW w:w="2629" w:type="pct"/>
            <w:tcBorders>
              <w:top w:val="nil"/>
              <w:left w:val="single" w:sz="4" w:space="0" w:color="auto"/>
              <w:bottom w:val="single" w:sz="4" w:space="0" w:color="auto"/>
              <w:right w:val="single" w:sz="4" w:space="0" w:color="auto"/>
            </w:tcBorders>
          </w:tcPr>
          <w:p w14:paraId="3E486C90" w14:textId="77777777" w:rsidR="00E40E86" w:rsidRPr="00B14AD5" w:rsidRDefault="00E40E86" w:rsidP="00CC1A93">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Mzdy, platy, služobné príjmy a ostatné osobné vyrovnania (610)</w:t>
            </w:r>
          </w:p>
        </w:tc>
        <w:tc>
          <w:tcPr>
            <w:tcW w:w="613" w:type="pct"/>
            <w:tcBorders>
              <w:top w:val="nil"/>
              <w:left w:val="nil"/>
              <w:bottom w:val="single" w:sz="4" w:space="0" w:color="auto"/>
              <w:right w:val="single" w:sz="4" w:space="0" w:color="auto"/>
            </w:tcBorders>
            <w:vAlign w:val="center"/>
          </w:tcPr>
          <w:p w14:paraId="047617DF" w14:textId="0B9B5250" w:rsidR="00E40E86" w:rsidRPr="00DE7B0C" w:rsidRDefault="009D63A6" w:rsidP="006C089E">
            <w:pPr>
              <w:spacing w:after="0" w:line="240" w:lineRule="auto"/>
              <w:jc w:val="center"/>
              <w:rPr>
                <w:rFonts w:ascii="Times New Roman" w:eastAsia="Times New Roman" w:hAnsi="Times New Roman" w:cs="Times New Roman"/>
                <w:sz w:val="20"/>
                <w:szCs w:val="20"/>
                <w:highlight w:val="cyan"/>
                <w:lang w:eastAsia="sk-SK"/>
              </w:rPr>
            </w:pPr>
            <w:r w:rsidRPr="009D63A6">
              <w:rPr>
                <w:rFonts w:ascii="Times New Roman" w:eastAsia="Times New Roman" w:hAnsi="Times New Roman" w:cs="Times New Roman"/>
                <w:sz w:val="20"/>
                <w:szCs w:val="20"/>
                <w:lang w:eastAsia="sk-SK"/>
              </w:rPr>
              <w:t>76 500,00</w:t>
            </w:r>
          </w:p>
        </w:tc>
        <w:tc>
          <w:tcPr>
            <w:tcW w:w="572" w:type="pct"/>
            <w:tcBorders>
              <w:top w:val="nil"/>
              <w:left w:val="nil"/>
              <w:bottom w:val="single" w:sz="4" w:space="0" w:color="auto"/>
              <w:right w:val="single" w:sz="4" w:space="0" w:color="auto"/>
            </w:tcBorders>
            <w:vAlign w:val="center"/>
          </w:tcPr>
          <w:p w14:paraId="417E78BD" w14:textId="73A0C756" w:rsidR="00E40E86" w:rsidRPr="00DE7B0C" w:rsidRDefault="009D63A6" w:rsidP="00CC1A93">
            <w:pPr>
              <w:spacing w:after="0" w:line="240" w:lineRule="auto"/>
              <w:jc w:val="center"/>
              <w:rPr>
                <w:rFonts w:ascii="Times New Roman" w:eastAsia="Times New Roman" w:hAnsi="Times New Roman" w:cs="Times New Roman"/>
                <w:sz w:val="20"/>
                <w:szCs w:val="20"/>
                <w:highlight w:val="cyan"/>
                <w:lang w:eastAsia="sk-SK"/>
              </w:rPr>
            </w:pPr>
            <w:r w:rsidRPr="009D63A6">
              <w:rPr>
                <w:rFonts w:ascii="Times New Roman" w:eastAsia="Times New Roman" w:hAnsi="Times New Roman" w:cs="Times New Roman"/>
                <w:sz w:val="20"/>
                <w:szCs w:val="20"/>
                <w:lang w:eastAsia="sk-SK"/>
              </w:rPr>
              <w:t>76 500,00</w:t>
            </w:r>
          </w:p>
        </w:tc>
        <w:tc>
          <w:tcPr>
            <w:tcW w:w="572" w:type="pct"/>
            <w:tcBorders>
              <w:top w:val="nil"/>
              <w:left w:val="nil"/>
              <w:bottom w:val="single" w:sz="4" w:space="0" w:color="auto"/>
              <w:right w:val="single" w:sz="4" w:space="0" w:color="auto"/>
            </w:tcBorders>
            <w:vAlign w:val="center"/>
          </w:tcPr>
          <w:p w14:paraId="2BEAC360" w14:textId="6BC209BA" w:rsidR="00E40E86" w:rsidRPr="00DE7B0C" w:rsidRDefault="009D63A6" w:rsidP="00CC1A93">
            <w:pPr>
              <w:spacing w:after="0" w:line="240" w:lineRule="auto"/>
              <w:jc w:val="center"/>
              <w:rPr>
                <w:rFonts w:ascii="Times New Roman" w:hAnsi="Times New Roman"/>
                <w:sz w:val="20"/>
                <w:highlight w:val="cyan"/>
              </w:rPr>
            </w:pPr>
            <w:r w:rsidRPr="009D63A6">
              <w:rPr>
                <w:rFonts w:ascii="Times New Roman" w:hAnsi="Times New Roman"/>
                <w:sz w:val="20"/>
              </w:rPr>
              <w:t>76 500,00</w:t>
            </w:r>
          </w:p>
        </w:tc>
        <w:tc>
          <w:tcPr>
            <w:tcW w:w="614" w:type="pct"/>
            <w:tcBorders>
              <w:top w:val="nil"/>
              <w:left w:val="nil"/>
              <w:bottom w:val="single" w:sz="4" w:space="0" w:color="auto"/>
              <w:right w:val="single" w:sz="4" w:space="0" w:color="auto"/>
            </w:tcBorders>
            <w:noWrap/>
            <w:vAlign w:val="bottom"/>
          </w:tcPr>
          <w:p w14:paraId="6856161C" w14:textId="458E3B87" w:rsidR="00E40E86" w:rsidRPr="006C089E" w:rsidRDefault="00E40E86" w:rsidP="009D63A6">
            <w:pPr>
              <w:spacing w:after="0" w:line="240" w:lineRule="auto"/>
              <w:rPr>
                <w:rFonts w:ascii="Times New Roman" w:eastAsia="Times New Roman" w:hAnsi="Times New Roman" w:cs="Times New Roman"/>
                <w:sz w:val="16"/>
                <w:szCs w:val="16"/>
                <w:lang w:eastAsia="sk-SK"/>
              </w:rPr>
            </w:pPr>
            <w:r w:rsidRPr="00B14AD5">
              <w:rPr>
                <w:rFonts w:ascii="Times New Roman" w:eastAsia="Times New Roman" w:hAnsi="Times New Roman" w:cs="Times New Roman"/>
                <w:sz w:val="24"/>
                <w:szCs w:val="24"/>
                <w:lang w:eastAsia="sk-SK"/>
              </w:rPr>
              <w:t> </w:t>
            </w:r>
            <w:r w:rsidR="009D63A6" w:rsidRPr="006C089E">
              <w:rPr>
                <w:rFonts w:ascii="Times New Roman" w:eastAsia="Times New Roman" w:hAnsi="Times New Roman" w:cs="Times New Roman"/>
                <w:sz w:val="16"/>
                <w:szCs w:val="16"/>
                <w:lang w:eastAsia="sk-SK"/>
              </w:rPr>
              <w:t>*bez valorizácie</w:t>
            </w:r>
          </w:p>
        </w:tc>
      </w:tr>
      <w:tr w:rsidR="00E40E86" w:rsidRPr="00B14AD5" w14:paraId="3C0B4C0C" w14:textId="77777777" w:rsidTr="006C089E">
        <w:trPr>
          <w:trHeight w:val="250"/>
        </w:trPr>
        <w:tc>
          <w:tcPr>
            <w:tcW w:w="2629" w:type="pct"/>
            <w:tcBorders>
              <w:top w:val="nil"/>
              <w:left w:val="single" w:sz="4" w:space="0" w:color="auto"/>
              <w:bottom w:val="single" w:sz="4" w:space="0" w:color="auto"/>
              <w:right w:val="single" w:sz="4" w:space="0" w:color="auto"/>
            </w:tcBorders>
          </w:tcPr>
          <w:p w14:paraId="5F4E5F0F" w14:textId="77777777" w:rsidR="00E40E86" w:rsidRPr="00B14AD5" w:rsidRDefault="00E40E86" w:rsidP="00CC1A93">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Poistné a príspevok do poisťovní (620)</w:t>
            </w:r>
          </w:p>
        </w:tc>
        <w:tc>
          <w:tcPr>
            <w:tcW w:w="613" w:type="pct"/>
            <w:tcBorders>
              <w:top w:val="nil"/>
              <w:left w:val="nil"/>
              <w:bottom w:val="single" w:sz="4" w:space="0" w:color="auto"/>
              <w:right w:val="single" w:sz="4" w:space="0" w:color="auto"/>
            </w:tcBorders>
          </w:tcPr>
          <w:p w14:paraId="3F03F3E9" w14:textId="7F3C977D" w:rsidR="00E40E86" w:rsidRPr="00DE7B0C" w:rsidRDefault="006C089E" w:rsidP="00CC1A93">
            <w:pPr>
              <w:spacing w:after="0" w:line="240" w:lineRule="auto"/>
              <w:jc w:val="center"/>
              <w:rPr>
                <w:rFonts w:ascii="Times New Roman" w:eastAsia="Times New Roman" w:hAnsi="Times New Roman" w:cs="Times New Roman"/>
                <w:sz w:val="20"/>
                <w:szCs w:val="20"/>
                <w:highlight w:val="cyan"/>
                <w:lang w:eastAsia="sk-SK"/>
              </w:rPr>
            </w:pPr>
            <w:r>
              <w:rPr>
                <w:rFonts w:ascii="Times New Roman" w:eastAsia="Times New Roman" w:hAnsi="Times New Roman" w:cs="Times New Roman"/>
                <w:sz w:val="20"/>
                <w:szCs w:val="20"/>
                <w:lang w:eastAsia="sk-SK"/>
              </w:rPr>
              <w:t xml:space="preserve">26 736,75 </w:t>
            </w:r>
          </w:p>
        </w:tc>
        <w:tc>
          <w:tcPr>
            <w:tcW w:w="572" w:type="pct"/>
            <w:tcBorders>
              <w:top w:val="nil"/>
              <w:left w:val="nil"/>
              <w:bottom w:val="single" w:sz="4" w:space="0" w:color="auto"/>
              <w:right w:val="single" w:sz="4" w:space="0" w:color="auto"/>
            </w:tcBorders>
          </w:tcPr>
          <w:p w14:paraId="15B0F66E" w14:textId="3A8DEB31" w:rsidR="00E40E86" w:rsidRPr="00DE7B0C" w:rsidRDefault="006C089E" w:rsidP="00CC1A93">
            <w:pPr>
              <w:spacing w:after="0" w:line="240" w:lineRule="auto"/>
              <w:jc w:val="center"/>
              <w:rPr>
                <w:rFonts w:ascii="Times New Roman" w:eastAsia="Times New Roman" w:hAnsi="Times New Roman" w:cs="Times New Roman"/>
                <w:sz w:val="20"/>
                <w:szCs w:val="20"/>
                <w:highlight w:val="cyan"/>
                <w:lang w:eastAsia="sk-SK"/>
              </w:rPr>
            </w:pPr>
            <w:r w:rsidRPr="006C089E">
              <w:rPr>
                <w:rFonts w:ascii="Times New Roman" w:eastAsia="Times New Roman" w:hAnsi="Times New Roman" w:cs="Times New Roman"/>
                <w:sz w:val="20"/>
                <w:szCs w:val="20"/>
                <w:lang w:eastAsia="sk-SK"/>
              </w:rPr>
              <w:t>26 736,75</w:t>
            </w:r>
          </w:p>
        </w:tc>
        <w:tc>
          <w:tcPr>
            <w:tcW w:w="572" w:type="pct"/>
            <w:tcBorders>
              <w:top w:val="nil"/>
              <w:left w:val="nil"/>
              <w:bottom w:val="single" w:sz="4" w:space="0" w:color="auto"/>
              <w:right w:val="single" w:sz="4" w:space="0" w:color="auto"/>
            </w:tcBorders>
          </w:tcPr>
          <w:p w14:paraId="40EAAA0F" w14:textId="594F22CC" w:rsidR="00E40E86" w:rsidRPr="00DE7B0C" w:rsidRDefault="006C089E" w:rsidP="00CC1A93">
            <w:pPr>
              <w:spacing w:after="0" w:line="240" w:lineRule="auto"/>
              <w:jc w:val="center"/>
              <w:rPr>
                <w:rFonts w:ascii="Times New Roman" w:hAnsi="Times New Roman"/>
                <w:sz w:val="20"/>
                <w:highlight w:val="cyan"/>
              </w:rPr>
            </w:pPr>
            <w:r w:rsidRPr="006C089E">
              <w:rPr>
                <w:rFonts w:ascii="Times New Roman" w:hAnsi="Times New Roman"/>
                <w:sz w:val="20"/>
              </w:rPr>
              <w:t>26 736,75</w:t>
            </w:r>
          </w:p>
        </w:tc>
        <w:tc>
          <w:tcPr>
            <w:tcW w:w="614" w:type="pct"/>
            <w:tcBorders>
              <w:top w:val="nil"/>
              <w:left w:val="nil"/>
              <w:bottom w:val="single" w:sz="4" w:space="0" w:color="auto"/>
              <w:right w:val="single" w:sz="4" w:space="0" w:color="auto"/>
            </w:tcBorders>
            <w:noWrap/>
            <w:vAlign w:val="bottom"/>
          </w:tcPr>
          <w:p w14:paraId="058AE1F6" w14:textId="772C659D" w:rsidR="00E40E86" w:rsidRPr="006C089E" w:rsidRDefault="00E40E86" w:rsidP="009D63A6">
            <w:pPr>
              <w:spacing w:after="0" w:line="240" w:lineRule="auto"/>
              <w:rPr>
                <w:rFonts w:ascii="Times New Roman" w:eastAsia="Times New Roman" w:hAnsi="Times New Roman" w:cs="Times New Roman"/>
                <w:sz w:val="16"/>
                <w:szCs w:val="16"/>
                <w:lang w:eastAsia="sk-SK"/>
              </w:rPr>
            </w:pPr>
            <w:r w:rsidRPr="00B14AD5">
              <w:rPr>
                <w:rFonts w:ascii="Times New Roman" w:eastAsia="Times New Roman" w:hAnsi="Times New Roman" w:cs="Times New Roman"/>
                <w:sz w:val="24"/>
                <w:szCs w:val="24"/>
                <w:lang w:eastAsia="sk-SK"/>
              </w:rPr>
              <w:t> </w:t>
            </w:r>
            <w:r w:rsidR="009D63A6" w:rsidRPr="006C089E">
              <w:rPr>
                <w:rFonts w:ascii="Times New Roman" w:eastAsia="Times New Roman" w:hAnsi="Times New Roman" w:cs="Times New Roman"/>
                <w:sz w:val="16"/>
                <w:szCs w:val="16"/>
                <w:lang w:eastAsia="sk-SK"/>
              </w:rPr>
              <w:t>*34,95%_(620)</w:t>
            </w:r>
          </w:p>
        </w:tc>
      </w:tr>
      <w:tr w:rsidR="00E40E86" w:rsidRPr="00B14AD5" w14:paraId="3E70C1B6" w14:textId="77777777" w:rsidTr="006C089E">
        <w:trPr>
          <w:trHeight w:val="250"/>
        </w:trPr>
        <w:tc>
          <w:tcPr>
            <w:tcW w:w="2629" w:type="pct"/>
            <w:tcBorders>
              <w:top w:val="nil"/>
              <w:left w:val="single" w:sz="4" w:space="0" w:color="auto"/>
              <w:bottom w:val="single" w:sz="4" w:space="0" w:color="auto"/>
              <w:right w:val="single" w:sz="4" w:space="0" w:color="auto"/>
            </w:tcBorders>
          </w:tcPr>
          <w:p w14:paraId="18712C3F" w14:textId="77777777" w:rsidR="00E40E86" w:rsidRPr="00B14AD5" w:rsidRDefault="00E40E86" w:rsidP="00CC1A93">
            <w:pPr>
              <w:spacing w:after="0" w:line="240" w:lineRule="auto"/>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Tovary a služby (630)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5116FBF4" w14:textId="13A65871" w:rsidR="00E40E86" w:rsidRPr="00DE7B0C" w:rsidRDefault="00367B5F" w:rsidP="00CC1A93">
            <w:pPr>
              <w:spacing w:after="0" w:line="240" w:lineRule="auto"/>
              <w:jc w:val="center"/>
              <w:rPr>
                <w:rFonts w:ascii="Times New Roman" w:eastAsia="Times New Roman" w:hAnsi="Times New Roman" w:cs="Times New Roman"/>
                <w:sz w:val="20"/>
                <w:szCs w:val="20"/>
                <w:highlight w:val="cyan"/>
                <w:lang w:eastAsia="sk-SK"/>
              </w:rPr>
            </w:pPr>
            <w:r>
              <w:rPr>
                <w:rFonts w:ascii="Times New Roman" w:eastAsia="Times New Roman" w:hAnsi="Times New Roman" w:cs="Times New Roman"/>
                <w:sz w:val="20"/>
                <w:szCs w:val="20"/>
                <w:lang w:eastAsia="sk-SK"/>
              </w:rPr>
              <w:t>12 255,00</w:t>
            </w:r>
          </w:p>
        </w:tc>
        <w:tc>
          <w:tcPr>
            <w:tcW w:w="572" w:type="pct"/>
            <w:tcBorders>
              <w:top w:val="nil"/>
              <w:left w:val="nil"/>
              <w:bottom w:val="single" w:sz="4" w:space="0" w:color="auto"/>
              <w:right w:val="single" w:sz="4" w:space="0" w:color="auto"/>
            </w:tcBorders>
            <w:shd w:val="clear" w:color="auto" w:fill="auto"/>
          </w:tcPr>
          <w:p w14:paraId="79CC932F" w14:textId="77777777" w:rsidR="00E40E86" w:rsidRPr="00CD5BDA" w:rsidRDefault="00E40E86" w:rsidP="00CC1A93">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9 450,00</w:t>
            </w:r>
          </w:p>
        </w:tc>
        <w:tc>
          <w:tcPr>
            <w:tcW w:w="572" w:type="pct"/>
            <w:tcBorders>
              <w:top w:val="nil"/>
              <w:left w:val="nil"/>
              <w:bottom w:val="single" w:sz="4" w:space="0" w:color="auto"/>
              <w:right w:val="single" w:sz="4" w:space="0" w:color="auto"/>
            </w:tcBorders>
            <w:shd w:val="clear" w:color="auto" w:fill="auto"/>
          </w:tcPr>
          <w:p w14:paraId="38376038" w14:textId="77777777" w:rsidR="00E40E86" w:rsidRPr="00CD5BDA" w:rsidRDefault="00E40E86" w:rsidP="00CC1A93">
            <w:pPr>
              <w:spacing w:after="0" w:line="240" w:lineRule="auto"/>
              <w:jc w:val="center"/>
              <w:rPr>
                <w:rFonts w:ascii="Times New Roman" w:hAnsi="Times New Roman"/>
                <w:sz w:val="20"/>
              </w:rPr>
            </w:pPr>
            <w:r w:rsidRPr="00CD5BDA">
              <w:rPr>
                <w:rFonts w:ascii="Times New Roman" w:eastAsia="Times New Roman" w:hAnsi="Times New Roman" w:cs="Times New Roman"/>
                <w:sz w:val="20"/>
                <w:szCs w:val="20"/>
                <w:lang w:eastAsia="sk-SK"/>
              </w:rPr>
              <w:t>9 450,00</w:t>
            </w:r>
          </w:p>
        </w:tc>
        <w:tc>
          <w:tcPr>
            <w:tcW w:w="614" w:type="pct"/>
            <w:tcBorders>
              <w:top w:val="nil"/>
              <w:left w:val="nil"/>
              <w:bottom w:val="single" w:sz="4" w:space="0" w:color="auto"/>
              <w:right w:val="single" w:sz="4" w:space="0" w:color="auto"/>
            </w:tcBorders>
            <w:noWrap/>
            <w:vAlign w:val="bottom"/>
          </w:tcPr>
          <w:p w14:paraId="3F731EC8" w14:textId="77777777" w:rsidR="00E40E86" w:rsidRPr="00B14AD5" w:rsidRDefault="00E40E86" w:rsidP="00CC1A93">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E40E86" w:rsidRPr="00B14AD5" w14:paraId="08635D6F" w14:textId="77777777" w:rsidTr="006C089E">
        <w:trPr>
          <w:trHeight w:val="250"/>
        </w:trPr>
        <w:tc>
          <w:tcPr>
            <w:tcW w:w="2629" w:type="pct"/>
            <w:tcBorders>
              <w:top w:val="nil"/>
              <w:left w:val="single" w:sz="4" w:space="0" w:color="auto"/>
              <w:bottom w:val="single" w:sz="4" w:space="0" w:color="auto"/>
              <w:right w:val="single" w:sz="4" w:space="0" w:color="auto"/>
            </w:tcBorders>
          </w:tcPr>
          <w:p w14:paraId="06C441E8" w14:textId="77777777" w:rsidR="00E40E86" w:rsidRPr="00B14AD5" w:rsidRDefault="00E40E86" w:rsidP="00CC1A93">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Bežné transfery (640)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5B3D81C4" w14:textId="103E73F9" w:rsidR="00E40E86" w:rsidRPr="00DE7B0C" w:rsidRDefault="00367B5F" w:rsidP="00CC1A93">
            <w:pPr>
              <w:spacing w:after="0" w:line="240" w:lineRule="auto"/>
              <w:jc w:val="center"/>
              <w:rPr>
                <w:rFonts w:ascii="Times New Roman" w:eastAsia="Times New Roman" w:hAnsi="Times New Roman" w:cs="Times New Roman"/>
                <w:sz w:val="20"/>
                <w:szCs w:val="20"/>
                <w:highlight w:val="cyan"/>
                <w:lang w:eastAsia="sk-SK"/>
              </w:rPr>
            </w:pPr>
            <w:r>
              <w:rPr>
                <w:rFonts w:ascii="Times New Roman" w:eastAsia="Times New Roman" w:hAnsi="Times New Roman" w:cs="Times New Roman"/>
                <w:sz w:val="20"/>
                <w:szCs w:val="20"/>
                <w:lang w:eastAsia="sk-SK"/>
              </w:rPr>
              <w:t>7 257,60</w:t>
            </w:r>
          </w:p>
        </w:tc>
        <w:tc>
          <w:tcPr>
            <w:tcW w:w="572" w:type="pct"/>
            <w:tcBorders>
              <w:top w:val="nil"/>
              <w:left w:val="nil"/>
              <w:bottom w:val="single" w:sz="4" w:space="0" w:color="auto"/>
              <w:right w:val="single" w:sz="4" w:space="0" w:color="auto"/>
            </w:tcBorders>
          </w:tcPr>
          <w:p w14:paraId="61A82C12" w14:textId="25FC3165" w:rsidR="00E40E86" w:rsidRPr="00DE7B0C" w:rsidRDefault="00367B5F" w:rsidP="00CC1A93">
            <w:pPr>
              <w:spacing w:after="0" w:line="240" w:lineRule="auto"/>
              <w:jc w:val="center"/>
              <w:rPr>
                <w:rFonts w:ascii="Times New Roman" w:eastAsia="Times New Roman" w:hAnsi="Times New Roman" w:cs="Times New Roman"/>
                <w:sz w:val="20"/>
                <w:szCs w:val="20"/>
                <w:highlight w:val="cyan"/>
                <w:lang w:eastAsia="sk-SK"/>
              </w:rPr>
            </w:pPr>
            <w:r w:rsidRPr="00367B5F">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367B5F">
              <w:rPr>
                <w:rFonts w:ascii="Times New Roman" w:eastAsia="Times New Roman" w:hAnsi="Times New Roman" w:cs="Times New Roman"/>
                <w:sz w:val="20"/>
                <w:szCs w:val="20"/>
                <w:lang w:eastAsia="sk-SK"/>
              </w:rPr>
              <w:t>257,60</w:t>
            </w:r>
          </w:p>
        </w:tc>
        <w:tc>
          <w:tcPr>
            <w:tcW w:w="572" w:type="pct"/>
            <w:tcBorders>
              <w:top w:val="nil"/>
              <w:left w:val="nil"/>
              <w:bottom w:val="single" w:sz="4" w:space="0" w:color="auto"/>
              <w:right w:val="single" w:sz="4" w:space="0" w:color="auto"/>
            </w:tcBorders>
          </w:tcPr>
          <w:p w14:paraId="0BAF8FA6" w14:textId="6BDD2C7D" w:rsidR="00E40E86" w:rsidRPr="00DE7B0C" w:rsidRDefault="00367B5F" w:rsidP="00CC1A93">
            <w:pPr>
              <w:spacing w:after="0" w:line="240" w:lineRule="auto"/>
              <w:jc w:val="center"/>
              <w:rPr>
                <w:rFonts w:ascii="Times New Roman" w:hAnsi="Times New Roman"/>
                <w:sz w:val="20"/>
                <w:highlight w:val="cyan"/>
              </w:rPr>
            </w:pPr>
            <w:r w:rsidRPr="00367B5F">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367B5F">
              <w:rPr>
                <w:rFonts w:ascii="Times New Roman" w:eastAsia="Times New Roman" w:hAnsi="Times New Roman" w:cs="Times New Roman"/>
                <w:sz w:val="20"/>
                <w:szCs w:val="20"/>
                <w:lang w:eastAsia="sk-SK"/>
              </w:rPr>
              <w:t>257,60</w:t>
            </w:r>
          </w:p>
        </w:tc>
        <w:tc>
          <w:tcPr>
            <w:tcW w:w="614" w:type="pct"/>
            <w:tcBorders>
              <w:top w:val="nil"/>
              <w:left w:val="nil"/>
              <w:bottom w:val="single" w:sz="4" w:space="0" w:color="auto"/>
              <w:right w:val="single" w:sz="4" w:space="0" w:color="auto"/>
            </w:tcBorders>
            <w:noWrap/>
            <w:vAlign w:val="bottom"/>
          </w:tcPr>
          <w:p w14:paraId="6926965D" w14:textId="19FF0883" w:rsidR="00E40E86" w:rsidRPr="00B14AD5" w:rsidRDefault="00E40E86" w:rsidP="00CC1A93">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r w:rsidR="009D63A6" w:rsidRPr="006C089E">
              <w:rPr>
                <w:rFonts w:ascii="Times New Roman" w:eastAsia="Times New Roman" w:hAnsi="Times New Roman" w:cs="Times New Roman"/>
                <w:sz w:val="16"/>
                <w:szCs w:val="16"/>
                <w:lang w:eastAsia="sk-SK"/>
              </w:rPr>
              <w:t xml:space="preserve">*bez </w:t>
            </w:r>
            <w:proofErr w:type="spellStart"/>
            <w:r w:rsidR="009D63A6" w:rsidRPr="006C089E">
              <w:rPr>
                <w:rFonts w:ascii="Times New Roman" w:eastAsia="Times New Roman" w:hAnsi="Times New Roman" w:cs="Times New Roman"/>
                <w:sz w:val="16"/>
                <w:szCs w:val="16"/>
                <w:lang w:eastAsia="sk-SK"/>
              </w:rPr>
              <w:t>nem.dávok</w:t>
            </w:r>
            <w:proofErr w:type="spellEnd"/>
            <w:r w:rsidR="009D63A6">
              <w:rPr>
                <w:rFonts w:ascii="Times New Roman" w:eastAsia="Times New Roman" w:hAnsi="Times New Roman" w:cs="Times New Roman"/>
                <w:sz w:val="16"/>
                <w:szCs w:val="16"/>
                <w:lang w:eastAsia="sk-SK"/>
              </w:rPr>
              <w:t xml:space="preserve"> (640)</w:t>
            </w:r>
          </w:p>
        </w:tc>
      </w:tr>
      <w:tr w:rsidR="00E40E86" w:rsidRPr="00B14AD5" w14:paraId="7000FE27" w14:textId="77777777" w:rsidTr="006C089E">
        <w:trPr>
          <w:trHeight w:val="250"/>
        </w:trPr>
        <w:tc>
          <w:tcPr>
            <w:tcW w:w="2629" w:type="pct"/>
            <w:tcBorders>
              <w:top w:val="nil"/>
              <w:left w:val="single" w:sz="4" w:space="0" w:color="auto"/>
              <w:bottom w:val="single" w:sz="4" w:space="0" w:color="auto"/>
              <w:right w:val="single" w:sz="4" w:space="0" w:color="auto"/>
            </w:tcBorders>
            <w:vAlign w:val="center"/>
          </w:tcPr>
          <w:p w14:paraId="67041129" w14:textId="77777777" w:rsidR="00E40E86" w:rsidRPr="00B14AD5" w:rsidRDefault="00E40E86" w:rsidP="00CC1A93">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Splácanie úrokov a ostatné platby súvisiace s </w:t>
            </w:r>
            <w:r w:rsidRPr="00B14AD5">
              <w:t xml:space="preserve"> </w:t>
            </w:r>
            <w:r w:rsidRPr="00B14AD5">
              <w:rPr>
                <w:rFonts w:ascii="Times New Roman" w:eastAsia="Times New Roman" w:hAnsi="Times New Roman" w:cs="Times New Roman"/>
                <w:sz w:val="20"/>
                <w:szCs w:val="20"/>
                <w:lang w:eastAsia="sk-SK"/>
              </w:rPr>
              <w:t>úverom, pôžičkou, návratnou finančnou výpomocou a finančným prenájmom (650)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58B1CCBB" w14:textId="2C65CF14" w:rsidR="00E40E86" w:rsidRPr="00B14AD5" w:rsidRDefault="001370DD" w:rsidP="00CC1A9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3807F8B4" w14:textId="5B6F0CC1" w:rsidR="00E40E86" w:rsidRPr="00B14AD5" w:rsidRDefault="001370DD" w:rsidP="00CC1A9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24DCD1E8" w14:textId="3B5FCE20" w:rsidR="00E40E86" w:rsidRPr="00CD5BDA" w:rsidRDefault="001370DD" w:rsidP="00CC1A93">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614" w:type="pct"/>
            <w:tcBorders>
              <w:top w:val="nil"/>
              <w:left w:val="nil"/>
              <w:bottom w:val="single" w:sz="4" w:space="0" w:color="auto"/>
              <w:right w:val="single" w:sz="4" w:space="0" w:color="auto"/>
            </w:tcBorders>
            <w:noWrap/>
            <w:vAlign w:val="bottom"/>
          </w:tcPr>
          <w:p w14:paraId="466D73D1" w14:textId="77777777" w:rsidR="00E40E86" w:rsidRPr="00B14AD5" w:rsidRDefault="00E40E86" w:rsidP="00CC1A93">
            <w:pPr>
              <w:spacing w:after="0" w:line="240" w:lineRule="auto"/>
              <w:rPr>
                <w:rFonts w:ascii="Times New Roman" w:eastAsia="Times New Roman" w:hAnsi="Times New Roman" w:cs="Times New Roman"/>
                <w:sz w:val="24"/>
                <w:szCs w:val="24"/>
                <w:lang w:eastAsia="sk-SK"/>
              </w:rPr>
            </w:pPr>
          </w:p>
        </w:tc>
      </w:tr>
      <w:tr w:rsidR="00E40E86" w:rsidRPr="00B14AD5" w14:paraId="45626944" w14:textId="77777777" w:rsidTr="006C089E">
        <w:trPr>
          <w:trHeight w:val="250"/>
        </w:trPr>
        <w:tc>
          <w:tcPr>
            <w:tcW w:w="2629" w:type="pct"/>
            <w:tcBorders>
              <w:top w:val="nil"/>
              <w:left w:val="single" w:sz="4" w:space="0" w:color="auto"/>
              <w:bottom w:val="single" w:sz="4" w:space="0" w:color="auto"/>
              <w:right w:val="single" w:sz="4" w:space="0" w:color="auto"/>
            </w:tcBorders>
          </w:tcPr>
          <w:p w14:paraId="71230737" w14:textId="77777777" w:rsidR="00E40E86" w:rsidRPr="00B14AD5" w:rsidRDefault="00E40E86" w:rsidP="00CC1A93">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Kapitálové výdavky (700)</w:t>
            </w:r>
          </w:p>
        </w:tc>
        <w:tc>
          <w:tcPr>
            <w:tcW w:w="613" w:type="pct"/>
            <w:tcBorders>
              <w:top w:val="nil"/>
              <w:left w:val="nil"/>
              <w:bottom w:val="single" w:sz="4" w:space="0" w:color="auto"/>
              <w:right w:val="single" w:sz="4" w:space="0" w:color="auto"/>
            </w:tcBorders>
          </w:tcPr>
          <w:p w14:paraId="00BC7812" w14:textId="50F11A00" w:rsidR="00E40E86" w:rsidRPr="00CD5BDA" w:rsidRDefault="001370DD" w:rsidP="00CC1A93">
            <w:pPr>
              <w:spacing w:after="0" w:line="240" w:lineRule="auto"/>
              <w:jc w:val="center"/>
              <w:rPr>
                <w:rFonts w:ascii="Times New Roman" w:eastAsia="Times New Roman" w:hAnsi="Times New Roman" w:cs="Times New Roman"/>
                <w:b/>
                <w:bCs/>
                <w:sz w:val="20"/>
                <w:szCs w:val="20"/>
                <w:lang w:eastAsia="sk-SK"/>
              </w:rPr>
            </w:pPr>
            <w:r w:rsidRPr="00CD5BDA">
              <w:rPr>
                <w:rFonts w:ascii="Times New Roman" w:eastAsia="Times New Roman" w:hAnsi="Times New Roman" w:cs="Times New Roman"/>
                <w:b/>
                <w:bCs/>
                <w:sz w:val="20"/>
                <w:szCs w:val="20"/>
                <w:lang w:eastAsia="sk-SK"/>
              </w:rPr>
              <w:t>0,00</w:t>
            </w:r>
          </w:p>
        </w:tc>
        <w:tc>
          <w:tcPr>
            <w:tcW w:w="572" w:type="pct"/>
            <w:tcBorders>
              <w:top w:val="nil"/>
              <w:left w:val="nil"/>
              <w:bottom w:val="single" w:sz="4" w:space="0" w:color="auto"/>
              <w:right w:val="single" w:sz="4" w:space="0" w:color="auto"/>
            </w:tcBorders>
          </w:tcPr>
          <w:p w14:paraId="5956F074" w14:textId="4CBF3E73" w:rsidR="00E40E86" w:rsidRPr="00CD5BDA" w:rsidRDefault="001370DD" w:rsidP="00CC1A93">
            <w:pPr>
              <w:spacing w:after="0" w:line="240" w:lineRule="auto"/>
              <w:jc w:val="center"/>
              <w:rPr>
                <w:rFonts w:ascii="Times New Roman" w:eastAsia="Times New Roman" w:hAnsi="Times New Roman" w:cs="Times New Roman"/>
                <w:b/>
                <w:bCs/>
                <w:sz w:val="20"/>
                <w:szCs w:val="20"/>
                <w:lang w:eastAsia="sk-SK"/>
              </w:rPr>
            </w:pPr>
            <w:r w:rsidRPr="00CD5BDA">
              <w:rPr>
                <w:rFonts w:ascii="Times New Roman" w:eastAsia="Times New Roman" w:hAnsi="Times New Roman" w:cs="Times New Roman"/>
                <w:b/>
                <w:bCs/>
                <w:sz w:val="20"/>
                <w:szCs w:val="20"/>
                <w:lang w:eastAsia="sk-SK"/>
              </w:rPr>
              <w:t>0,00</w:t>
            </w:r>
          </w:p>
        </w:tc>
        <w:tc>
          <w:tcPr>
            <w:tcW w:w="572" w:type="pct"/>
            <w:tcBorders>
              <w:top w:val="nil"/>
              <w:left w:val="nil"/>
              <w:bottom w:val="single" w:sz="4" w:space="0" w:color="auto"/>
              <w:right w:val="single" w:sz="4" w:space="0" w:color="auto"/>
            </w:tcBorders>
          </w:tcPr>
          <w:p w14:paraId="77536888" w14:textId="7B099012" w:rsidR="00E40E86" w:rsidRPr="00CD5BDA" w:rsidRDefault="001370DD" w:rsidP="00CC1A93">
            <w:pPr>
              <w:spacing w:after="0" w:line="240" w:lineRule="auto"/>
              <w:jc w:val="center"/>
              <w:rPr>
                <w:rFonts w:ascii="Times New Roman" w:eastAsia="Times New Roman" w:hAnsi="Times New Roman" w:cs="Times New Roman"/>
                <w:b/>
                <w:bCs/>
                <w:sz w:val="20"/>
                <w:szCs w:val="20"/>
                <w:lang w:eastAsia="sk-SK"/>
              </w:rPr>
            </w:pPr>
            <w:r w:rsidRPr="00CD5BDA">
              <w:rPr>
                <w:rFonts w:ascii="Times New Roman" w:eastAsia="Times New Roman" w:hAnsi="Times New Roman" w:cs="Times New Roman"/>
                <w:b/>
                <w:bCs/>
                <w:sz w:val="20"/>
                <w:szCs w:val="20"/>
                <w:lang w:eastAsia="sk-SK"/>
              </w:rPr>
              <w:t>0,00</w:t>
            </w:r>
          </w:p>
        </w:tc>
        <w:tc>
          <w:tcPr>
            <w:tcW w:w="614" w:type="pct"/>
            <w:tcBorders>
              <w:top w:val="nil"/>
              <w:left w:val="nil"/>
              <w:bottom w:val="single" w:sz="4" w:space="0" w:color="auto"/>
              <w:right w:val="single" w:sz="4" w:space="0" w:color="auto"/>
            </w:tcBorders>
            <w:noWrap/>
            <w:vAlign w:val="bottom"/>
          </w:tcPr>
          <w:p w14:paraId="55DE1F44" w14:textId="4C1D0736" w:rsidR="00E40E86" w:rsidRPr="00B14AD5" w:rsidRDefault="00E40E86" w:rsidP="009D63A6">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E40E86" w:rsidRPr="00B14AD5" w14:paraId="6CB733B9" w14:textId="77777777" w:rsidTr="006C089E">
        <w:trPr>
          <w:trHeight w:val="250"/>
        </w:trPr>
        <w:tc>
          <w:tcPr>
            <w:tcW w:w="2629" w:type="pct"/>
            <w:tcBorders>
              <w:top w:val="nil"/>
              <w:left w:val="single" w:sz="4" w:space="0" w:color="auto"/>
              <w:bottom w:val="single" w:sz="4" w:space="0" w:color="auto"/>
              <w:right w:val="single" w:sz="4" w:space="0" w:color="auto"/>
            </w:tcBorders>
          </w:tcPr>
          <w:p w14:paraId="6B6D2F51" w14:textId="77777777" w:rsidR="00E40E86" w:rsidRPr="00B14AD5" w:rsidRDefault="00E40E86" w:rsidP="00CC1A93">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Obstarávanie kapitálových aktív (710)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2F8A426A" w14:textId="64D65612" w:rsidR="00E40E86" w:rsidRPr="00CD5BDA" w:rsidRDefault="001370DD" w:rsidP="00CC1A93">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6622B093" w14:textId="0F897779" w:rsidR="00E40E86" w:rsidRPr="00CD5BDA" w:rsidRDefault="001370DD" w:rsidP="00CC1A93">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5BDCEFF6" w14:textId="2754EE44" w:rsidR="00E40E86" w:rsidRPr="00CD5BDA" w:rsidRDefault="001370DD" w:rsidP="00CC1A93">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614" w:type="pct"/>
            <w:tcBorders>
              <w:top w:val="nil"/>
              <w:left w:val="nil"/>
              <w:bottom w:val="single" w:sz="4" w:space="0" w:color="auto"/>
              <w:right w:val="single" w:sz="4" w:space="0" w:color="auto"/>
            </w:tcBorders>
            <w:noWrap/>
            <w:vAlign w:val="bottom"/>
          </w:tcPr>
          <w:p w14:paraId="45EE942C" w14:textId="1124AD75" w:rsidR="00E40E86" w:rsidRPr="00B14AD5" w:rsidRDefault="00E40E86" w:rsidP="009D63A6">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E40E86" w:rsidRPr="00B14AD5" w14:paraId="4C6FBA92" w14:textId="77777777" w:rsidTr="006C089E">
        <w:trPr>
          <w:trHeight w:val="250"/>
        </w:trPr>
        <w:tc>
          <w:tcPr>
            <w:tcW w:w="2629" w:type="pct"/>
            <w:tcBorders>
              <w:top w:val="nil"/>
              <w:left w:val="single" w:sz="4" w:space="0" w:color="auto"/>
              <w:bottom w:val="single" w:sz="4" w:space="0" w:color="auto"/>
              <w:right w:val="single" w:sz="4" w:space="0" w:color="auto"/>
            </w:tcBorders>
          </w:tcPr>
          <w:p w14:paraId="4B4834F2" w14:textId="77777777" w:rsidR="00E40E86" w:rsidRPr="00B14AD5" w:rsidRDefault="00E40E86" w:rsidP="00CC1A93">
            <w:pPr>
              <w:spacing w:after="0" w:line="240" w:lineRule="auto"/>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Kapitálové transfery (720)</w:t>
            </w:r>
            <w:r w:rsidRPr="00B14AD5">
              <w:rPr>
                <w:rFonts w:ascii="Times New Roman" w:eastAsia="Times New Roman" w:hAnsi="Times New Roman" w:cs="Times New Roman"/>
                <w:sz w:val="20"/>
                <w:szCs w:val="20"/>
                <w:vertAlign w:val="superscript"/>
                <w:lang w:eastAsia="sk-SK"/>
              </w:rPr>
              <w:t>2</w:t>
            </w:r>
          </w:p>
        </w:tc>
        <w:tc>
          <w:tcPr>
            <w:tcW w:w="613" w:type="pct"/>
            <w:tcBorders>
              <w:top w:val="nil"/>
              <w:left w:val="nil"/>
              <w:bottom w:val="single" w:sz="4" w:space="0" w:color="auto"/>
              <w:right w:val="single" w:sz="4" w:space="0" w:color="auto"/>
            </w:tcBorders>
          </w:tcPr>
          <w:p w14:paraId="7C641AC8" w14:textId="5A524A16" w:rsidR="00E40E86" w:rsidRPr="00CD5BDA" w:rsidRDefault="001370DD" w:rsidP="00CC1A93">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27646A69" w14:textId="68BD2287" w:rsidR="00E40E86" w:rsidRPr="00CD5BDA" w:rsidRDefault="001370DD" w:rsidP="00CC1A93">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572" w:type="pct"/>
            <w:tcBorders>
              <w:top w:val="nil"/>
              <w:left w:val="nil"/>
              <w:bottom w:val="single" w:sz="4" w:space="0" w:color="auto"/>
              <w:right w:val="single" w:sz="4" w:space="0" w:color="auto"/>
            </w:tcBorders>
          </w:tcPr>
          <w:p w14:paraId="52530C72" w14:textId="6B984B49" w:rsidR="00E40E86" w:rsidRPr="00CD5BDA" w:rsidRDefault="001370DD" w:rsidP="00CC1A93">
            <w:pPr>
              <w:spacing w:after="0" w:line="240" w:lineRule="auto"/>
              <w:jc w:val="center"/>
              <w:rPr>
                <w:rFonts w:ascii="Times New Roman" w:eastAsia="Times New Roman" w:hAnsi="Times New Roman" w:cs="Times New Roman"/>
                <w:sz w:val="20"/>
                <w:szCs w:val="20"/>
                <w:lang w:eastAsia="sk-SK"/>
              </w:rPr>
            </w:pPr>
            <w:r w:rsidRPr="00CD5BDA">
              <w:rPr>
                <w:rFonts w:ascii="Times New Roman" w:eastAsia="Times New Roman" w:hAnsi="Times New Roman" w:cs="Times New Roman"/>
                <w:sz w:val="20"/>
                <w:szCs w:val="20"/>
                <w:lang w:eastAsia="sk-SK"/>
              </w:rPr>
              <w:t>0</w:t>
            </w:r>
          </w:p>
        </w:tc>
        <w:tc>
          <w:tcPr>
            <w:tcW w:w="614" w:type="pct"/>
            <w:tcBorders>
              <w:top w:val="nil"/>
              <w:left w:val="nil"/>
              <w:bottom w:val="single" w:sz="4" w:space="0" w:color="auto"/>
              <w:right w:val="single" w:sz="4" w:space="0" w:color="auto"/>
            </w:tcBorders>
            <w:noWrap/>
            <w:vAlign w:val="bottom"/>
          </w:tcPr>
          <w:p w14:paraId="57114422" w14:textId="77777777" w:rsidR="00E40E86" w:rsidRPr="00B14AD5" w:rsidRDefault="00E40E86" w:rsidP="00CC1A93">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E40E86" w:rsidRPr="00B14AD5" w14:paraId="4C2D60C0" w14:textId="77777777" w:rsidTr="006C089E">
        <w:trPr>
          <w:trHeight w:val="250"/>
        </w:trPr>
        <w:tc>
          <w:tcPr>
            <w:tcW w:w="2629" w:type="pct"/>
            <w:tcBorders>
              <w:top w:val="nil"/>
              <w:left w:val="single" w:sz="4" w:space="0" w:color="auto"/>
              <w:bottom w:val="single" w:sz="4" w:space="0" w:color="auto"/>
              <w:right w:val="single" w:sz="4" w:space="0" w:color="auto"/>
            </w:tcBorders>
          </w:tcPr>
          <w:p w14:paraId="7555544B" w14:textId="77777777" w:rsidR="00E40E86" w:rsidRPr="00B14AD5" w:rsidRDefault="00E40E86" w:rsidP="00CC1A93">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z transakcií s finančnými aktívami a finančnými pasívami (800)</w:t>
            </w:r>
          </w:p>
        </w:tc>
        <w:tc>
          <w:tcPr>
            <w:tcW w:w="613" w:type="pct"/>
            <w:tcBorders>
              <w:top w:val="nil"/>
              <w:left w:val="nil"/>
              <w:bottom w:val="single" w:sz="4" w:space="0" w:color="auto"/>
              <w:right w:val="single" w:sz="4" w:space="0" w:color="auto"/>
            </w:tcBorders>
            <w:shd w:val="clear" w:color="auto" w:fill="FFFF99"/>
          </w:tcPr>
          <w:p w14:paraId="55A9F9C9" w14:textId="77777777" w:rsidR="00E40E86" w:rsidRPr="00B14AD5" w:rsidRDefault="00E40E86" w:rsidP="00CC1A93">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 </w:t>
            </w:r>
          </w:p>
        </w:tc>
        <w:tc>
          <w:tcPr>
            <w:tcW w:w="572" w:type="pct"/>
            <w:tcBorders>
              <w:top w:val="nil"/>
              <w:left w:val="nil"/>
              <w:bottom w:val="single" w:sz="4" w:space="0" w:color="auto"/>
              <w:right w:val="single" w:sz="4" w:space="0" w:color="auto"/>
            </w:tcBorders>
            <w:shd w:val="clear" w:color="auto" w:fill="FFFF99"/>
          </w:tcPr>
          <w:p w14:paraId="74E067F0" w14:textId="77777777" w:rsidR="00E40E86" w:rsidRPr="00B14AD5" w:rsidRDefault="00E40E86" w:rsidP="00CC1A93">
            <w:pPr>
              <w:spacing w:after="0" w:line="240" w:lineRule="auto"/>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 </w:t>
            </w:r>
          </w:p>
        </w:tc>
        <w:tc>
          <w:tcPr>
            <w:tcW w:w="572" w:type="pct"/>
            <w:tcBorders>
              <w:top w:val="nil"/>
              <w:left w:val="nil"/>
              <w:bottom w:val="single" w:sz="4" w:space="0" w:color="auto"/>
              <w:right w:val="single" w:sz="4" w:space="0" w:color="auto"/>
            </w:tcBorders>
            <w:shd w:val="clear" w:color="auto" w:fill="FFFF99"/>
          </w:tcPr>
          <w:p w14:paraId="60004CCF" w14:textId="77777777" w:rsidR="00E40E86" w:rsidRPr="00B14AD5" w:rsidRDefault="00E40E86" w:rsidP="00CC1A93">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c>
          <w:tcPr>
            <w:tcW w:w="614" w:type="pct"/>
            <w:tcBorders>
              <w:top w:val="nil"/>
              <w:left w:val="nil"/>
              <w:bottom w:val="single" w:sz="4" w:space="0" w:color="auto"/>
              <w:right w:val="single" w:sz="4" w:space="0" w:color="auto"/>
            </w:tcBorders>
            <w:noWrap/>
            <w:vAlign w:val="bottom"/>
          </w:tcPr>
          <w:p w14:paraId="068F8D53" w14:textId="77777777" w:rsidR="00E40E86" w:rsidRPr="00B14AD5" w:rsidRDefault="00E40E86" w:rsidP="00CC1A93">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367B5F" w:rsidRPr="00B14AD5" w14:paraId="531F7C41" w14:textId="77777777" w:rsidTr="009D63A6">
        <w:trPr>
          <w:trHeight w:val="250"/>
        </w:trPr>
        <w:tc>
          <w:tcPr>
            <w:tcW w:w="2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5770D" w14:textId="77777777" w:rsidR="00367B5F" w:rsidRPr="00B14AD5" w:rsidRDefault="00367B5F" w:rsidP="00367B5F">
            <w:pPr>
              <w:spacing w:after="0" w:line="240" w:lineRule="auto"/>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Dopad na výdavky verejnej správy celkom</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tcPr>
          <w:p w14:paraId="5D860DE5" w14:textId="685D2CE7" w:rsidR="00367B5F" w:rsidRPr="00367B5F" w:rsidRDefault="00313D1D" w:rsidP="00367B5F">
            <w:pPr>
              <w:spacing w:after="0" w:line="240" w:lineRule="auto"/>
              <w:jc w:val="center"/>
              <w:rPr>
                <w:rFonts w:ascii="Times New Roman" w:eastAsia="Times New Roman" w:hAnsi="Times New Roman" w:cs="Times New Roman"/>
                <w:b/>
                <w:sz w:val="20"/>
                <w:szCs w:val="20"/>
                <w:lang w:eastAsia="sk-SK"/>
              </w:rPr>
            </w:pPr>
            <w:r>
              <w:rPr>
                <w:rFonts w:ascii="Times New Roman" w:hAnsi="Times New Roman" w:cs="Times New Roman"/>
                <w:b/>
                <w:sz w:val="20"/>
                <w:szCs w:val="20"/>
              </w:rPr>
              <w:t>122 74</w:t>
            </w:r>
            <w:r w:rsidR="00367B5F" w:rsidRPr="00367B5F">
              <w:rPr>
                <w:rFonts w:ascii="Times New Roman" w:hAnsi="Times New Roman" w:cs="Times New Roman"/>
                <w:b/>
                <w:sz w:val="20"/>
                <w:szCs w:val="20"/>
              </w:rPr>
              <w:t>9,35</w:t>
            </w:r>
          </w:p>
        </w:tc>
        <w:tc>
          <w:tcPr>
            <w:tcW w:w="572" w:type="pct"/>
            <w:tcBorders>
              <w:top w:val="single" w:sz="4" w:space="0" w:color="auto"/>
              <w:left w:val="nil"/>
              <w:bottom w:val="single" w:sz="4" w:space="0" w:color="auto"/>
              <w:right w:val="single" w:sz="4" w:space="0" w:color="auto"/>
            </w:tcBorders>
            <w:shd w:val="clear" w:color="auto" w:fill="BFBFBF" w:themeFill="background1" w:themeFillShade="BF"/>
          </w:tcPr>
          <w:p w14:paraId="7ACFFA6E" w14:textId="213CCC81" w:rsidR="00367B5F" w:rsidRPr="00367B5F" w:rsidRDefault="00367B5F" w:rsidP="00367B5F">
            <w:pPr>
              <w:spacing w:after="0" w:line="240" w:lineRule="auto"/>
              <w:jc w:val="center"/>
              <w:rPr>
                <w:rFonts w:ascii="Times New Roman" w:eastAsia="Times New Roman" w:hAnsi="Times New Roman" w:cs="Times New Roman"/>
                <w:b/>
                <w:sz w:val="20"/>
                <w:szCs w:val="20"/>
                <w:lang w:eastAsia="sk-SK"/>
              </w:rPr>
            </w:pPr>
            <w:r w:rsidRPr="00367B5F">
              <w:rPr>
                <w:rFonts w:ascii="Times New Roman" w:hAnsi="Times New Roman" w:cs="Times New Roman"/>
                <w:b/>
                <w:sz w:val="20"/>
                <w:szCs w:val="20"/>
              </w:rPr>
              <w:t>119 944,35</w:t>
            </w:r>
          </w:p>
        </w:tc>
        <w:tc>
          <w:tcPr>
            <w:tcW w:w="572" w:type="pct"/>
            <w:tcBorders>
              <w:top w:val="single" w:sz="4" w:space="0" w:color="auto"/>
              <w:left w:val="nil"/>
              <w:bottom w:val="single" w:sz="4" w:space="0" w:color="auto"/>
              <w:right w:val="single" w:sz="4" w:space="0" w:color="auto"/>
            </w:tcBorders>
            <w:shd w:val="clear" w:color="auto" w:fill="BFBFBF" w:themeFill="background1" w:themeFillShade="BF"/>
          </w:tcPr>
          <w:p w14:paraId="17C751EA" w14:textId="6AF39959" w:rsidR="00367B5F" w:rsidRPr="00367B5F" w:rsidRDefault="00367B5F" w:rsidP="00367B5F">
            <w:pPr>
              <w:spacing w:after="0" w:line="240" w:lineRule="auto"/>
              <w:jc w:val="center"/>
              <w:rPr>
                <w:rFonts w:ascii="Times New Roman" w:eastAsia="Times New Roman" w:hAnsi="Times New Roman" w:cs="Times New Roman"/>
                <w:b/>
                <w:sz w:val="20"/>
                <w:szCs w:val="20"/>
                <w:lang w:eastAsia="sk-SK"/>
              </w:rPr>
            </w:pPr>
            <w:r w:rsidRPr="00367B5F">
              <w:rPr>
                <w:rFonts w:ascii="Times New Roman" w:hAnsi="Times New Roman" w:cs="Times New Roman"/>
                <w:b/>
                <w:sz w:val="20"/>
                <w:szCs w:val="20"/>
              </w:rPr>
              <w:t>119 944,35</w:t>
            </w:r>
          </w:p>
        </w:tc>
        <w:tc>
          <w:tcPr>
            <w:tcW w:w="614"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49E2C8A" w14:textId="77777777" w:rsidR="00367B5F" w:rsidRPr="00B14AD5" w:rsidRDefault="00367B5F" w:rsidP="00367B5F">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bl>
    <w:p w14:paraId="76C827DC" w14:textId="2650347C" w:rsid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DFA4732" w14:textId="77777777" w:rsidR="00E40E86" w:rsidRPr="00B14AD5" w:rsidRDefault="00E40E86"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6554776"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18CB7DB7"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32B84353"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401D888B"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322055AF"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1CDAE77D"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7EBAD51A"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0066AD56"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5E17D849"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283E3113"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0186575C"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5E8835E9"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416600D9" w14:textId="77777777" w:rsidR="001370DD" w:rsidRPr="00367B5F" w:rsidRDefault="001370D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F9236E3" w14:textId="77777777" w:rsidR="001370DD" w:rsidRDefault="001370D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77AE18B5" w14:textId="24EFD384" w:rsidR="007D5748" w:rsidRPr="00B14AD5"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4"/>
          <w:szCs w:val="20"/>
          <w:lang w:eastAsia="sk-SK"/>
        </w:rPr>
        <w:t>Poznámka:</w:t>
      </w:r>
    </w:p>
    <w:p w14:paraId="6CF6C645" w14:textId="6E558E61"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52214245"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0F83EFC"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95354C"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D2A5FBB"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DA74879"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59424FF"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F5C18B6"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B2CE24C"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3F251D5"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3A1226"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8D7175F"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EA849A4"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91DDFE8"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A23C47D"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935B6E5"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CB62D9B" w14:textId="77777777" w:rsidR="007D5748" w:rsidRPr="00B14AD5"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0078EA" w14:textId="77777777" w:rsidR="007D5748" w:rsidRPr="00B14AD5"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B14AD5">
        <w:rPr>
          <w:rFonts w:ascii="Times New Roman" w:eastAsia="Times New Roman" w:hAnsi="Times New Roman" w:cs="Times New Roman"/>
          <w:bCs/>
          <w:sz w:val="24"/>
          <w:szCs w:val="24"/>
          <w:lang w:eastAsia="sk-SK"/>
        </w:rPr>
        <w:t xml:space="preserve">                 Tabuľka č. 5 </w:t>
      </w:r>
    </w:p>
    <w:p w14:paraId="412B682C" w14:textId="77777777" w:rsidR="007D5748" w:rsidRPr="00B14AD5"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5000" w:type="pct"/>
        <w:tblLayout w:type="fixed"/>
        <w:tblCellMar>
          <w:left w:w="70" w:type="dxa"/>
          <w:right w:w="70" w:type="dxa"/>
        </w:tblCellMar>
        <w:tblLook w:val="0000" w:firstRow="0" w:lastRow="0" w:firstColumn="0" w:lastColumn="0" w:noHBand="0" w:noVBand="0"/>
      </w:tblPr>
      <w:tblGrid>
        <w:gridCol w:w="5727"/>
        <w:gridCol w:w="1666"/>
        <w:gridCol w:w="213"/>
        <w:gridCol w:w="1666"/>
        <w:gridCol w:w="297"/>
        <w:gridCol w:w="613"/>
        <w:gridCol w:w="1058"/>
        <w:gridCol w:w="255"/>
        <w:gridCol w:w="2159"/>
        <w:gridCol w:w="160"/>
        <w:gridCol w:w="185"/>
      </w:tblGrid>
      <w:tr w:rsidR="00CD5BDA" w:rsidRPr="00B14AD5" w14:paraId="3E73F17F" w14:textId="77777777" w:rsidTr="00CD5BDA">
        <w:trPr>
          <w:gridAfter w:val="2"/>
          <w:wAfter w:w="123" w:type="pct"/>
          <w:cantSplit/>
          <w:trHeight w:val="255"/>
        </w:trPr>
        <w:tc>
          <w:tcPr>
            <w:tcW w:w="204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483E8B" w14:textId="77777777" w:rsidR="00CD5BDA" w:rsidRPr="00B14AD5" w:rsidRDefault="00CD5BDA"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Zamestnanosť</w:t>
            </w:r>
          </w:p>
        </w:tc>
        <w:tc>
          <w:tcPr>
            <w:tcW w:w="2831" w:type="pct"/>
            <w:gridSpan w:val="8"/>
            <w:tcBorders>
              <w:top w:val="single" w:sz="4" w:space="0" w:color="auto"/>
              <w:left w:val="nil"/>
              <w:bottom w:val="single" w:sz="4" w:space="0" w:color="auto"/>
            </w:tcBorders>
            <w:shd w:val="clear" w:color="auto" w:fill="BFBFBF" w:themeFill="background1" w:themeFillShade="BF"/>
          </w:tcPr>
          <w:p w14:paraId="23943D2E" w14:textId="77777777" w:rsidR="00CD5BDA" w:rsidRPr="00B14AD5" w:rsidRDefault="00CD5BDA" w:rsidP="007D5748">
            <w:pPr>
              <w:spacing w:after="0" w:line="240" w:lineRule="auto"/>
              <w:jc w:val="center"/>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Vplyv na rozpočet verejnej správy</w:t>
            </w:r>
          </w:p>
        </w:tc>
      </w:tr>
      <w:tr w:rsidR="00E40E86" w:rsidRPr="00B14AD5" w14:paraId="19BCE8BB" w14:textId="77777777" w:rsidTr="00CD5BDA">
        <w:trPr>
          <w:gridAfter w:val="2"/>
          <w:wAfter w:w="123" w:type="pct"/>
          <w:cantSplit/>
          <w:trHeight w:val="255"/>
        </w:trPr>
        <w:tc>
          <w:tcPr>
            <w:tcW w:w="2046"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46936" w14:textId="77777777" w:rsidR="00E40E86" w:rsidRPr="00B14AD5" w:rsidRDefault="00E40E86" w:rsidP="007D5748">
            <w:pPr>
              <w:spacing w:after="0" w:line="240" w:lineRule="auto"/>
              <w:rPr>
                <w:rFonts w:ascii="Times New Roman" w:eastAsia="Times New Roman" w:hAnsi="Times New Roman" w:cs="Times New Roman"/>
                <w:b/>
                <w:bCs/>
                <w:sz w:val="24"/>
                <w:szCs w:val="24"/>
                <w:lang w:eastAsia="sk-SK"/>
              </w:rPr>
            </w:pPr>
          </w:p>
        </w:tc>
        <w:tc>
          <w:tcPr>
            <w:tcW w:w="671" w:type="pct"/>
            <w:gridSpan w:val="2"/>
            <w:tcBorders>
              <w:top w:val="nil"/>
              <w:left w:val="nil"/>
              <w:bottom w:val="single" w:sz="4" w:space="0" w:color="auto"/>
              <w:right w:val="single" w:sz="4" w:space="0" w:color="auto"/>
            </w:tcBorders>
            <w:shd w:val="clear" w:color="auto" w:fill="BFBFBF" w:themeFill="background1" w:themeFillShade="BF"/>
          </w:tcPr>
          <w:p w14:paraId="6B966795" w14:textId="5E6A06DE" w:rsidR="00E40E86" w:rsidRPr="00B14AD5" w:rsidRDefault="00E40E8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701" w:type="pct"/>
            <w:gridSpan w:val="2"/>
            <w:tcBorders>
              <w:top w:val="nil"/>
              <w:left w:val="nil"/>
              <w:bottom w:val="single" w:sz="4" w:space="0" w:color="auto"/>
              <w:right w:val="single" w:sz="4" w:space="0" w:color="auto"/>
            </w:tcBorders>
            <w:shd w:val="clear" w:color="auto" w:fill="BFBFBF" w:themeFill="background1" w:themeFillShade="BF"/>
          </w:tcPr>
          <w:p w14:paraId="0410A260" w14:textId="249662D1" w:rsidR="00E40E86" w:rsidRPr="00B14AD5" w:rsidRDefault="00E40E8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597" w:type="pct"/>
            <w:gridSpan w:val="2"/>
            <w:tcBorders>
              <w:top w:val="nil"/>
              <w:left w:val="nil"/>
              <w:bottom w:val="single" w:sz="4" w:space="0" w:color="auto"/>
              <w:right w:val="single" w:sz="4" w:space="0" w:color="auto"/>
            </w:tcBorders>
            <w:shd w:val="clear" w:color="auto" w:fill="BFBFBF" w:themeFill="background1" w:themeFillShade="BF"/>
          </w:tcPr>
          <w:p w14:paraId="0D31F3A7" w14:textId="3859C28B" w:rsidR="00E40E86" w:rsidRPr="00B14AD5" w:rsidRDefault="00E40E8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8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5CF8AD" w14:textId="05085612" w:rsidR="00E40E86" w:rsidRPr="00B14AD5" w:rsidRDefault="00E40E86" w:rsidP="007D5748">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E40E86" w:rsidRPr="00B14AD5" w14:paraId="17FC1CE9" w14:textId="77777777" w:rsidTr="00CD5BDA">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7F390647" w14:textId="77777777" w:rsidR="00E40E86" w:rsidRPr="00B14AD5" w:rsidRDefault="00E40E86" w:rsidP="000E7BB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Počet zamestnancov celkom</w:t>
            </w:r>
          </w:p>
        </w:tc>
        <w:tc>
          <w:tcPr>
            <w:tcW w:w="671" w:type="pct"/>
            <w:gridSpan w:val="2"/>
            <w:tcBorders>
              <w:top w:val="nil"/>
              <w:left w:val="nil"/>
              <w:bottom w:val="single" w:sz="4" w:space="0" w:color="auto"/>
              <w:right w:val="single" w:sz="4" w:space="0" w:color="auto"/>
            </w:tcBorders>
          </w:tcPr>
          <w:p w14:paraId="69D91048" w14:textId="612BBB63" w:rsidR="00E40E86" w:rsidRPr="00B14AD5" w:rsidRDefault="009D63A6" w:rsidP="000E7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701" w:type="pct"/>
            <w:gridSpan w:val="2"/>
            <w:tcBorders>
              <w:top w:val="nil"/>
              <w:left w:val="nil"/>
              <w:bottom w:val="single" w:sz="4" w:space="0" w:color="auto"/>
              <w:right w:val="single" w:sz="4" w:space="0" w:color="auto"/>
            </w:tcBorders>
          </w:tcPr>
          <w:p w14:paraId="475287B4" w14:textId="6F4C790E" w:rsidR="00E40E86" w:rsidRPr="00B14AD5" w:rsidRDefault="009D63A6" w:rsidP="000E7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597" w:type="pct"/>
            <w:gridSpan w:val="2"/>
            <w:tcBorders>
              <w:top w:val="nil"/>
              <w:left w:val="nil"/>
              <w:bottom w:val="single" w:sz="4" w:space="0" w:color="auto"/>
              <w:right w:val="single" w:sz="4" w:space="0" w:color="auto"/>
            </w:tcBorders>
          </w:tcPr>
          <w:p w14:paraId="442CCD4C" w14:textId="76524B44" w:rsidR="00E40E86" w:rsidRPr="00B14AD5" w:rsidRDefault="009D63A6" w:rsidP="000E7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862" w:type="pct"/>
            <w:gridSpan w:val="2"/>
            <w:tcBorders>
              <w:top w:val="nil"/>
              <w:left w:val="nil"/>
              <w:bottom w:val="single" w:sz="4" w:space="0" w:color="auto"/>
              <w:right w:val="single" w:sz="4" w:space="0" w:color="auto"/>
            </w:tcBorders>
            <w:noWrap/>
            <w:vAlign w:val="bottom"/>
          </w:tcPr>
          <w:p w14:paraId="05CCAC56" w14:textId="77777777" w:rsidR="00E40E86" w:rsidRPr="00B14AD5" w:rsidRDefault="00E40E86"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E40E86" w:rsidRPr="00B14AD5" w14:paraId="4FB85C0A" w14:textId="77777777" w:rsidTr="00CD5BDA">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3DEDDCED" w14:textId="77777777" w:rsidR="00E40E86" w:rsidRPr="00B14AD5" w:rsidRDefault="00E40E86" w:rsidP="000E7BB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671" w:type="pct"/>
            <w:gridSpan w:val="2"/>
            <w:tcBorders>
              <w:top w:val="single" w:sz="4" w:space="0" w:color="auto"/>
              <w:left w:val="nil"/>
              <w:bottom w:val="single" w:sz="4" w:space="0" w:color="auto"/>
              <w:right w:val="single" w:sz="4" w:space="0" w:color="auto"/>
            </w:tcBorders>
          </w:tcPr>
          <w:p w14:paraId="0AEBF4C6" w14:textId="47325679" w:rsidR="00E40E86" w:rsidRPr="00B14AD5" w:rsidRDefault="009D63A6" w:rsidP="000E7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701" w:type="pct"/>
            <w:gridSpan w:val="2"/>
            <w:tcBorders>
              <w:top w:val="single" w:sz="4" w:space="0" w:color="auto"/>
              <w:left w:val="nil"/>
              <w:bottom w:val="single" w:sz="4" w:space="0" w:color="auto"/>
              <w:right w:val="single" w:sz="4" w:space="0" w:color="auto"/>
            </w:tcBorders>
          </w:tcPr>
          <w:p w14:paraId="191A091A" w14:textId="148EA6B9" w:rsidR="00E40E86" w:rsidRPr="00B14AD5" w:rsidRDefault="009D63A6" w:rsidP="000E7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597" w:type="pct"/>
            <w:gridSpan w:val="2"/>
            <w:tcBorders>
              <w:top w:val="single" w:sz="4" w:space="0" w:color="auto"/>
              <w:left w:val="nil"/>
              <w:bottom w:val="single" w:sz="4" w:space="0" w:color="auto"/>
              <w:right w:val="single" w:sz="4" w:space="0" w:color="auto"/>
            </w:tcBorders>
          </w:tcPr>
          <w:p w14:paraId="16DBF4A1" w14:textId="2381FB2B" w:rsidR="00E40E86" w:rsidRPr="00B14AD5" w:rsidRDefault="009D63A6" w:rsidP="000E7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862" w:type="pct"/>
            <w:gridSpan w:val="2"/>
            <w:tcBorders>
              <w:top w:val="nil"/>
              <w:left w:val="nil"/>
              <w:bottom w:val="single" w:sz="4" w:space="0" w:color="auto"/>
              <w:right w:val="single" w:sz="4" w:space="0" w:color="auto"/>
            </w:tcBorders>
            <w:noWrap/>
            <w:vAlign w:val="bottom"/>
          </w:tcPr>
          <w:p w14:paraId="0F447139" w14:textId="77777777" w:rsidR="00E40E86" w:rsidRPr="00B14AD5" w:rsidRDefault="00E40E86" w:rsidP="000E7BB4">
            <w:pPr>
              <w:spacing w:after="0" w:line="240" w:lineRule="auto"/>
              <w:rPr>
                <w:rFonts w:ascii="Times New Roman" w:eastAsia="Times New Roman" w:hAnsi="Times New Roman" w:cs="Times New Roman"/>
                <w:sz w:val="24"/>
                <w:szCs w:val="24"/>
                <w:lang w:eastAsia="sk-SK"/>
              </w:rPr>
            </w:pPr>
          </w:p>
        </w:tc>
      </w:tr>
      <w:tr w:rsidR="00E40E86" w:rsidRPr="00B14AD5" w14:paraId="595D3DCA" w14:textId="77777777" w:rsidTr="00CD5BDA">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6EAFDEA5" w14:textId="77777777" w:rsidR="00E40E86" w:rsidRPr="00B14AD5" w:rsidRDefault="00E40E86" w:rsidP="000E7BB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Priemerný mzdový výdavok (v eurách)</w:t>
            </w:r>
          </w:p>
        </w:tc>
        <w:tc>
          <w:tcPr>
            <w:tcW w:w="671" w:type="pct"/>
            <w:gridSpan w:val="2"/>
            <w:tcBorders>
              <w:top w:val="single" w:sz="4" w:space="0" w:color="auto"/>
              <w:left w:val="nil"/>
              <w:bottom w:val="single" w:sz="4" w:space="0" w:color="auto"/>
              <w:right w:val="single" w:sz="4" w:space="0" w:color="auto"/>
            </w:tcBorders>
          </w:tcPr>
          <w:p w14:paraId="7152E94A" w14:textId="4AD5A208" w:rsidR="00E40E86" w:rsidRPr="00B14AD5" w:rsidRDefault="001370DD" w:rsidP="000E7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2 125,00</w:t>
            </w:r>
          </w:p>
        </w:tc>
        <w:tc>
          <w:tcPr>
            <w:tcW w:w="701" w:type="pct"/>
            <w:gridSpan w:val="2"/>
            <w:tcBorders>
              <w:top w:val="single" w:sz="4" w:space="0" w:color="auto"/>
              <w:left w:val="nil"/>
              <w:bottom w:val="single" w:sz="4" w:space="0" w:color="auto"/>
              <w:right w:val="single" w:sz="4" w:space="0" w:color="auto"/>
            </w:tcBorders>
          </w:tcPr>
          <w:p w14:paraId="14CCA2EA" w14:textId="00B5EF97" w:rsidR="00E40E86" w:rsidRPr="00B14AD5" w:rsidRDefault="001370DD" w:rsidP="000E7BB4">
            <w:pPr>
              <w:spacing w:after="0" w:line="240" w:lineRule="auto"/>
              <w:jc w:val="center"/>
              <w:rPr>
                <w:rFonts w:ascii="Times New Roman" w:eastAsia="Times New Roman" w:hAnsi="Times New Roman" w:cs="Times New Roman"/>
                <w:b/>
                <w:bCs/>
                <w:sz w:val="24"/>
                <w:szCs w:val="24"/>
                <w:lang w:eastAsia="sk-SK"/>
              </w:rPr>
            </w:pPr>
            <w:r w:rsidRPr="001370DD">
              <w:rPr>
                <w:rFonts w:ascii="Times New Roman" w:eastAsia="Times New Roman" w:hAnsi="Times New Roman" w:cs="Times New Roman"/>
                <w:b/>
                <w:bCs/>
                <w:sz w:val="24"/>
                <w:szCs w:val="24"/>
                <w:lang w:eastAsia="sk-SK"/>
              </w:rPr>
              <w:t>2 125,00</w:t>
            </w:r>
          </w:p>
        </w:tc>
        <w:tc>
          <w:tcPr>
            <w:tcW w:w="597" w:type="pct"/>
            <w:gridSpan w:val="2"/>
            <w:tcBorders>
              <w:top w:val="single" w:sz="4" w:space="0" w:color="auto"/>
              <w:left w:val="nil"/>
              <w:bottom w:val="single" w:sz="4" w:space="0" w:color="auto"/>
              <w:right w:val="single" w:sz="4" w:space="0" w:color="auto"/>
            </w:tcBorders>
          </w:tcPr>
          <w:p w14:paraId="09929532" w14:textId="5EB52FCC" w:rsidR="00E40E86" w:rsidRPr="00B14AD5" w:rsidRDefault="001370DD" w:rsidP="000E7BB4">
            <w:pPr>
              <w:spacing w:after="0" w:line="240" w:lineRule="auto"/>
              <w:jc w:val="center"/>
              <w:rPr>
                <w:rFonts w:ascii="Times New Roman" w:eastAsia="Times New Roman" w:hAnsi="Times New Roman" w:cs="Times New Roman"/>
                <w:b/>
                <w:bCs/>
                <w:sz w:val="24"/>
                <w:szCs w:val="24"/>
                <w:lang w:eastAsia="sk-SK"/>
              </w:rPr>
            </w:pPr>
            <w:r w:rsidRPr="001370DD">
              <w:rPr>
                <w:rFonts w:ascii="Times New Roman" w:eastAsia="Times New Roman" w:hAnsi="Times New Roman" w:cs="Times New Roman"/>
                <w:b/>
                <w:bCs/>
                <w:sz w:val="24"/>
                <w:szCs w:val="24"/>
                <w:lang w:eastAsia="sk-SK"/>
              </w:rPr>
              <w:t>2 125,00</w:t>
            </w:r>
          </w:p>
        </w:tc>
        <w:tc>
          <w:tcPr>
            <w:tcW w:w="862" w:type="pct"/>
            <w:gridSpan w:val="2"/>
            <w:tcBorders>
              <w:top w:val="nil"/>
              <w:left w:val="nil"/>
              <w:bottom w:val="single" w:sz="4" w:space="0" w:color="auto"/>
              <w:right w:val="single" w:sz="4" w:space="0" w:color="auto"/>
            </w:tcBorders>
            <w:noWrap/>
            <w:vAlign w:val="bottom"/>
          </w:tcPr>
          <w:p w14:paraId="57725CC1" w14:textId="42ED35AB" w:rsidR="00E40E86" w:rsidRPr="008872AA" w:rsidRDefault="00E40E86" w:rsidP="000E7BB4">
            <w:pPr>
              <w:spacing w:after="0" w:line="240" w:lineRule="auto"/>
              <w:rPr>
                <w:rFonts w:ascii="Times New Roman" w:eastAsia="Times New Roman" w:hAnsi="Times New Roman" w:cs="Times New Roman"/>
                <w:sz w:val="16"/>
                <w:szCs w:val="16"/>
                <w:lang w:eastAsia="sk-SK"/>
              </w:rPr>
            </w:pPr>
            <w:r w:rsidRPr="00B14AD5">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w:t>
            </w:r>
            <w:r w:rsidRPr="008872AA">
              <w:rPr>
                <w:rFonts w:ascii="Times New Roman" w:eastAsia="Times New Roman" w:hAnsi="Times New Roman" w:cs="Times New Roman"/>
                <w:sz w:val="16"/>
                <w:szCs w:val="16"/>
                <w:lang w:eastAsia="sk-SK"/>
              </w:rPr>
              <w:t>na 1 zamestnanca</w:t>
            </w:r>
            <w:r w:rsidR="001370DD">
              <w:rPr>
                <w:rFonts w:ascii="Times New Roman" w:eastAsia="Times New Roman" w:hAnsi="Times New Roman" w:cs="Times New Roman"/>
                <w:sz w:val="16"/>
                <w:szCs w:val="16"/>
                <w:lang w:eastAsia="sk-SK"/>
              </w:rPr>
              <w:t xml:space="preserve"> bez valorizácie</w:t>
            </w:r>
          </w:p>
        </w:tc>
      </w:tr>
      <w:tr w:rsidR="00E40E86" w:rsidRPr="00B14AD5" w14:paraId="52AC4C45" w14:textId="77777777" w:rsidTr="00CD5BDA">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69185AE0" w14:textId="77777777" w:rsidR="00E40E86" w:rsidRPr="00B14AD5" w:rsidRDefault="00E40E86"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lastRenderedPageBreak/>
              <w:t xml:space="preserve">   z toho vplyv na ŠR</w:t>
            </w:r>
          </w:p>
        </w:tc>
        <w:tc>
          <w:tcPr>
            <w:tcW w:w="671" w:type="pct"/>
            <w:gridSpan w:val="2"/>
            <w:tcBorders>
              <w:top w:val="single" w:sz="4" w:space="0" w:color="auto"/>
              <w:left w:val="nil"/>
              <w:bottom w:val="single" w:sz="4" w:space="0" w:color="auto"/>
              <w:right w:val="single" w:sz="4" w:space="0" w:color="auto"/>
            </w:tcBorders>
          </w:tcPr>
          <w:p w14:paraId="093B5568" w14:textId="1E99F8B9" w:rsidR="00E40E86" w:rsidRPr="00DF6545" w:rsidRDefault="001370DD" w:rsidP="000E7BB4">
            <w:pPr>
              <w:spacing w:after="0" w:line="240" w:lineRule="auto"/>
              <w:jc w:val="center"/>
              <w:rPr>
                <w:rFonts w:ascii="Times New Roman" w:hAnsi="Times New Roman"/>
                <w:b/>
                <w:sz w:val="24"/>
              </w:rPr>
            </w:pPr>
            <w:r w:rsidRPr="001370DD">
              <w:rPr>
                <w:rFonts w:ascii="Times New Roman" w:hAnsi="Times New Roman"/>
                <w:b/>
                <w:sz w:val="24"/>
              </w:rPr>
              <w:t>2 125,00</w:t>
            </w:r>
          </w:p>
        </w:tc>
        <w:tc>
          <w:tcPr>
            <w:tcW w:w="701" w:type="pct"/>
            <w:gridSpan w:val="2"/>
            <w:tcBorders>
              <w:top w:val="single" w:sz="4" w:space="0" w:color="auto"/>
              <w:left w:val="nil"/>
              <w:bottom w:val="single" w:sz="4" w:space="0" w:color="auto"/>
              <w:right w:val="single" w:sz="4" w:space="0" w:color="auto"/>
            </w:tcBorders>
          </w:tcPr>
          <w:p w14:paraId="44482F34" w14:textId="3740F810" w:rsidR="00E40E86" w:rsidRPr="00DF6545" w:rsidRDefault="001370DD" w:rsidP="000E7BB4">
            <w:pPr>
              <w:spacing w:after="0" w:line="240" w:lineRule="auto"/>
              <w:jc w:val="center"/>
              <w:rPr>
                <w:rFonts w:ascii="Times New Roman" w:hAnsi="Times New Roman"/>
                <w:b/>
                <w:sz w:val="24"/>
              </w:rPr>
            </w:pPr>
            <w:r w:rsidRPr="001370DD">
              <w:rPr>
                <w:rFonts w:ascii="Times New Roman" w:hAnsi="Times New Roman"/>
                <w:b/>
                <w:sz w:val="24"/>
              </w:rPr>
              <w:t>2 125,00</w:t>
            </w:r>
          </w:p>
        </w:tc>
        <w:tc>
          <w:tcPr>
            <w:tcW w:w="597" w:type="pct"/>
            <w:gridSpan w:val="2"/>
            <w:tcBorders>
              <w:top w:val="single" w:sz="4" w:space="0" w:color="auto"/>
              <w:left w:val="nil"/>
              <w:bottom w:val="single" w:sz="4" w:space="0" w:color="auto"/>
              <w:right w:val="single" w:sz="4" w:space="0" w:color="auto"/>
            </w:tcBorders>
          </w:tcPr>
          <w:p w14:paraId="2047AF1D" w14:textId="3478F360" w:rsidR="00E40E86" w:rsidRPr="00DF6545" w:rsidRDefault="001370DD" w:rsidP="000E7BB4">
            <w:pPr>
              <w:spacing w:after="0" w:line="240" w:lineRule="auto"/>
              <w:jc w:val="center"/>
              <w:rPr>
                <w:rFonts w:ascii="Times New Roman" w:hAnsi="Times New Roman"/>
                <w:b/>
                <w:sz w:val="24"/>
              </w:rPr>
            </w:pPr>
            <w:r w:rsidRPr="001370DD">
              <w:rPr>
                <w:rFonts w:ascii="Times New Roman" w:hAnsi="Times New Roman"/>
                <w:b/>
                <w:sz w:val="24"/>
              </w:rPr>
              <w:t>2 125,00</w:t>
            </w:r>
          </w:p>
        </w:tc>
        <w:tc>
          <w:tcPr>
            <w:tcW w:w="862" w:type="pct"/>
            <w:gridSpan w:val="2"/>
            <w:tcBorders>
              <w:top w:val="nil"/>
              <w:left w:val="nil"/>
              <w:bottom w:val="single" w:sz="4" w:space="0" w:color="auto"/>
              <w:right w:val="single" w:sz="4" w:space="0" w:color="auto"/>
            </w:tcBorders>
            <w:noWrap/>
            <w:vAlign w:val="bottom"/>
          </w:tcPr>
          <w:p w14:paraId="7915C17A" w14:textId="77777777" w:rsidR="00E40E86" w:rsidRPr="00B14AD5" w:rsidRDefault="00E40E86"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367B5F" w:rsidRPr="00B14AD5" w14:paraId="34EFB89F" w14:textId="77777777" w:rsidTr="009D63A6">
        <w:trPr>
          <w:gridAfter w:val="2"/>
          <w:wAfter w:w="123" w:type="pct"/>
          <w:trHeight w:val="255"/>
        </w:trPr>
        <w:tc>
          <w:tcPr>
            <w:tcW w:w="2046" w:type="pct"/>
            <w:tcBorders>
              <w:top w:val="nil"/>
              <w:left w:val="single" w:sz="4" w:space="0" w:color="auto"/>
              <w:bottom w:val="single" w:sz="4" w:space="0" w:color="auto"/>
              <w:right w:val="single" w:sz="4" w:space="0" w:color="auto"/>
            </w:tcBorders>
            <w:shd w:val="clear" w:color="auto" w:fill="BFBFBF" w:themeFill="background1" w:themeFillShade="BF"/>
          </w:tcPr>
          <w:p w14:paraId="36F6E316" w14:textId="77777777" w:rsidR="00367B5F" w:rsidRPr="00B14AD5" w:rsidRDefault="00367B5F" w:rsidP="00367B5F">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Osobné výdavky celkom (v eurách)</w:t>
            </w:r>
          </w:p>
        </w:tc>
        <w:tc>
          <w:tcPr>
            <w:tcW w:w="671" w:type="pct"/>
            <w:gridSpan w:val="2"/>
            <w:tcBorders>
              <w:top w:val="nil"/>
              <w:left w:val="nil"/>
              <w:bottom w:val="single" w:sz="4" w:space="0" w:color="auto"/>
              <w:right w:val="single" w:sz="4" w:space="0" w:color="auto"/>
            </w:tcBorders>
            <w:shd w:val="clear" w:color="auto" w:fill="BFBFBF" w:themeFill="background1" w:themeFillShade="BF"/>
            <w:vAlign w:val="center"/>
          </w:tcPr>
          <w:p w14:paraId="1D6526AB" w14:textId="3B6AF481" w:rsidR="00367B5F" w:rsidRPr="00B14AD5" w:rsidRDefault="00367B5F" w:rsidP="00367B5F">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103 236,75</w:t>
            </w:r>
          </w:p>
        </w:tc>
        <w:tc>
          <w:tcPr>
            <w:tcW w:w="701" w:type="pct"/>
            <w:gridSpan w:val="2"/>
            <w:tcBorders>
              <w:top w:val="nil"/>
              <w:left w:val="nil"/>
              <w:bottom w:val="single" w:sz="4" w:space="0" w:color="auto"/>
              <w:right w:val="single" w:sz="4" w:space="0" w:color="auto"/>
            </w:tcBorders>
            <w:shd w:val="clear" w:color="auto" w:fill="BFBFBF" w:themeFill="background1" w:themeFillShade="BF"/>
          </w:tcPr>
          <w:p w14:paraId="02E12A19" w14:textId="77777777" w:rsidR="00367B5F" w:rsidRDefault="00367B5F" w:rsidP="00367B5F">
            <w:pPr>
              <w:spacing w:after="0" w:line="240" w:lineRule="auto"/>
              <w:jc w:val="center"/>
              <w:rPr>
                <w:rFonts w:ascii="Times New Roman" w:eastAsia="Times New Roman" w:hAnsi="Times New Roman" w:cs="Times New Roman"/>
                <w:b/>
                <w:bCs/>
                <w:iCs/>
                <w:sz w:val="24"/>
                <w:szCs w:val="24"/>
                <w:lang w:eastAsia="sk-SK"/>
              </w:rPr>
            </w:pPr>
          </w:p>
          <w:p w14:paraId="4D0C2577" w14:textId="197A4621" w:rsidR="00367B5F" w:rsidRDefault="00367B5F" w:rsidP="00367B5F">
            <w:pPr>
              <w:spacing w:after="0" w:line="240" w:lineRule="auto"/>
              <w:jc w:val="center"/>
              <w:rPr>
                <w:rFonts w:ascii="Times New Roman" w:eastAsia="Times New Roman" w:hAnsi="Times New Roman" w:cs="Times New Roman"/>
                <w:b/>
                <w:bCs/>
                <w:iCs/>
                <w:sz w:val="24"/>
                <w:szCs w:val="24"/>
                <w:lang w:eastAsia="sk-SK"/>
              </w:rPr>
            </w:pPr>
            <w:r w:rsidRPr="00367B5F">
              <w:rPr>
                <w:rFonts w:ascii="Times New Roman" w:eastAsia="Times New Roman" w:hAnsi="Times New Roman" w:cs="Times New Roman"/>
                <w:b/>
                <w:bCs/>
                <w:iCs/>
                <w:sz w:val="24"/>
                <w:szCs w:val="24"/>
                <w:lang w:eastAsia="sk-SK"/>
              </w:rPr>
              <w:t>103 236,75</w:t>
            </w:r>
          </w:p>
          <w:p w14:paraId="4C893826" w14:textId="78F0E849" w:rsidR="00367B5F" w:rsidRPr="00B14AD5" w:rsidRDefault="00367B5F" w:rsidP="00367B5F">
            <w:pPr>
              <w:spacing w:after="0" w:line="240" w:lineRule="auto"/>
              <w:jc w:val="center"/>
              <w:rPr>
                <w:rFonts w:ascii="Times New Roman" w:eastAsia="Times New Roman" w:hAnsi="Times New Roman" w:cs="Times New Roman"/>
                <w:b/>
                <w:bCs/>
                <w:iCs/>
                <w:sz w:val="24"/>
                <w:szCs w:val="24"/>
                <w:lang w:eastAsia="sk-SK"/>
              </w:rPr>
            </w:pPr>
          </w:p>
        </w:tc>
        <w:tc>
          <w:tcPr>
            <w:tcW w:w="597" w:type="pct"/>
            <w:gridSpan w:val="2"/>
            <w:tcBorders>
              <w:top w:val="nil"/>
              <w:left w:val="nil"/>
              <w:bottom w:val="single" w:sz="4" w:space="0" w:color="auto"/>
              <w:right w:val="single" w:sz="4" w:space="0" w:color="auto"/>
            </w:tcBorders>
            <w:shd w:val="clear" w:color="auto" w:fill="BFBFBF" w:themeFill="background1" w:themeFillShade="BF"/>
          </w:tcPr>
          <w:p w14:paraId="62DAE082" w14:textId="77777777" w:rsidR="00367B5F" w:rsidRDefault="00367B5F" w:rsidP="00367B5F">
            <w:pPr>
              <w:spacing w:after="0" w:line="240" w:lineRule="auto"/>
              <w:jc w:val="center"/>
              <w:rPr>
                <w:rFonts w:ascii="Times New Roman" w:eastAsia="Times New Roman" w:hAnsi="Times New Roman" w:cs="Times New Roman"/>
                <w:b/>
                <w:bCs/>
                <w:iCs/>
                <w:sz w:val="24"/>
                <w:szCs w:val="24"/>
                <w:lang w:eastAsia="sk-SK"/>
              </w:rPr>
            </w:pPr>
          </w:p>
          <w:p w14:paraId="473BF554" w14:textId="3293957E" w:rsidR="00367B5F" w:rsidRPr="00B14AD5" w:rsidRDefault="00367B5F" w:rsidP="00367B5F">
            <w:pPr>
              <w:spacing w:after="0" w:line="240" w:lineRule="auto"/>
              <w:jc w:val="center"/>
              <w:rPr>
                <w:rFonts w:ascii="Times New Roman" w:eastAsia="Times New Roman" w:hAnsi="Times New Roman" w:cs="Times New Roman"/>
                <w:b/>
                <w:bCs/>
                <w:iCs/>
                <w:sz w:val="24"/>
                <w:szCs w:val="24"/>
                <w:lang w:eastAsia="sk-SK"/>
              </w:rPr>
            </w:pPr>
            <w:r w:rsidRPr="00367B5F">
              <w:rPr>
                <w:rFonts w:ascii="Times New Roman" w:eastAsia="Times New Roman" w:hAnsi="Times New Roman" w:cs="Times New Roman"/>
                <w:b/>
                <w:bCs/>
                <w:iCs/>
                <w:sz w:val="24"/>
                <w:szCs w:val="24"/>
                <w:lang w:eastAsia="sk-SK"/>
              </w:rPr>
              <w:t>103 236,75</w:t>
            </w:r>
          </w:p>
        </w:tc>
        <w:tc>
          <w:tcPr>
            <w:tcW w:w="862" w:type="pct"/>
            <w:gridSpan w:val="2"/>
            <w:tcBorders>
              <w:top w:val="nil"/>
              <w:left w:val="nil"/>
              <w:bottom w:val="single" w:sz="4" w:space="0" w:color="auto"/>
              <w:right w:val="single" w:sz="4" w:space="0" w:color="auto"/>
            </w:tcBorders>
            <w:shd w:val="clear" w:color="auto" w:fill="BFBFBF" w:themeFill="background1" w:themeFillShade="BF"/>
            <w:noWrap/>
            <w:vAlign w:val="bottom"/>
          </w:tcPr>
          <w:p w14:paraId="623F6417" w14:textId="62E9E754" w:rsidR="00367B5F" w:rsidRPr="00367B5F" w:rsidRDefault="00367B5F" w:rsidP="00367B5F">
            <w:pPr>
              <w:spacing w:after="0" w:line="240" w:lineRule="auto"/>
              <w:rPr>
                <w:rFonts w:ascii="Times New Roman" w:eastAsia="Times New Roman" w:hAnsi="Times New Roman" w:cs="Times New Roman"/>
                <w:bCs/>
                <w:sz w:val="16"/>
                <w:szCs w:val="16"/>
                <w:lang w:eastAsia="sk-SK"/>
              </w:rPr>
            </w:pPr>
            <w:r w:rsidRPr="00B14AD5">
              <w:rPr>
                <w:rFonts w:ascii="Times New Roman" w:eastAsia="Times New Roman" w:hAnsi="Times New Roman" w:cs="Times New Roman"/>
                <w:b/>
                <w:bCs/>
                <w:sz w:val="24"/>
                <w:szCs w:val="24"/>
                <w:lang w:eastAsia="sk-SK"/>
              </w:rPr>
              <w:t> </w:t>
            </w:r>
            <w:r w:rsidRPr="00367B5F">
              <w:rPr>
                <w:rFonts w:ascii="Times New Roman" w:eastAsia="Times New Roman" w:hAnsi="Times New Roman" w:cs="Times New Roman"/>
                <w:bCs/>
                <w:sz w:val="16"/>
                <w:szCs w:val="16"/>
                <w:lang w:eastAsia="sk-SK"/>
              </w:rPr>
              <w:t xml:space="preserve">*na 3 zamestnancov bez valorizácie, bez DDS, bez </w:t>
            </w:r>
            <w:proofErr w:type="spellStart"/>
            <w:r w:rsidRPr="00367B5F">
              <w:rPr>
                <w:rFonts w:ascii="Times New Roman" w:eastAsia="Times New Roman" w:hAnsi="Times New Roman" w:cs="Times New Roman"/>
                <w:bCs/>
                <w:sz w:val="16"/>
                <w:szCs w:val="16"/>
                <w:lang w:eastAsia="sk-SK"/>
              </w:rPr>
              <w:t>nem.dávok</w:t>
            </w:r>
            <w:proofErr w:type="spellEnd"/>
          </w:p>
        </w:tc>
      </w:tr>
      <w:tr w:rsidR="00E40E86" w:rsidRPr="00B14AD5" w14:paraId="5B9ED74F" w14:textId="77777777" w:rsidTr="00CD5BDA">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6B8A85AC" w14:textId="77777777" w:rsidR="00E40E86" w:rsidRPr="00B14AD5" w:rsidRDefault="00E40E86" w:rsidP="000E7BB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Mzdy, platy, služobné príjmy a ostatné osobné vyrovnania (610)</w:t>
            </w:r>
          </w:p>
        </w:tc>
        <w:tc>
          <w:tcPr>
            <w:tcW w:w="671" w:type="pct"/>
            <w:gridSpan w:val="2"/>
            <w:tcBorders>
              <w:top w:val="nil"/>
              <w:left w:val="nil"/>
              <w:bottom w:val="single" w:sz="4" w:space="0" w:color="auto"/>
              <w:right w:val="single" w:sz="4" w:space="0" w:color="auto"/>
            </w:tcBorders>
            <w:vAlign w:val="center"/>
          </w:tcPr>
          <w:p w14:paraId="28668EC1" w14:textId="279A9BCC" w:rsidR="00E40E86" w:rsidRPr="00B14AD5" w:rsidRDefault="00367B5F" w:rsidP="000E7BB4">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76 500</w:t>
            </w:r>
            <w:r w:rsidR="001370DD" w:rsidRPr="001370DD">
              <w:rPr>
                <w:rFonts w:ascii="Times New Roman" w:eastAsia="Times New Roman" w:hAnsi="Times New Roman" w:cs="Times New Roman"/>
                <w:b/>
                <w:bCs/>
                <w:iCs/>
                <w:sz w:val="24"/>
                <w:szCs w:val="24"/>
                <w:lang w:eastAsia="sk-SK"/>
              </w:rPr>
              <w:t>,00</w:t>
            </w:r>
          </w:p>
        </w:tc>
        <w:tc>
          <w:tcPr>
            <w:tcW w:w="701" w:type="pct"/>
            <w:gridSpan w:val="2"/>
            <w:tcBorders>
              <w:top w:val="nil"/>
              <w:left w:val="nil"/>
              <w:bottom w:val="single" w:sz="4" w:space="0" w:color="auto"/>
              <w:right w:val="single" w:sz="4" w:space="0" w:color="auto"/>
            </w:tcBorders>
            <w:vAlign w:val="center"/>
          </w:tcPr>
          <w:p w14:paraId="017F57AF" w14:textId="7FBC5F27" w:rsidR="00E40E86" w:rsidRPr="00B14AD5" w:rsidRDefault="00367B5F" w:rsidP="000E7BB4">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76 500</w:t>
            </w:r>
            <w:r w:rsidR="001370DD" w:rsidRPr="001370DD">
              <w:rPr>
                <w:rFonts w:ascii="Times New Roman" w:eastAsia="Times New Roman" w:hAnsi="Times New Roman" w:cs="Times New Roman"/>
                <w:b/>
                <w:bCs/>
                <w:iCs/>
                <w:sz w:val="24"/>
                <w:szCs w:val="24"/>
                <w:lang w:eastAsia="sk-SK"/>
              </w:rPr>
              <w:t>,00</w:t>
            </w:r>
          </w:p>
        </w:tc>
        <w:tc>
          <w:tcPr>
            <w:tcW w:w="597" w:type="pct"/>
            <w:gridSpan w:val="2"/>
            <w:tcBorders>
              <w:top w:val="nil"/>
              <w:left w:val="nil"/>
              <w:bottom w:val="single" w:sz="4" w:space="0" w:color="auto"/>
              <w:right w:val="single" w:sz="4" w:space="0" w:color="auto"/>
            </w:tcBorders>
            <w:vAlign w:val="center"/>
          </w:tcPr>
          <w:p w14:paraId="0D5398B0" w14:textId="39BD6FF7" w:rsidR="00E40E86" w:rsidRPr="00B14AD5" w:rsidRDefault="00367B5F" w:rsidP="000E7BB4">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76 500,00</w:t>
            </w:r>
          </w:p>
        </w:tc>
        <w:tc>
          <w:tcPr>
            <w:tcW w:w="862" w:type="pct"/>
            <w:gridSpan w:val="2"/>
            <w:tcBorders>
              <w:top w:val="nil"/>
              <w:left w:val="nil"/>
              <w:bottom w:val="single" w:sz="4" w:space="0" w:color="auto"/>
              <w:right w:val="single" w:sz="4" w:space="0" w:color="auto"/>
            </w:tcBorders>
            <w:noWrap/>
            <w:vAlign w:val="bottom"/>
          </w:tcPr>
          <w:p w14:paraId="5B154FAF" w14:textId="77777777" w:rsidR="00E40E86" w:rsidRPr="00B14AD5" w:rsidRDefault="00E40E86" w:rsidP="000E7BB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E40E86" w:rsidRPr="00B14AD5" w14:paraId="2EAB33B5" w14:textId="77777777" w:rsidTr="00CD5BDA">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77B6D50D" w14:textId="77777777" w:rsidR="00E40E86" w:rsidRPr="00B14AD5" w:rsidRDefault="00E40E86"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671" w:type="pct"/>
            <w:gridSpan w:val="2"/>
            <w:tcBorders>
              <w:top w:val="nil"/>
              <w:left w:val="nil"/>
              <w:bottom w:val="single" w:sz="4" w:space="0" w:color="auto"/>
              <w:right w:val="single" w:sz="4" w:space="0" w:color="auto"/>
            </w:tcBorders>
          </w:tcPr>
          <w:p w14:paraId="0B83C66B" w14:textId="5C784EF5" w:rsidR="00E40E86" w:rsidRPr="00B14AD5" w:rsidRDefault="005A5337" w:rsidP="000E7BB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76 500,00</w:t>
            </w:r>
          </w:p>
        </w:tc>
        <w:tc>
          <w:tcPr>
            <w:tcW w:w="701" w:type="pct"/>
            <w:gridSpan w:val="2"/>
            <w:tcBorders>
              <w:top w:val="nil"/>
              <w:left w:val="nil"/>
              <w:bottom w:val="single" w:sz="4" w:space="0" w:color="auto"/>
              <w:right w:val="single" w:sz="4" w:space="0" w:color="auto"/>
            </w:tcBorders>
          </w:tcPr>
          <w:p w14:paraId="595FAEEB" w14:textId="5CCD6C58" w:rsidR="00E40E86" w:rsidRPr="00B14AD5" w:rsidRDefault="005A5337" w:rsidP="000E7BB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76 500,00</w:t>
            </w:r>
          </w:p>
        </w:tc>
        <w:tc>
          <w:tcPr>
            <w:tcW w:w="597" w:type="pct"/>
            <w:gridSpan w:val="2"/>
            <w:tcBorders>
              <w:top w:val="nil"/>
              <w:left w:val="nil"/>
              <w:bottom w:val="single" w:sz="4" w:space="0" w:color="auto"/>
              <w:right w:val="single" w:sz="4" w:space="0" w:color="auto"/>
            </w:tcBorders>
          </w:tcPr>
          <w:p w14:paraId="46C6421D" w14:textId="094AAE85" w:rsidR="00E40E86" w:rsidRPr="00B14AD5" w:rsidRDefault="005A5337" w:rsidP="000E7BB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76 500,00</w:t>
            </w:r>
          </w:p>
        </w:tc>
        <w:tc>
          <w:tcPr>
            <w:tcW w:w="862" w:type="pct"/>
            <w:gridSpan w:val="2"/>
            <w:tcBorders>
              <w:top w:val="nil"/>
              <w:left w:val="nil"/>
              <w:bottom w:val="single" w:sz="4" w:space="0" w:color="auto"/>
              <w:right w:val="single" w:sz="4" w:space="0" w:color="auto"/>
            </w:tcBorders>
            <w:noWrap/>
            <w:vAlign w:val="bottom"/>
          </w:tcPr>
          <w:p w14:paraId="3EE33D15" w14:textId="77777777" w:rsidR="00E40E86" w:rsidRPr="00B14AD5" w:rsidRDefault="00E40E86"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E40E86" w:rsidRPr="00B14AD5" w14:paraId="78940149" w14:textId="77777777" w:rsidTr="00CD5BDA">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78EB81DD" w14:textId="77777777" w:rsidR="00E40E86" w:rsidRPr="00B14AD5" w:rsidRDefault="00E40E86" w:rsidP="000E7BB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Poistné a príspevok do poisťovní (620)</w:t>
            </w:r>
          </w:p>
        </w:tc>
        <w:tc>
          <w:tcPr>
            <w:tcW w:w="671" w:type="pct"/>
            <w:gridSpan w:val="2"/>
            <w:tcBorders>
              <w:top w:val="nil"/>
              <w:left w:val="nil"/>
              <w:bottom w:val="single" w:sz="4" w:space="0" w:color="auto"/>
              <w:right w:val="single" w:sz="4" w:space="0" w:color="auto"/>
            </w:tcBorders>
          </w:tcPr>
          <w:p w14:paraId="60C1C46F" w14:textId="069589D7" w:rsidR="00E40E86" w:rsidRPr="002914D4" w:rsidRDefault="00367B5F" w:rsidP="000E7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26 736,75</w:t>
            </w:r>
          </w:p>
        </w:tc>
        <w:tc>
          <w:tcPr>
            <w:tcW w:w="701" w:type="pct"/>
            <w:gridSpan w:val="2"/>
            <w:tcBorders>
              <w:top w:val="nil"/>
              <w:left w:val="nil"/>
              <w:bottom w:val="single" w:sz="4" w:space="0" w:color="auto"/>
              <w:right w:val="single" w:sz="4" w:space="0" w:color="auto"/>
            </w:tcBorders>
          </w:tcPr>
          <w:p w14:paraId="0499B1F7" w14:textId="36579A51" w:rsidR="00E40E86" w:rsidRPr="002914D4" w:rsidRDefault="00367B5F" w:rsidP="000E7BB4">
            <w:pPr>
              <w:spacing w:after="0" w:line="240" w:lineRule="auto"/>
              <w:jc w:val="center"/>
              <w:rPr>
                <w:rFonts w:ascii="Times New Roman" w:eastAsia="Times New Roman" w:hAnsi="Times New Roman" w:cs="Times New Roman"/>
                <w:b/>
                <w:bCs/>
                <w:sz w:val="24"/>
                <w:szCs w:val="24"/>
                <w:lang w:eastAsia="sk-SK"/>
              </w:rPr>
            </w:pPr>
            <w:r w:rsidRPr="00367B5F">
              <w:rPr>
                <w:rFonts w:ascii="Times New Roman" w:eastAsia="Times New Roman" w:hAnsi="Times New Roman" w:cs="Times New Roman"/>
                <w:b/>
                <w:bCs/>
                <w:sz w:val="24"/>
                <w:szCs w:val="24"/>
                <w:lang w:eastAsia="sk-SK"/>
              </w:rPr>
              <w:t>26 736,75</w:t>
            </w:r>
          </w:p>
        </w:tc>
        <w:tc>
          <w:tcPr>
            <w:tcW w:w="597" w:type="pct"/>
            <w:gridSpan w:val="2"/>
            <w:tcBorders>
              <w:top w:val="nil"/>
              <w:left w:val="nil"/>
              <w:bottom w:val="single" w:sz="4" w:space="0" w:color="auto"/>
              <w:right w:val="single" w:sz="4" w:space="0" w:color="auto"/>
            </w:tcBorders>
          </w:tcPr>
          <w:p w14:paraId="174D09D4" w14:textId="4E2E790C" w:rsidR="00E40E86" w:rsidRPr="002914D4" w:rsidRDefault="00367B5F" w:rsidP="000E7BB4">
            <w:pPr>
              <w:spacing w:after="0" w:line="240" w:lineRule="auto"/>
              <w:jc w:val="center"/>
              <w:rPr>
                <w:rFonts w:ascii="Times New Roman" w:eastAsia="Times New Roman" w:hAnsi="Times New Roman" w:cs="Times New Roman"/>
                <w:b/>
                <w:bCs/>
                <w:sz w:val="24"/>
                <w:szCs w:val="24"/>
                <w:lang w:eastAsia="sk-SK"/>
              </w:rPr>
            </w:pPr>
            <w:r w:rsidRPr="00367B5F">
              <w:rPr>
                <w:rFonts w:ascii="Times New Roman" w:eastAsia="Times New Roman" w:hAnsi="Times New Roman" w:cs="Times New Roman"/>
                <w:b/>
                <w:bCs/>
                <w:sz w:val="24"/>
                <w:szCs w:val="24"/>
                <w:lang w:eastAsia="sk-SK"/>
              </w:rPr>
              <w:t>26 736,75</w:t>
            </w:r>
          </w:p>
        </w:tc>
        <w:tc>
          <w:tcPr>
            <w:tcW w:w="862" w:type="pct"/>
            <w:gridSpan w:val="2"/>
            <w:tcBorders>
              <w:top w:val="nil"/>
              <w:left w:val="nil"/>
              <w:bottom w:val="single" w:sz="4" w:space="0" w:color="auto"/>
              <w:right w:val="single" w:sz="4" w:space="0" w:color="auto"/>
            </w:tcBorders>
            <w:noWrap/>
            <w:vAlign w:val="bottom"/>
          </w:tcPr>
          <w:p w14:paraId="017ECD3B" w14:textId="77777777" w:rsidR="00E40E86" w:rsidRPr="00B14AD5" w:rsidRDefault="00E40E86" w:rsidP="000E7BB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w:t>
            </w:r>
          </w:p>
        </w:tc>
      </w:tr>
      <w:tr w:rsidR="00E40E86" w:rsidRPr="00B14AD5" w14:paraId="438F44B5" w14:textId="77777777" w:rsidTr="00CD5BDA">
        <w:trPr>
          <w:gridAfter w:val="2"/>
          <w:wAfter w:w="123" w:type="pct"/>
          <w:trHeight w:val="255"/>
        </w:trPr>
        <w:tc>
          <w:tcPr>
            <w:tcW w:w="2046" w:type="pct"/>
            <w:tcBorders>
              <w:top w:val="nil"/>
              <w:left w:val="single" w:sz="4" w:space="0" w:color="auto"/>
              <w:bottom w:val="single" w:sz="4" w:space="0" w:color="auto"/>
              <w:right w:val="single" w:sz="4" w:space="0" w:color="auto"/>
            </w:tcBorders>
          </w:tcPr>
          <w:p w14:paraId="610237D8" w14:textId="77777777" w:rsidR="00E40E86" w:rsidRPr="00B14AD5" w:rsidRDefault="00E40E86"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b/>
                <w:bCs/>
                <w:sz w:val="24"/>
                <w:szCs w:val="24"/>
                <w:lang w:eastAsia="sk-SK"/>
              </w:rPr>
              <w:t xml:space="preserve">   z toho vplyv na ŠR</w:t>
            </w:r>
          </w:p>
        </w:tc>
        <w:tc>
          <w:tcPr>
            <w:tcW w:w="671" w:type="pct"/>
            <w:gridSpan w:val="2"/>
            <w:tcBorders>
              <w:top w:val="nil"/>
              <w:left w:val="nil"/>
              <w:bottom w:val="single" w:sz="4" w:space="0" w:color="auto"/>
              <w:right w:val="single" w:sz="4" w:space="0" w:color="auto"/>
            </w:tcBorders>
          </w:tcPr>
          <w:p w14:paraId="0778EC03" w14:textId="3A267010" w:rsidR="00E40E86" w:rsidRPr="00B14AD5" w:rsidRDefault="00367B5F" w:rsidP="000E7BB4">
            <w:pPr>
              <w:spacing w:after="0" w:line="240" w:lineRule="auto"/>
              <w:jc w:val="center"/>
              <w:rPr>
                <w:rFonts w:ascii="Times New Roman" w:eastAsia="Times New Roman" w:hAnsi="Times New Roman" w:cs="Times New Roman"/>
                <w:sz w:val="24"/>
                <w:szCs w:val="24"/>
                <w:lang w:eastAsia="sk-SK"/>
              </w:rPr>
            </w:pPr>
            <w:r w:rsidRPr="00367B5F">
              <w:rPr>
                <w:rFonts w:ascii="Times New Roman" w:eastAsia="Times New Roman" w:hAnsi="Times New Roman" w:cs="Times New Roman"/>
                <w:sz w:val="24"/>
                <w:szCs w:val="24"/>
                <w:lang w:eastAsia="sk-SK"/>
              </w:rPr>
              <w:t>26 736,75</w:t>
            </w:r>
          </w:p>
        </w:tc>
        <w:tc>
          <w:tcPr>
            <w:tcW w:w="701" w:type="pct"/>
            <w:gridSpan w:val="2"/>
            <w:tcBorders>
              <w:top w:val="nil"/>
              <w:left w:val="nil"/>
              <w:bottom w:val="single" w:sz="4" w:space="0" w:color="auto"/>
              <w:right w:val="single" w:sz="4" w:space="0" w:color="auto"/>
            </w:tcBorders>
          </w:tcPr>
          <w:p w14:paraId="4502EA0F" w14:textId="3EAFD604" w:rsidR="00E40E86" w:rsidRPr="00B14AD5" w:rsidRDefault="00367B5F" w:rsidP="000E7BB4">
            <w:pPr>
              <w:spacing w:after="0" w:line="240" w:lineRule="auto"/>
              <w:jc w:val="center"/>
              <w:rPr>
                <w:rFonts w:ascii="Times New Roman" w:eastAsia="Times New Roman" w:hAnsi="Times New Roman" w:cs="Times New Roman"/>
                <w:sz w:val="24"/>
                <w:szCs w:val="24"/>
                <w:lang w:eastAsia="sk-SK"/>
              </w:rPr>
            </w:pPr>
            <w:r w:rsidRPr="00367B5F">
              <w:rPr>
                <w:rFonts w:ascii="Times New Roman" w:eastAsia="Times New Roman" w:hAnsi="Times New Roman" w:cs="Times New Roman"/>
                <w:sz w:val="24"/>
                <w:szCs w:val="24"/>
                <w:lang w:eastAsia="sk-SK"/>
              </w:rPr>
              <w:t>26 736,75</w:t>
            </w:r>
          </w:p>
        </w:tc>
        <w:tc>
          <w:tcPr>
            <w:tcW w:w="597" w:type="pct"/>
            <w:gridSpan w:val="2"/>
            <w:tcBorders>
              <w:top w:val="nil"/>
              <w:left w:val="nil"/>
              <w:bottom w:val="single" w:sz="4" w:space="0" w:color="auto"/>
              <w:right w:val="single" w:sz="4" w:space="0" w:color="auto"/>
            </w:tcBorders>
          </w:tcPr>
          <w:p w14:paraId="1BDA196B" w14:textId="224756DA" w:rsidR="00E40E86" w:rsidRPr="00B14AD5" w:rsidRDefault="00367B5F" w:rsidP="000E7BB4">
            <w:pPr>
              <w:spacing w:after="0" w:line="240" w:lineRule="auto"/>
              <w:jc w:val="center"/>
              <w:rPr>
                <w:rFonts w:ascii="Times New Roman" w:eastAsia="Times New Roman" w:hAnsi="Times New Roman" w:cs="Times New Roman"/>
                <w:sz w:val="24"/>
                <w:szCs w:val="24"/>
                <w:lang w:eastAsia="sk-SK"/>
              </w:rPr>
            </w:pPr>
            <w:r w:rsidRPr="00367B5F">
              <w:rPr>
                <w:rFonts w:ascii="Times New Roman" w:eastAsia="Times New Roman" w:hAnsi="Times New Roman" w:cs="Times New Roman"/>
                <w:sz w:val="24"/>
                <w:szCs w:val="24"/>
                <w:lang w:eastAsia="sk-SK"/>
              </w:rPr>
              <w:t>26 736,75</w:t>
            </w:r>
          </w:p>
        </w:tc>
        <w:tc>
          <w:tcPr>
            <w:tcW w:w="862" w:type="pct"/>
            <w:gridSpan w:val="2"/>
            <w:tcBorders>
              <w:top w:val="nil"/>
              <w:left w:val="nil"/>
              <w:bottom w:val="single" w:sz="4" w:space="0" w:color="auto"/>
              <w:right w:val="single" w:sz="4" w:space="0" w:color="auto"/>
            </w:tcBorders>
            <w:noWrap/>
            <w:vAlign w:val="bottom"/>
          </w:tcPr>
          <w:p w14:paraId="190DDACA" w14:textId="77777777" w:rsidR="00E40E86" w:rsidRPr="00B14AD5" w:rsidRDefault="00E40E86"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w:t>
            </w:r>
          </w:p>
        </w:tc>
      </w:tr>
      <w:tr w:rsidR="000E7BB4" w:rsidRPr="00B14AD5" w14:paraId="6854F020" w14:textId="77777777" w:rsidTr="00367B5F">
        <w:trPr>
          <w:trHeight w:val="255"/>
        </w:trPr>
        <w:tc>
          <w:tcPr>
            <w:tcW w:w="2046" w:type="pct"/>
            <w:tcBorders>
              <w:top w:val="nil"/>
              <w:left w:val="nil"/>
              <w:bottom w:val="nil"/>
              <w:right w:val="nil"/>
            </w:tcBorders>
            <w:noWrap/>
            <w:vAlign w:val="bottom"/>
          </w:tcPr>
          <w:p w14:paraId="6A4BBEF9"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595" w:type="pct"/>
            <w:tcBorders>
              <w:top w:val="nil"/>
              <w:left w:val="nil"/>
              <w:bottom w:val="nil"/>
              <w:right w:val="nil"/>
            </w:tcBorders>
            <w:noWrap/>
            <w:vAlign w:val="bottom"/>
          </w:tcPr>
          <w:p w14:paraId="76EA53E2"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671" w:type="pct"/>
            <w:gridSpan w:val="2"/>
            <w:tcBorders>
              <w:top w:val="nil"/>
              <w:left w:val="nil"/>
              <w:bottom w:val="nil"/>
              <w:right w:val="nil"/>
            </w:tcBorders>
            <w:noWrap/>
            <w:vAlign w:val="bottom"/>
          </w:tcPr>
          <w:p w14:paraId="16A107DB"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794" w:type="pct"/>
            <w:gridSpan w:val="4"/>
            <w:tcBorders>
              <w:top w:val="nil"/>
              <w:left w:val="nil"/>
              <w:bottom w:val="nil"/>
              <w:right w:val="nil"/>
            </w:tcBorders>
            <w:noWrap/>
            <w:vAlign w:val="bottom"/>
          </w:tcPr>
          <w:p w14:paraId="3AB70EB0"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771" w:type="pct"/>
            <w:tcBorders>
              <w:top w:val="nil"/>
              <w:left w:val="nil"/>
              <w:bottom w:val="nil"/>
              <w:right w:val="nil"/>
            </w:tcBorders>
            <w:noWrap/>
            <w:vAlign w:val="bottom"/>
          </w:tcPr>
          <w:p w14:paraId="1BBB3D46"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123" w:type="pct"/>
            <w:gridSpan w:val="2"/>
            <w:tcBorders>
              <w:top w:val="nil"/>
              <w:left w:val="nil"/>
              <w:bottom w:val="nil"/>
              <w:right w:val="nil"/>
            </w:tcBorders>
            <w:noWrap/>
            <w:vAlign w:val="bottom"/>
          </w:tcPr>
          <w:p w14:paraId="792A56E8"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r>
      <w:tr w:rsidR="000E7BB4" w:rsidRPr="00B14AD5" w14:paraId="5ED6A7BA" w14:textId="77777777" w:rsidTr="00367B5F">
        <w:trPr>
          <w:trHeight w:val="255"/>
        </w:trPr>
        <w:tc>
          <w:tcPr>
            <w:tcW w:w="2046" w:type="pct"/>
            <w:tcBorders>
              <w:top w:val="nil"/>
              <w:left w:val="nil"/>
              <w:bottom w:val="nil"/>
              <w:right w:val="nil"/>
            </w:tcBorders>
          </w:tcPr>
          <w:p w14:paraId="1D8CE08E" w14:textId="77777777" w:rsidR="000E7BB4" w:rsidRPr="00B14AD5" w:rsidRDefault="000E7BB4" w:rsidP="000E7BB4">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Poznámka:</w:t>
            </w:r>
          </w:p>
        </w:tc>
        <w:tc>
          <w:tcPr>
            <w:tcW w:w="595" w:type="pct"/>
            <w:tcBorders>
              <w:top w:val="nil"/>
              <w:left w:val="nil"/>
              <w:bottom w:val="nil"/>
              <w:right w:val="nil"/>
            </w:tcBorders>
            <w:noWrap/>
            <w:vAlign w:val="bottom"/>
          </w:tcPr>
          <w:p w14:paraId="408F74C3"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671" w:type="pct"/>
            <w:gridSpan w:val="2"/>
            <w:tcBorders>
              <w:top w:val="nil"/>
              <w:left w:val="nil"/>
              <w:bottom w:val="nil"/>
              <w:right w:val="nil"/>
            </w:tcBorders>
            <w:noWrap/>
            <w:vAlign w:val="bottom"/>
          </w:tcPr>
          <w:p w14:paraId="5A7F3A20"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794" w:type="pct"/>
            <w:gridSpan w:val="4"/>
            <w:tcBorders>
              <w:top w:val="nil"/>
              <w:left w:val="nil"/>
              <w:bottom w:val="nil"/>
              <w:right w:val="nil"/>
            </w:tcBorders>
            <w:noWrap/>
            <w:vAlign w:val="bottom"/>
          </w:tcPr>
          <w:p w14:paraId="5DE5BCEF"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771" w:type="pct"/>
            <w:tcBorders>
              <w:top w:val="nil"/>
              <w:left w:val="nil"/>
              <w:bottom w:val="nil"/>
              <w:right w:val="nil"/>
            </w:tcBorders>
            <w:noWrap/>
            <w:vAlign w:val="bottom"/>
          </w:tcPr>
          <w:p w14:paraId="518DF876"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123" w:type="pct"/>
            <w:gridSpan w:val="2"/>
            <w:tcBorders>
              <w:top w:val="nil"/>
              <w:left w:val="nil"/>
              <w:bottom w:val="nil"/>
              <w:right w:val="nil"/>
            </w:tcBorders>
            <w:noWrap/>
            <w:vAlign w:val="bottom"/>
          </w:tcPr>
          <w:p w14:paraId="4E81A653"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r>
      <w:tr w:rsidR="000E7BB4" w:rsidRPr="00B14AD5" w14:paraId="2361226D" w14:textId="77777777" w:rsidTr="00367B5F">
        <w:trPr>
          <w:trHeight w:val="255"/>
        </w:trPr>
        <w:tc>
          <w:tcPr>
            <w:tcW w:w="4877" w:type="pct"/>
            <w:gridSpan w:val="9"/>
            <w:tcBorders>
              <w:top w:val="nil"/>
              <w:left w:val="nil"/>
              <w:bottom w:val="nil"/>
              <w:right w:val="nil"/>
            </w:tcBorders>
            <w:noWrap/>
          </w:tcPr>
          <w:p w14:paraId="6BED61C9" w14:textId="77777777" w:rsidR="000E7BB4" w:rsidRPr="00B14AD5" w:rsidRDefault="000E7BB4" w:rsidP="000E7BB4">
            <w:pPr>
              <w:tabs>
                <w:tab w:val="num" w:pos="1080"/>
              </w:tabs>
              <w:spacing w:after="0" w:line="240" w:lineRule="auto"/>
              <w:jc w:val="both"/>
              <w:rPr>
                <w:rFonts w:ascii="Times New Roman" w:eastAsia="Times New Roman" w:hAnsi="Times New Roman" w:cs="Times New Roman"/>
                <w:bCs/>
                <w:sz w:val="24"/>
                <w:szCs w:val="20"/>
                <w:lang w:eastAsia="sk-SK"/>
              </w:rPr>
            </w:pPr>
            <w:r w:rsidRPr="00B14AD5">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CCD4659"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23" w:type="pct"/>
            <w:gridSpan w:val="2"/>
            <w:tcBorders>
              <w:top w:val="nil"/>
              <w:left w:val="nil"/>
              <w:bottom w:val="nil"/>
              <w:right w:val="nil"/>
            </w:tcBorders>
            <w:noWrap/>
            <w:vAlign w:val="bottom"/>
          </w:tcPr>
          <w:p w14:paraId="3A106E38"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r>
      <w:tr w:rsidR="000E7BB4" w:rsidRPr="00B14AD5" w14:paraId="60F1D7B0" w14:textId="77777777" w:rsidTr="00CD5BDA">
        <w:trPr>
          <w:gridAfter w:val="1"/>
          <w:wAfter w:w="66" w:type="pct"/>
          <w:trHeight w:val="255"/>
        </w:trPr>
        <w:tc>
          <w:tcPr>
            <w:tcW w:w="3637" w:type="pct"/>
            <w:gridSpan w:val="6"/>
            <w:tcBorders>
              <w:top w:val="nil"/>
              <w:left w:val="nil"/>
              <w:bottom w:val="nil"/>
              <w:right w:val="nil"/>
            </w:tcBorders>
            <w:noWrap/>
            <w:vAlign w:val="bottom"/>
          </w:tcPr>
          <w:p w14:paraId="60727F65"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469" w:type="pct"/>
            <w:gridSpan w:val="2"/>
            <w:tcBorders>
              <w:top w:val="nil"/>
              <w:left w:val="nil"/>
              <w:bottom w:val="nil"/>
              <w:right w:val="nil"/>
            </w:tcBorders>
            <w:noWrap/>
            <w:vAlign w:val="bottom"/>
          </w:tcPr>
          <w:p w14:paraId="238E30B1"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771" w:type="pct"/>
            <w:tcBorders>
              <w:top w:val="nil"/>
              <w:left w:val="nil"/>
              <w:bottom w:val="nil"/>
              <w:right w:val="nil"/>
            </w:tcBorders>
            <w:noWrap/>
            <w:vAlign w:val="bottom"/>
          </w:tcPr>
          <w:p w14:paraId="20EEB877"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c>
          <w:tcPr>
            <w:tcW w:w="57" w:type="pct"/>
            <w:tcBorders>
              <w:top w:val="nil"/>
              <w:left w:val="nil"/>
              <w:bottom w:val="nil"/>
              <w:right w:val="nil"/>
            </w:tcBorders>
            <w:noWrap/>
            <w:vAlign w:val="bottom"/>
          </w:tcPr>
          <w:p w14:paraId="01276F9F" w14:textId="77777777" w:rsidR="000E7BB4" w:rsidRPr="00B14AD5" w:rsidRDefault="000E7BB4" w:rsidP="000E7BB4">
            <w:pPr>
              <w:spacing w:after="0" w:line="240" w:lineRule="auto"/>
              <w:rPr>
                <w:rFonts w:ascii="Times New Roman" w:eastAsia="Times New Roman" w:hAnsi="Times New Roman" w:cs="Times New Roman"/>
                <w:sz w:val="24"/>
                <w:szCs w:val="24"/>
                <w:lang w:eastAsia="sk-SK"/>
              </w:rPr>
            </w:pPr>
          </w:p>
        </w:tc>
      </w:tr>
    </w:tbl>
    <w:p w14:paraId="38EC6C3B" w14:textId="77777777" w:rsidR="007D5748" w:rsidRPr="00B14AD5" w:rsidRDefault="007D5748" w:rsidP="007D5748">
      <w:pPr>
        <w:spacing w:after="0" w:line="240" w:lineRule="auto"/>
        <w:rPr>
          <w:rFonts w:ascii="Times New Roman" w:eastAsia="Times New Roman" w:hAnsi="Times New Roman" w:cs="Times New Roman"/>
          <w:b/>
          <w:bCs/>
          <w:sz w:val="24"/>
          <w:szCs w:val="24"/>
          <w:lang w:eastAsia="sk-SK"/>
        </w:rPr>
      </w:pPr>
    </w:p>
    <w:p w14:paraId="6100EAF3"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7B424C1B"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396EB43A"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6704D7D4"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3FD8DA26"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7D35C07D"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12266FB4"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6797FC45"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4CB5BF87"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73817D6D" w14:textId="77777777" w:rsidR="002B63FD" w:rsidRPr="00B14AD5" w:rsidRDefault="002B63FD" w:rsidP="007D5748">
      <w:pPr>
        <w:spacing w:after="0" w:line="240" w:lineRule="auto"/>
        <w:rPr>
          <w:rFonts w:ascii="Times New Roman" w:eastAsia="Times New Roman" w:hAnsi="Times New Roman" w:cs="Times New Roman"/>
          <w:b/>
          <w:bCs/>
          <w:sz w:val="24"/>
          <w:szCs w:val="24"/>
          <w:lang w:eastAsia="sk-SK"/>
        </w:rPr>
      </w:pPr>
    </w:p>
    <w:p w14:paraId="49B5A134" w14:textId="77777777" w:rsidR="002B63FD" w:rsidRPr="00B14AD5" w:rsidRDefault="00D922E5" w:rsidP="007D5748">
      <w:pPr>
        <w:spacing w:after="0" w:line="240" w:lineRule="auto"/>
        <w:rPr>
          <w:rFonts w:ascii="Times New Roman" w:eastAsia="Times New Roman" w:hAnsi="Times New Roman" w:cs="Times New Roman"/>
          <w:b/>
          <w:bCs/>
          <w:sz w:val="24"/>
          <w:szCs w:val="24"/>
          <w:lang w:eastAsia="sk-SK"/>
        </w:rPr>
      </w:pPr>
      <w:r w:rsidRPr="00B14AD5">
        <w:rPr>
          <w:rFonts w:ascii="Times New Roman" w:eastAsia="Times New Roman" w:hAnsi="Times New Roman" w:cs="Times New Roman"/>
          <w:b/>
          <w:bCs/>
          <w:sz w:val="24"/>
          <w:szCs w:val="24"/>
          <w:lang w:eastAsia="sk-SK"/>
        </w:rPr>
        <w:t xml:space="preserve">                                                                 </w:t>
      </w:r>
    </w:p>
    <w:p w14:paraId="57F6233A" w14:textId="77777777" w:rsidR="002B63FD" w:rsidRPr="00B14AD5" w:rsidRDefault="002B63FD" w:rsidP="002B63FD">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 xml:space="preserve">2.2.5. Výpočet vplyvov na dlhodobú udržateľnosť verejných financií </w:t>
      </w:r>
    </w:p>
    <w:p w14:paraId="18B25206" w14:textId="77777777"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p>
    <w:p w14:paraId="0C015D84" w14:textId="77777777" w:rsidR="002B63FD" w:rsidRPr="00B14AD5"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2B6D404F" w14:textId="77777777"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p>
    <w:p w14:paraId="1948E8C0" w14:textId="77777777"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                                                                                                                        </w:t>
      </w:r>
      <w:r w:rsidR="00D922E5" w:rsidRPr="00B14AD5">
        <w:rPr>
          <w:rFonts w:ascii="Times New Roman" w:eastAsia="Times New Roman" w:hAnsi="Times New Roman" w:cs="Times New Roman"/>
          <w:sz w:val="24"/>
          <w:szCs w:val="24"/>
          <w:lang w:eastAsia="sk-SK"/>
        </w:rPr>
        <w:t xml:space="preserve">        </w:t>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5E3699" w:rsidRPr="00B14AD5">
        <w:rPr>
          <w:rFonts w:ascii="Times New Roman" w:eastAsia="Times New Roman" w:hAnsi="Times New Roman" w:cs="Times New Roman"/>
          <w:sz w:val="24"/>
          <w:szCs w:val="24"/>
          <w:lang w:eastAsia="sk-SK"/>
        </w:rPr>
        <w:tab/>
      </w:r>
      <w:r w:rsidR="00D922E5" w:rsidRPr="00B14AD5">
        <w:rPr>
          <w:rFonts w:ascii="Times New Roman" w:eastAsia="Times New Roman" w:hAnsi="Times New Roman" w:cs="Times New Roman"/>
          <w:sz w:val="24"/>
          <w:szCs w:val="24"/>
          <w:lang w:eastAsia="sk-SK"/>
        </w:rPr>
        <w:t>Tabuľka č. 6</w:t>
      </w:r>
    </w:p>
    <w:p w14:paraId="1D15BD42" w14:textId="77777777" w:rsidR="00943733" w:rsidRPr="00B14AD5" w:rsidRDefault="00943733" w:rsidP="002B63FD">
      <w:pPr>
        <w:spacing w:after="0" w:line="240" w:lineRule="auto"/>
        <w:jc w:val="both"/>
        <w:rPr>
          <w:rFonts w:ascii="Times New Roman" w:eastAsia="Times New Roman" w:hAnsi="Times New Roman" w:cs="Times New Roman"/>
          <w:sz w:val="24"/>
          <w:szCs w:val="24"/>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B14AD5" w:rsidRPr="00B14AD5" w14:paraId="74C8CE7D" w14:textId="77777777" w:rsidTr="005E3699">
        <w:trPr>
          <w:trHeight w:val="284"/>
        </w:trPr>
        <w:tc>
          <w:tcPr>
            <w:tcW w:w="2943" w:type="dxa"/>
            <w:vMerge w:val="restart"/>
            <w:shd w:val="clear" w:color="auto" w:fill="BFBFBF" w:themeFill="background1" w:themeFillShade="BF"/>
            <w:vAlign w:val="center"/>
          </w:tcPr>
          <w:p w14:paraId="660A4698" w14:textId="77777777"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33432935" w14:textId="77777777"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3290B6FD" w14:textId="77777777"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Poznámka</w:t>
            </w:r>
          </w:p>
        </w:tc>
      </w:tr>
      <w:tr w:rsidR="00B14AD5" w:rsidRPr="00B14AD5" w14:paraId="206CCC4A" w14:textId="77777777" w:rsidTr="005E3699">
        <w:trPr>
          <w:trHeight w:val="284"/>
        </w:trPr>
        <w:tc>
          <w:tcPr>
            <w:tcW w:w="2943" w:type="dxa"/>
            <w:vMerge/>
            <w:shd w:val="clear" w:color="auto" w:fill="BFBFBF" w:themeFill="background1" w:themeFillShade="BF"/>
          </w:tcPr>
          <w:p w14:paraId="56A695A8"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4FC83ECC" w14:textId="77777777" w:rsidR="002B63FD" w:rsidRPr="00B14AD5" w:rsidRDefault="00FB3DF4"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501E001C" w14:textId="77777777"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d+10</w:t>
            </w:r>
          </w:p>
        </w:tc>
        <w:tc>
          <w:tcPr>
            <w:tcW w:w="1559" w:type="dxa"/>
            <w:shd w:val="clear" w:color="auto" w:fill="BFBFBF" w:themeFill="background1" w:themeFillShade="BF"/>
          </w:tcPr>
          <w:p w14:paraId="29F71082" w14:textId="77777777"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d+20</w:t>
            </w:r>
          </w:p>
        </w:tc>
        <w:tc>
          <w:tcPr>
            <w:tcW w:w="1418" w:type="dxa"/>
            <w:shd w:val="clear" w:color="auto" w:fill="BFBFBF" w:themeFill="background1" w:themeFillShade="BF"/>
          </w:tcPr>
          <w:p w14:paraId="06411902" w14:textId="77777777"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d+30</w:t>
            </w:r>
          </w:p>
        </w:tc>
        <w:tc>
          <w:tcPr>
            <w:tcW w:w="1984" w:type="dxa"/>
            <w:shd w:val="clear" w:color="auto" w:fill="BFBFBF" w:themeFill="background1" w:themeFillShade="BF"/>
          </w:tcPr>
          <w:p w14:paraId="0A6903AC" w14:textId="77777777" w:rsidR="002B63FD" w:rsidRPr="00B14AD5"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d+40</w:t>
            </w:r>
          </w:p>
        </w:tc>
        <w:tc>
          <w:tcPr>
            <w:tcW w:w="3119" w:type="dxa"/>
            <w:vMerge/>
            <w:shd w:val="clear" w:color="auto" w:fill="BFBFBF" w:themeFill="background1" w:themeFillShade="BF"/>
          </w:tcPr>
          <w:p w14:paraId="79BE9BD2"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B14AD5" w:rsidRPr="00B14AD5" w14:paraId="208161E4" w14:textId="77777777" w:rsidTr="005E3699">
        <w:trPr>
          <w:trHeight w:val="284"/>
        </w:trPr>
        <w:tc>
          <w:tcPr>
            <w:tcW w:w="2943" w:type="dxa"/>
            <w:shd w:val="clear" w:color="auto" w:fill="auto"/>
            <w:vAlign w:val="bottom"/>
          </w:tcPr>
          <w:p w14:paraId="08E5F63F" w14:textId="77777777" w:rsidR="002B63FD" w:rsidRPr="00B14AD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výdavky v p. b. HDP</w:t>
            </w:r>
          </w:p>
        </w:tc>
        <w:tc>
          <w:tcPr>
            <w:tcW w:w="1447" w:type="dxa"/>
            <w:shd w:val="clear" w:color="auto" w:fill="auto"/>
          </w:tcPr>
          <w:p w14:paraId="79248DAC"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A5C07EF"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7A90676"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7A699DE7"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40DB9A3C"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43B8B841"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B14AD5" w:rsidRPr="00B14AD5" w14:paraId="272142F9" w14:textId="77777777" w:rsidTr="005E3699">
        <w:trPr>
          <w:trHeight w:val="284"/>
        </w:trPr>
        <w:tc>
          <w:tcPr>
            <w:tcW w:w="2943" w:type="dxa"/>
            <w:shd w:val="clear" w:color="auto" w:fill="auto"/>
          </w:tcPr>
          <w:p w14:paraId="1E953E39" w14:textId="77777777" w:rsidR="002B63FD" w:rsidRPr="00B14AD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príjmy v p. b. HDP</w:t>
            </w:r>
          </w:p>
        </w:tc>
        <w:tc>
          <w:tcPr>
            <w:tcW w:w="1447" w:type="dxa"/>
            <w:shd w:val="clear" w:color="auto" w:fill="auto"/>
          </w:tcPr>
          <w:p w14:paraId="5E80D4BE"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F6E542B"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69FB29E"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07940555"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549D4E9E"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1DDDAD7"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B14AD5" w14:paraId="5258BB7D" w14:textId="77777777" w:rsidTr="005E3699">
        <w:trPr>
          <w:trHeight w:val="284"/>
        </w:trPr>
        <w:tc>
          <w:tcPr>
            <w:tcW w:w="2943" w:type="dxa"/>
            <w:shd w:val="clear" w:color="auto" w:fill="auto"/>
          </w:tcPr>
          <w:p w14:paraId="42130E44" w14:textId="77777777" w:rsidR="002B63FD" w:rsidRPr="00B14AD5"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bilanciu  v p. b. HDP</w:t>
            </w:r>
          </w:p>
        </w:tc>
        <w:tc>
          <w:tcPr>
            <w:tcW w:w="1447" w:type="dxa"/>
            <w:shd w:val="clear" w:color="auto" w:fill="auto"/>
          </w:tcPr>
          <w:p w14:paraId="70172F4D"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47E8CB1"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5E8358C"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785B0E21"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5839F2C3"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4222F689" w14:textId="77777777" w:rsidR="002B63FD" w:rsidRPr="00B14AD5"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7BCE5DD2" w14:textId="77777777" w:rsidR="00CD183F" w:rsidRDefault="00CD183F" w:rsidP="002B63FD">
      <w:pPr>
        <w:spacing w:after="0" w:line="240" w:lineRule="auto"/>
        <w:jc w:val="both"/>
        <w:rPr>
          <w:rFonts w:ascii="Times New Roman" w:eastAsia="Times New Roman" w:hAnsi="Times New Roman" w:cs="Times New Roman"/>
          <w:b/>
          <w:sz w:val="24"/>
          <w:szCs w:val="24"/>
          <w:lang w:eastAsia="sk-SK"/>
        </w:rPr>
      </w:pPr>
    </w:p>
    <w:p w14:paraId="533C6A5F" w14:textId="4BB86382" w:rsidR="002B63FD" w:rsidRPr="00B14AD5" w:rsidRDefault="00D922E5" w:rsidP="002B63FD">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Poznámka</w:t>
      </w:r>
      <w:r w:rsidR="002B63FD" w:rsidRPr="00B14AD5">
        <w:rPr>
          <w:rFonts w:ascii="Times New Roman" w:eastAsia="Times New Roman" w:hAnsi="Times New Roman" w:cs="Times New Roman"/>
          <w:b/>
          <w:sz w:val="24"/>
          <w:szCs w:val="24"/>
          <w:lang w:eastAsia="sk-SK"/>
        </w:rPr>
        <w:t xml:space="preserve">: </w:t>
      </w:r>
    </w:p>
    <w:p w14:paraId="4FC99E7F" w14:textId="77777777" w:rsidR="002B63FD" w:rsidRPr="00B14AD5" w:rsidRDefault="002B63FD" w:rsidP="002B63FD">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Písmeno „d“ označuje prvý rok nasledujúcej dekády. </w:t>
      </w:r>
    </w:p>
    <w:p w14:paraId="3BD7C512" w14:textId="29284604" w:rsidR="004F53BF" w:rsidRDefault="002B63FD" w:rsidP="00CD183F">
      <w:pPr>
        <w:spacing w:after="0" w:line="240" w:lineRule="auto"/>
        <w:jc w:val="both"/>
      </w:pPr>
      <w:r w:rsidRPr="00B14AD5">
        <w:rPr>
          <w:rFonts w:ascii="Times New Roman" w:eastAsia="Times New Roman" w:hAnsi="Times New Roman" w:cs="Times New Roman"/>
          <w:sz w:val="24"/>
          <w:szCs w:val="24"/>
          <w:lang w:eastAsia="sk-SK"/>
        </w:rPr>
        <w:lastRenderedPageBreak/>
        <w:t>Tabuľka sa vypĺňa pre každé opatrenie samostatne. V prípade zavádzania viacerých opatrení sa vyplní aj tabuľka obsahujúca aj kumulatívny efekt zaveden</w:t>
      </w:r>
      <w:r w:rsidR="00D70437">
        <w:rPr>
          <w:rFonts w:ascii="Times New Roman" w:eastAsia="Times New Roman" w:hAnsi="Times New Roman" w:cs="Times New Roman"/>
          <w:sz w:val="24"/>
          <w:szCs w:val="24"/>
          <w:lang w:eastAsia="sk-SK"/>
        </w:rPr>
        <w:t>ia všetkých opatrení súčasne.</w:t>
      </w:r>
      <w:bookmarkStart w:id="1" w:name="_GoBack"/>
      <w:bookmarkEnd w:id="1"/>
    </w:p>
    <w:sectPr w:rsidR="004F53BF" w:rsidSect="00CD183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EFF32" w14:textId="77777777" w:rsidR="00103CB8" w:rsidRDefault="00103CB8">
      <w:pPr>
        <w:spacing w:after="0" w:line="240" w:lineRule="auto"/>
      </w:pPr>
      <w:r>
        <w:separator/>
      </w:r>
    </w:p>
  </w:endnote>
  <w:endnote w:type="continuationSeparator" w:id="0">
    <w:p w14:paraId="749E75F7" w14:textId="77777777" w:rsidR="00103CB8" w:rsidRDefault="00103CB8">
      <w:pPr>
        <w:spacing w:after="0" w:line="240" w:lineRule="auto"/>
      </w:pPr>
      <w:r>
        <w:continuationSeparator/>
      </w:r>
    </w:p>
  </w:endnote>
  <w:endnote w:type="continuationNotice" w:id="1">
    <w:p w14:paraId="3CDB61B6" w14:textId="77777777" w:rsidR="00103CB8" w:rsidRDefault="00103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DFBD" w14:textId="77777777" w:rsidR="009D63A6" w:rsidRDefault="009D63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1E51C8C" w14:textId="77777777" w:rsidR="009D63A6" w:rsidRDefault="009D63A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B209" w14:textId="01ED1266" w:rsidR="009D63A6" w:rsidRDefault="009D63A6" w:rsidP="0077143C">
    <w:pPr>
      <w:pStyle w:val="Pta"/>
      <w:jc w:val="center"/>
    </w:pPr>
    <w:r>
      <w:fldChar w:fldCharType="begin"/>
    </w:r>
    <w:r>
      <w:instrText>PAGE   \* MERGEFORMAT</w:instrText>
    </w:r>
    <w:r>
      <w:fldChar w:fldCharType="separate"/>
    </w:r>
    <w:r w:rsidR="00D70437">
      <w:rPr>
        <w:noProof/>
      </w:rPr>
      <w:t>8</w:t>
    </w:r>
    <w:r>
      <w:fldChar w:fldCharType="end"/>
    </w:r>
  </w:p>
  <w:p w14:paraId="50D7FCCD" w14:textId="77777777" w:rsidR="009D63A6" w:rsidRDefault="009D63A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940C" w14:textId="77777777" w:rsidR="009D63A6" w:rsidRDefault="009D63A6">
    <w:pPr>
      <w:pStyle w:val="Pta"/>
      <w:jc w:val="right"/>
    </w:pPr>
    <w:r>
      <w:fldChar w:fldCharType="begin"/>
    </w:r>
    <w:r>
      <w:instrText>PAGE   \* MERGEFORMAT</w:instrText>
    </w:r>
    <w:r>
      <w:fldChar w:fldCharType="separate"/>
    </w:r>
    <w:r>
      <w:rPr>
        <w:noProof/>
      </w:rPr>
      <w:t>0</w:t>
    </w:r>
    <w:r>
      <w:fldChar w:fldCharType="end"/>
    </w:r>
  </w:p>
  <w:p w14:paraId="4ED67417" w14:textId="77777777" w:rsidR="009D63A6" w:rsidRDefault="009D63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A9C2D" w14:textId="77777777" w:rsidR="00103CB8" w:rsidRDefault="00103CB8">
      <w:pPr>
        <w:spacing w:after="0" w:line="240" w:lineRule="auto"/>
      </w:pPr>
      <w:r>
        <w:separator/>
      </w:r>
    </w:p>
  </w:footnote>
  <w:footnote w:type="continuationSeparator" w:id="0">
    <w:p w14:paraId="069A8FA1" w14:textId="77777777" w:rsidR="00103CB8" w:rsidRDefault="00103CB8">
      <w:pPr>
        <w:spacing w:after="0" w:line="240" w:lineRule="auto"/>
      </w:pPr>
      <w:r>
        <w:continuationSeparator/>
      </w:r>
    </w:p>
  </w:footnote>
  <w:footnote w:type="continuationNotice" w:id="1">
    <w:p w14:paraId="6A6D27ED" w14:textId="77777777" w:rsidR="00103CB8" w:rsidRDefault="00103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5E11" w14:textId="77777777" w:rsidR="009D63A6" w:rsidRDefault="009D63A6" w:rsidP="002B63FD">
    <w:pPr>
      <w:pStyle w:val="Hlavika"/>
      <w:jc w:val="right"/>
      <w:rPr>
        <w:sz w:val="24"/>
        <w:szCs w:val="24"/>
      </w:rPr>
    </w:pPr>
    <w:r>
      <w:rPr>
        <w:sz w:val="24"/>
        <w:szCs w:val="24"/>
      </w:rPr>
      <w:t>Príloha č. 2</w:t>
    </w:r>
  </w:p>
  <w:p w14:paraId="565C7C21" w14:textId="77777777" w:rsidR="009D63A6" w:rsidRPr="00EB59C8" w:rsidRDefault="009D63A6"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9BF32" w14:textId="58B4B71B" w:rsidR="009D63A6" w:rsidRPr="0024067A" w:rsidRDefault="009D63A6">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8B59" w14:textId="77777777" w:rsidR="009D63A6" w:rsidRPr="000A15AE" w:rsidRDefault="009D63A6"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53E1"/>
    <w:rsid w:val="00035EB6"/>
    <w:rsid w:val="00036DE2"/>
    <w:rsid w:val="000433DE"/>
    <w:rsid w:val="00057135"/>
    <w:rsid w:val="00071D97"/>
    <w:rsid w:val="00094EC8"/>
    <w:rsid w:val="000B490B"/>
    <w:rsid w:val="000B509B"/>
    <w:rsid w:val="000C51AC"/>
    <w:rsid w:val="000E067F"/>
    <w:rsid w:val="000E7BB4"/>
    <w:rsid w:val="000F00DA"/>
    <w:rsid w:val="00103CB8"/>
    <w:rsid w:val="001127A8"/>
    <w:rsid w:val="001227E2"/>
    <w:rsid w:val="001370DD"/>
    <w:rsid w:val="001458CC"/>
    <w:rsid w:val="00167F3F"/>
    <w:rsid w:val="00170D2B"/>
    <w:rsid w:val="00192B81"/>
    <w:rsid w:val="001E381F"/>
    <w:rsid w:val="00200898"/>
    <w:rsid w:val="00207133"/>
    <w:rsid w:val="00212894"/>
    <w:rsid w:val="00243FD4"/>
    <w:rsid w:val="0026019C"/>
    <w:rsid w:val="00265AD4"/>
    <w:rsid w:val="002914D4"/>
    <w:rsid w:val="002944C1"/>
    <w:rsid w:val="00296554"/>
    <w:rsid w:val="002B5AD4"/>
    <w:rsid w:val="002B63FD"/>
    <w:rsid w:val="00307A41"/>
    <w:rsid w:val="00313D1D"/>
    <w:rsid w:val="00317B90"/>
    <w:rsid w:val="00330C5D"/>
    <w:rsid w:val="00367B5F"/>
    <w:rsid w:val="0038658F"/>
    <w:rsid w:val="003A3C0C"/>
    <w:rsid w:val="003B7684"/>
    <w:rsid w:val="003C0E8B"/>
    <w:rsid w:val="003C753B"/>
    <w:rsid w:val="003D4E61"/>
    <w:rsid w:val="003E389E"/>
    <w:rsid w:val="003F586F"/>
    <w:rsid w:val="003F7C8C"/>
    <w:rsid w:val="00414CE6"/>
    <w:rsid w:val="00474F11"/>
    <w:rsid w:val="00477537"/>
    <w:rsid w:val="00487203"/>
    <w:rsid w:val="004E5E76"/>
    <w:rsid w:val="004F11C4"/>
    <w:rsid w:val="004F53BF"/>
    <w:rsid w:val="005005EC"/>
    <w:rsid w:val="005307FC"/>
    <w:rsid w:val="00572B2D"/>
    <w:rsid w:val="00585B59"/>
    <w:rsid w:val="005A0EF4"/>
    <w:rsid w:val="005A5337"/>
    <w:rsid w:val="005B1CEC"/>
    <w:rsid w:val="005C113E"/>
    <w:rsid w:val="005C56E6"/>
    <w:rsid w:val="005E3699"/>
    <w:rsid w:val="00606FBC"/>
    <w:rsid w:val="006345FC"/>
    <w:rsid w:val="00657B74"/>
    <w:rsid w:val="00693E5F"/>
    <w:rsid w:val="006A2947"/>
    <w:rsid w:val="006C07FD"/>
    <w:rsid w:val="006C089E"/>
    <w:rsid w:val="006C1871"/>
    <w:rsid w:val="006D283A"/>
    <w:rsid w:val="006D33E0"/>
    <w:rsid w:val="006D6353"/>
    <w:rsid w:val="00717D00"/>
    <w:rsid w:val="007246BD"/>
    <w:rsid w:val="00727689"/>
    <w:rsid w:val="00764A85"/>
    <w:rsid w:val="0077143C"/>
    <w:rsid w:val="0077530D"/>
    <w:rsid w:val="007948CC"/>
    <w:rsid w:val="007B08A9"/>
    <w:rsid w:val="007D2BE4"/>
    <w:rsid w:val="007D5748"/>
    <w:rsid w:val="007E7A45"/>
    <w:rsid w:val="008205B7"/>
    <w:rsid w:val="00886FB5"/>
    <w:rsid w:val="008872AA"/>
    <w:rsid w:val="00893B76"/>
    <w:rsid w:val="008A0895"/>
    <w:rsid w:val="008A1067"/>
    <w:rsid w:val="008D339D"/>
    <w:rsid w:val="008E2736"/>
    <w:rsid w:val="00942679"/>
    <w:rsid w:val="00943733"/>
    <w:rsid w:val="00955073"/>
    <w:rsid w:val="00961D0F"/>
    <w:rsid w:val="009706B7"/>
    <w:rsid w:val="0097106B"/>
    <w:rsid w:val="009811BE"/>
    <w:rsid w:val="009C0E79"/>
    <w:rsid w:val="009D3D61"/>
    <w:rsid w:val="009D491C"/>
    <w:rsid w:val="009D5118"/>
    <w:rsid w:val="009D63A6"/>
    <w:rsid w:val="009F3197"/>
    <w:rsid w:val="00A370E9"/>
    <w:rsid w:val="00A939B4"/>
    <w:rsid w:val="00AA5D31"/>
    <w:rsid w:val="00AB5919"/>
    <w:rsid w:val="00AC5FE9"/>
    <w:rsid w:val="00B14AD5"/>
    <w:rsid w:val="00B15B33"/>
    <w:rsid w:val="00B22B39"/>
    <w:rsid w:val="00B24E1C"/>
    <w:rsid w:val="00B34306"/>
    <w:rsid w:val="00B5535C"/>
    <w:rsid w:val="00B55C9A"/>
    <w:rsid w:val="00BA282F"/>
    <w:rsid w:val="00BB2669"/>
    <w:rsid w:val="00BB79CC"/>
    <w:rsid w:val="00BD67B2"/>
    <w:rsid w:val="00C07FB9"/>
    <w:rsid w:val="00C15212"/>
    <w:rsid w:val="00C436DB"/>
    <w:rsid w:val="00C466D4"/>
    <w:rsid w:val="00C51FD4"/>
    <w:rsid w:val="00C5575B"/>
    <w:rsid w:val="00C653D7"/>
    <w:rsid w:val="00C90818"/>
    <w:rsid w:val="00C92814"/>
    <w:rsid w:val="00CB3623"/>
    <w:rsid w:val="00CC1A93"/>
    <w:rsid w:val="00CD183F"/>
    <w:rsid w:val="00CD5BDA"/>
    <w:rsid w:val="00CE299A"/>
    <w:rsid w:val="00CE40C2"/>
    <w:rsid w:val="00D0235F"/>
    <w:rsid w:val="00D108E3"/>
    <w:rsid w:val="00D113A8"/>
    <w:rsid w:val="00D200BE"/>
    <w:rsid w:val="00D70437"/>
    <w:rsid w:val="00D756BE"/>
    <w:rsid w:val="00D9171A"/>
    <w:rsid w:val="00D922E5"/>
    <w:rsid w:val="00DB0223"/>
    <w:rsid w:val="00DB4D21"/>
    <w:rsid w:val="00DE5BF1"/>
    <w:rsid w:val="00DE7B0C"/>
    <w:rsid w:val="00DF6545"/>
    <w:rsid w:val="00DF6729"/>
    <w:rsid w:val="00E07CE9"/>
    <w:rsid w:val="00E161E5"/>
    <w:rsid w:val="00E33CCB"/>
    <w:rsid w:val="00E40E86"/>
    <w:rsid w:val="00E4770B"/>
    <w:rsid w:val="00E9587B"/>
    <w:rsid w:val="00E963A3"/>
    <w:rsid w:val="00EA1E90"/>
    <w:rsid w:val="00ED2DA5"/>
    <w:rsid w:val="00EE1CF0"/>
    <w:rsid w:val="00EE28EB"/>
    <w:rsid w:val="00EE3530"/>
    <w:rsid w:val="00EE4A2D"/>
    <w:rsid w:val="00F00517"/>
    <w:rsid w:val="00F34616"/>
    <w:rsid w:val="00F348E6"/>
    <w:rsid w:val="00F40136"/>
    <w:rsid w:val="00F74C35"/>
    <w:rsid w:val="00F95C1C"/>
    <w:rsid w:val="00FB07F4"/>
    <w:rsid w:val="00FB3DF4"/>
    <w:rsid w:val="00FB4A4A"/>
    <w:rsid w:val="00FE54B3"/>
    <w:rsid w:val="00FF61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940A"/>
  <w15:docId w15:val="{7D014B18-8253-417B-ABD2-59BF738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0E8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rsid w:val="0029655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8CC"/>
    <w:pPr>
      <w:spacing w:after="0" w:line="240" w:lineRule="auto"/>
    </w:pPr>
  </w:style>
  <w:style w:type="character" w:styleId="Odkaznakomentr">
    <w:name w:val="annotation reference"/>
    <w:basedOn w:val="Predvolenpsmoodseku"/>
    <w:uiPriority w:val="99"/>
    <w:semiHidden/>
    <w:unhideWhenUsed/>
    <w:rsid w:val="003D4E61"/>
    <w:rPr>
      <w:sz w:val="16"/>
      <w:szCs w:val="16"/>
    </w:rPr>
  </w:style>
  <w:style w:type="paragraph" w:styleId="Textkomentra">
    <w:name w:val="annotation text"/>
    <w:basedOn w:val="Normlny"/>
    <w:link w:val="TextkomentraChar"/>
    <w:uiPriority w:val="99"/>
    <w:semiHidden/>
    <w:unhideWhenUsed/>
    <w:rsid w:val="003D4E61"/>
    <w:pPr>
      <w:spacing w:line="240" w:lineRule="auto"/>
    </w:pPr>
    <w:rPr>
      <w:sz w:val="20"/>
      <w:szCs w:val="20"/>
    </w:rPr>
  </w:style>
  <w:style w:type="character" w:customStyle="1" w:styleId="TextkomentraChar">
    <w:name w:val="Text komentára Char"/>
    <w:basedOn w:val="Predvolenpsmoodseku"/>
    <w:link w:val="Textkomentra"/>
    <w:uiPriority w:val="99"/>
    <w:semiHidden/>
    <w:rsid w:val="003D4E61"/>
    <w:rPr>
      <w:sz w:val="20"/>
      <w:szCs w:val="20"/>
    </w:rPr>
  </w:style>
  <w:style w:type="paragraph" w:styleId="Predmetkomentra">
    <w:name w:val="annotation subject"/>
    <w:basedOn w:val="Textkomentra"/>
    <w:next w:val="Textkomentra"/>
    <w:link w:val="PredmetkomentraChar"/>
    <w:uiPriority w:val="99"/>
    <w:semiHidden/>
    <w:unhideWhenUsed/>
    <w:rsid w:val="003D4E61"/>
    <w:rPr>
      <w:b/>
      <w:bCs/>
    </w:rPr>
  </w:style>
  <w:style w:type="character" w:customStyle="1" w:styleId="PredmetkomentraChar">
    <w:name w:val="Predmet komentára Char"/>
    <w:basedOn w:val="TextkomentraChar"/>
    <w:link w:val="Predmetkomentra"/>
    <w:uiPriority w:val="99"/>
    <w:semiHidden/>
    <w:rsid w:val="003D4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4.xml><?xml version="1.0" encoding="utf-8"?>
<ds:datastoreItem xmlns:ds="http://schemas.openxmlformats.org/officeDocument/2006/customXml" ds:itemID="{D163FB2A-C6E7-4D1D-B76C-E4C9F786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1981</Words>
  <Characters>11298</Characters>
  <Application>Microsoft Office Word</Application>
  <DocSecurity>4</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Galmišová Anežka</cp:lastModifiedBy>
  <cp:revision>2</cp:revision>
  <cp:lastPrinted>2023-08-23T06:17:00Z</cp:lastPrinted>
  <dcterms:created xsi:type="dcterms:W3CDTF">2023-10-10T11:07:00Z</dcterms:created>
  <dcterms:modified xsi:type="dcterms:W3CDTF">2023-10-10T11:07:00Z</dcterms:modified>
</cp:coreProperties>
</file>