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5CE52FDF"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0F58E0">
        <w:rPr>
          <w:rFonts w:ascii="Times New Roman" w:eastAsia="Calibri" w:hAnsi="Times New Roman" w:cs="Times New Roman"/>
          <w:b/>
          <w:sz w:val="24"/>
          <w:szCs w:val="24"/>
        </w:rPr>
        <w:t xml:space="preserve"> </w:t>
      </w:r>
      <w:r w:rsidR="000F58E0" w:rsidRPr="00502147">
        <w:rPr>
          <w:rFonts w:ascii="Times New Roman" w:eastAsia="Times New Roman" w:hAnsi="Times New Roman" w:cs="Times New Roman"/>
          <w:color w:val="000000"/>
          <w:sz w:val="24"/>
          <w:szCs w:val="24"/>
          <w:lang w:eastAsia="sk-SK"/>
        </w:rPr>
        <w:t xml:space="preserve">Návrh zákona, ktorým sa mení a dopĺňa zákon č. 264/2022 Z. z. </w:t>
      </w:r>
      <w:r w:rsidR="000F58E0">
        <w:rPr>
          <w:rFonts w:ascii="Times New Roman" w:eastAsia="Times New Roman" w:hAnsi="Times New Roman" w:cs="Times New Roman"/>
          <w:color w:val="000000"/>
          <w:sz w:val="24"/>
          <w:szCs w:val="24"/>
          <w:lang w:eastAsia="sk-SK"/>
        </w:rPr>
        <w:br/>
      </w:r>
      <w:r w:rsidR="000F58E0" w:rsidRPr="00502147">
        <w:rPr>
          <w:rFonts w:ascii="Times New Roman" w:eastAsia="Times New Roman" w:hAnsi="Times New Roman" w:cs="Times New Roman"/>
          <w:color w:val="000000"/>
          <w:sz w:val="24"/>
          <w:szCs w:val="24"/>
          <w:lang w:eastAsia="sk-SK"/>
        </w:rPr>
        <w:t xml:space="preserve">o mediálnych službách a o zmene a doplnení niektorých zákonov (zákon o mediálnych službách) v znení </w:t>
      </w:r>
      <w:r w:rsidR="000F58E0">
        <w:rPr>
          <w:rFonts w:ascii="Times New Roman" w:eastAsia="Times New Roman" w:hAnsi="Times New Roman" w:cs="Times New Roman"/>
          <w:color w:val="000000"/>
          <w:sz w:val="24"/>
          <w:szCs w:val="24"/>
          <w:lang w:eastAsia="sk-SK"/>
        </w:rPr>
        <w:t>neskorších predpisov</w:t>
      </w:r>
      <w:r w:rsidR="000F58E0" w:rsidRPr="00502147">
        <w:rPr>
          <w:rFonts w:ascii="Times New Roman" w:eastAsia="Times New Roman" w:hAnsi="Times New Roman" w:cs="Times New Roman"/>
          <w:color w:val="000000"/>
          <w:sz w:val="24"/>
          <w:szCs w:val="24"/>
          <w:lang w:eastAsia="sk-SK"/>
        </w:rPr>
        <w:t xml:space="preserve"> a</w:t>
      </w:r>
      <w:r w:rsidR="000F58E0">
        <w:rPr>
          <w:rFonts w:ascii="Times New Roman" w:eastAsia="Times New Roman" w:hAnsi="Times New Roman" w:cs="Times New Roman"/>
          <w:color w:val="000000"/>
          <w:sz w:val="24"/>
          <w:szCs w:val="24"/>
          <w:lang w:eastAsia="sk-SK"/>
        </w:rPr>
        <w:t> </w:t>
      </w:r>
      <w:r w:rsidR="000F58E0">
        <w:rPr>
          <w:rFonts w:ascii="Times New Roman" w:eastAsia="Times New Roman" w:hAnsi="Times New Roman" w:cs="Times New Roman"/>
          <w:sz w:val="24"/>
          <w:szCs w:val="24"/>
          <w:lang w:eastAsia="sk-SK"/>
        </w:rPr>
        <w:t>o zmene a doplnení niektorých zákonov</w:t>
      </w:r>
    </w:p>
    <w:p w14:paraId="77F96BF6" w14:textId="6D258740" w:rsidR="00054C41" w:rsidRPr="000F58E0"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sidR="000F58E0">
        <w:rPr>
          <w:rFonts w:ascii="Times New Roman" w:eastAsia="Calibri" w:hAnsi="Times New Roman" w:cs="Times New Roman"/>
          <w:b/>
          <w:sz w:val="24"/>
          <w:szCs w:val="24"/>
        </w:rPr>
        <w:t xml:space="preserve"> </w:t>
      </w:r>
      <w:r w:rsidR="000F58E0">
        <w:rPr>
          <w:rFonts w:ascii="Times New Roman" w:eastAsia="Calibri" w:hAnsi="Times New Roman" w:cs="Times New Roman"/>
          <w:sz w:val="24"/>
          <w:szCs w:val="24"/>
        </w:rPr>
        <w:t>Ministerstvo kultúry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0"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2F770DF2" w14:textId="3B21DEA1" w:rsidR="00F81C06" w:rsidRDefault="000F58E0" w:rsidP="00054C41">
      <w:pPr>
        <w:spacing w:after="0"/>
        <w:jc w:val="both"/>
        <w:rPr>
          <w:rFonts w:ascii="Times New Roman" w:eastAsia="Times New Roman" w:hAnsi="Times New Roman" w:cs="Times New Roman"/>
          <w:color w:val="000000"/>
          <w:sz w:val="24"/>
          <w:szCs w:val="24"/>
          <w:lang w:eastAsia="sk-SK"/>
        </w:rPr>
      </w:pPr>
      <w:r>
        <w:rPr>
          <w:rFonts w:ascii="Times New Roman" w:eastAsia="Calibri" w:hAnsi="Times New Roman" w:cs="Times New Roman"/>
          <w:sz w:val="24"/>
          <w:szCs w:val="24"/>
        </w:rPr>
        <w:t>Materiál v častiach, ktoré zakladajú vplyvy na podnikateľské prostredie (</w:t>
      </w:r>
      <w:r w:rsidR="00043CF0">
        <w:rPr>
          <w:rFonts w:ascii="Times New Roman" w:eastAsia="Calibri" w:hAnsi="Times New Roman" w:cs="Times New Roman"/>
          <w:sz w:val="24"/>
          <w:szCs w:val="24"/>
        </w:rPr>
        <w:t xml:space="preserve">čl. I § 133b a § 145b – </w:t>
      </w:r>
      <w:r>
        <w:rPr>
          <w:rFonts w:ascii="Times New Roman" w:eastAsia="Calibri" w:hAnsi="Times New Roman" w:cs="Times New Roman"/>
          <w:sz w:val="24"/>
          <w:szCs w:val="24"/>
        </w:rPr>
        <w:t xml:space="preserve">sankčné ustanovenia), predstavuje strohú implementáciu nariadenia </w:t>
      </w:r>
      <w:r w:rsidRPr="00A607C5">
        <w:rPr>
          <w:rFonts w:ascii="Times New Roman" w:eastAsia="Times New Roman" w:hAnsi="Times New Roman" w:cs="Times New Roman"/>
          <w:color w:val="000000"/>
          <w:sz w:val="24"/>
          <w:szCs w:val="24"/>
          <w:lang w:eastAsia="sk-SK"/>
        </w:rPr>
        <w:t>Európskeho parlamentu a Rady (EÚ) 2022/2065 z 19. októbra 2022 o jednotnom trhu s digitálnymi službami a o zmene smernice 2000/31/ES (akt o digitálnych službách)</w:t>
      </w:r>
      <w:r>
        <w:rPr>
          <w:rFonts w:ascii="Times New Roman" w:eastAsia="Times New Roman" w:hAnsi="Times New Roman" w:cs="Times New Roman"/>
          <w:color w:val="000000"/>
          <w:sz w:val="24"/>
          <w:szCs w:val="24"/>
          <w:lang w:eastAsia="sk-SK"/>
        </w:rPr>
        <w:t xml:space="preserve"> (</w:t>
      </w:r>
      <w:r w:rsidRPr="00A607C5">
        <w:rPr>
          <w:rFonts w:ascii="Times New Roman" w:eastAsia="Times New Roman" w:hAnsi="Times New Roman" w:cs="Times New Roman"/>
          <w:color w:val="000000"/>
          <w:sz w:val="24"/>
          <w:szCs w:val="24"/>
          <w:lang w:eastAsia="sk-SK"/>
        </w:rPr>
        <w:t>Ú. v. EÚ L 277, 27.10.2022</w:t>
      </w:r>
      <w:r>
        <w:rPr>
          <w:rFonts w:ascii="Times New Roman" w:eastAsia="Times New Roman" w:hAnsi="Times New Roman" w:cs="Times New Roman"/>
          <w:color w:val="000000"/>
          <w:sz w:val="24"/>
          <w:szCs w:val="24"/>
          <w:lang w:eastAsia="sk-SK"/>
        </w:rPr>
        <w:t xml:space="preserve">) </w:t>
      </w:r>
      <w:r w:rsidR="00043CF0">
        <w:rPr>
          <w:rFonts w:ascii="Times New Roman" w:eastAsia="Times New Roman" w:hAnsi="Times New Roman" w:cs="Times New Roman"/>
          <w:color w:val="000000"/>
          <w:sz w:val="24"/>
          <w:szCs w:val="24"/>
          <w:lang w:eastAsia="sk-SK"/>
        </w:rPr>
        <w:t>(ďalej len „</w:t>
      </w:r>
      <w:r w:rsidR="00ED17D3">
        <w:rPr>
          <w:rFonts w:ascii="Times New Roman" w:eastAsia="Times New Roman" w:hAnsi="Times New Roman" w:cs="Times New Roman"/>
          <w:color w:val="000000"/>
          <w:sz w:val="24"/>
          <w:szCs w:val="24"/>
          <w:lang w:eastAsia="sk-SK"/>
        </w:rPr>
        <w:t xml:space="preserve">nariadenie </w:t>
      </w:r>
      <w:r w:rsidR="00043CF0">
        <w:rPr>
          <w:rFonts w:ascii="Times New Roman" w:eastAsia="Times New Roman" w:hAnsi="Times New Roman" w:cs="Times New Roman"/>
          <w:color w:val="000000"/>
          <w:sz w:val="24"/>
          <w:szCs w:val="24"/>
          <w:lang w:eastAsia="sk-SK"/>
        </w:rPr>
        <w:t xml:space="preserve">DSA“) </w:t>
      </w:r>
      <w:r>
        <w:rPr>
          <w:rFonts w:ascii="Times New Roman" w:eastAsia="Times New Roman" w:hAnsi="Times New Roman" w:cs="Times New Roman"/>
          <w:color w:val="000000"/>
          <w:sz w:val="24"/>
          <w:szCs w:val="24"/>
          <w:lang w:eastAsia="sk-SK"/>
        </w:rPr>
        <w:t>a n</w:t>
      </w:r>
      <w:r w:rsidR="003227DA">
        <w:rPr>
          <w:rFonts w:ascii="Times New Roman" w:eastAsia="Times New Roman" w:hAnsi="Times New Roman" w:cs="Times New Roman"/>
          <w:color w:val="000000"/>
          <w:sz w:val="24"/>
          <w:szCs w:val="24"/>
          <w:lang w:eastAsia="sk-SK"/>
        </w:rPr>
        <w:t>ariadenia</w:t>
      </w:r>
      <w:r w:rsidRPr="009F147E">
        <w:rPr>
          <w:rFonts w:ascii="Times New Roman" w:eastAsia="Times New Roman" w:hAnsi="Times New Roman" w:cs="Times New Roman"/>
          <w:color w:val="000000"/>
          <w:sz w:val="24"/>
          <w:szCs w:val="24"/>
          <w:lang w:eastAsia="sk-SK"/>
        </w:rPr>
        <w:t xml:space="preserve"> Európskeho parlamentu a Rady (EÚ) 2019/1150 z 20. júna 2019 o podpore spravodlivosti a transparentnosti pre komerčných používateľov online sprostredkovateľských služieb </w:t>
      </w:r>
      <w:r>
        <w:rPr>
          <w:rFonts w:ascii="Times New Roman" w:eastAsia="Times New Roman" w:hAnsi="Times New Roman" w:cs="Times New Roman"/>
          <w:color w:val="000000"/>
          <w:sz w:val="24"/>
          <w:szCs w:val="24"/>
          <w:lang w:eastAsia="sk-SK"/>
        </w:rPr>
        <w:t>(</w:t>
      </w:r>
      <w:r w:rsidRPr="00D84E40">
        <w:rPr>
          <w:rFonts w:ascii="Times New Roman" w:eastAsia="Times New Roman" w:hAnsi="Times New Roman" w:cs="Times New Roman"/>
          <w:color w:val="000000"/>
          <w:sz w:val="24"/>
          <w:szCs w:val="24"/>
          <w:lang w:eastAsia="sk-SK"/>
        </w:rPr>
        <w:t>Ú. v. EÚ L 186, 11.7.2019</w:t>
      </w:r>
      <w:r>
        <w:rPr>
          <w:rFonts w:ascii="Times New Roman" w:eastAsia="Times New Roman" w:hAnsi="Times New Roman" w:cs="Times New Roman"/>
          <w:color w:val="000000"/>
          <w:sz w:val="24"/>
          <w:szCs w:val="24"/>
          <w:lang w:eastAsia="sk-SK"/>
        </w:rPr>
        <w:t>)</w:t>
      </w:r>
      <w:r w:rsidR="00043CF0">
        <w:rPr>
          <w:rFonts w:ascii="Times New Roman" w:eastAsia="Times New Roman" w:hAnsi="Times New Roman" w:cs="Times New Roman"/>
          <w:color w:val="000000"/>
          <w:sz w:val="24"/>
          <w:szCs w:val="24"/>
          <w:lang w:eastAsia="sk-SK"/>
        </w:rPr>
        <w:t xml:space="preserve"> (ďalej len „</w:t>
      </w:r>
      <w:r w:rsidR="00ED17D3">
        <w:rPr>
          <w:rFonts w:ascii="Times New Roman" w:eastAsia="Times New Roman" w:hAnsi="Times New Roman" w:cs="Times New Roman"/>
          <w:color w:val="000000"/>
          <w:sz w:val="24"/>
          <w:szCs w:val="24"/>
          <w:lang w:eastAsia="sk-SK"/>
        </w:rPr>
        <w:t xml:space="preserve">nariadenie </w:t>
      </w:r>
      <w:r w:rsidR="00043CF0">
        <w:rPr>
          <w:rFonts w:ascii="Times New Roman" w:eastAsia="Times New Roman" w:hAnsi="Times New Roman" w:cs="Times New Roman"/>
          <w:color w:val="000000"/>
          <w:sz w:val="24"/>
          <w:szCs w:val="24"/>
          <w:lang w:eastAsia="sk-SK"/>
        </w:rPr>
        <w:t>P2B“)</w:t>
      </w:r>
      <w:r>
        <w:rPr>
          <w:rFonts w:ascii="Times New Roman" w:eastAsia="Times New Roman" w:hAnsi="Times New Roman" w:cs="Times New Roman"/>
          <w:color w:val="000000"/>
          <w:sz w:val="24"/>
          <w:szCs w:val="24"/>
          <w:lang w:eastAsia="sk-SK"/>
        </w:rPr>
        <w:t xml:space="preserve">. </w:t>
      </w:r>
    </w:p>
    <w:p w14:paraId="7E796868" w14:textId="1822EDE9" w:rsidR="00F81C06" w:rsidRDefault="00F81C06" w:rsidP="00054C41">
      <w:pPr>
        <w:spacing w:after="0"/>
        <w:jc w:val="both"/>
        <w:rPr>
          <w:rFonts w:ascii="Times New Roman" w:eastAsia="Times New Roman" w:hAnsi="Times New Roman" w:cs="Times New Roman"/>
          <w:color w:val="000000"/>
          <w:sz w:val="24"/>
          <w:szCs w:val="24"/>
          <w:lang w:eastAsia="sk-SK"/>
        </w:rPr>
      </w:pPr>
    </w:p>
    <w:p w14:paraId="0F0DD34C" w14:textId="06161E8B" w:rsidR="00F81C06" w:rsidRDefault="00F81C06" w:rsidP="00054C41">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Nariadenia EÚ sú priamo uplatniteľné vo všetkých členských štátoch. Nové povinnosti a</w:t>
      </w:r>
      <w:r w:rsidR="00ED17D3">
        <w:rPr>
          <w:rFonts w:ascii="Times New Roman" w:eastAsia="Times New Roman" w:hAnsi="Times New Roman" w:cs="Times New Roman"/>
          <w:color w:val="000000"/>
          <w:sz w:val="24"/>
          <w:szCs w:val="24"/>
          <w:lang w:eastAsia="sk-SK"/>
        </w:rPr>
        <w:t xml:space="preserve"> s nimi súvisiaca </w:t>
      </w:r>
      <w:r>
        <w:rPr>
          <w:rFonts w:ascii="Times New Roman" w:eastAsia="Times New Roman" w:hAnsi="Times New Roman" w:cs="Times New Roman"/>
          <w:color w:val="000000"/>
          <w:sz w:val="24"/>
          <w:szCs w:val="24"/>
          <w:lang w:eastAsia="sk-SK"/>
        </w:rPr>
        <w:t>regulačná záťaž pre podnikateľské prostredie sú dané samotnými nariadeniami EÚ. Novela zákona o mediálnych službách predstavuje minimalistickú implementáciu</w:t>
      </w:r>
      <w:r w:rsidR="00ED17D3">
        <w:rPr>
          <w:rFonts w:ascii="Times New Roman" w:eastAsia="Times New Roman" w:hAnsi="Times New Roman" w:cs="Times New Roman"/>
          <w:color w:val="000000"/>
          <w:sz w:val="24"/>
          <w:szCs w:val="24"/>
          <w:lang w:eastAsia="sk-SK"/>
        </w:rPr>
        <w:t xml:space="preserve"> nariadení DSA a P2B v rozsahu ustanovenia zodpovedného orgánu, jeho vybavenia potrebnými kompetenciami a doplnenia sankčných ustanovení.</w:t>
      </w:r>
    </w:p>
    <w:p w14:paraId="199E7FBC" w14:textId="77777777" w:rsidR="00ED17D3" w:rsidRDefault="00ED17D3" w:rsidP="00054C41">
      <w:pPr>
        <w:spacing w:after="0"/>
        <w:jc w:val="both"/>
        <w:rPr>
          <w:rFonts w:ascii="Times New Roman" w:eastAsia="Times New Roman" w:hAnsi="Times New Roman" w:cs="Times New Roman"/>
          <w:color w:val="000000"/>
          <w:sz w:val="24"/>
          <w:szCs w:val="24"/>
          <w:lang w:eastAsia="sk-SK"/>
        </w:rPr>
      </w:pPr>
    </w:p>
    <w:p w14:paraId="568BEE3F" w14:textId="09AF9DDB" w:rsidR="006B086B" w:rsidRDefault="000F58E0" w:rsidP="00054C41">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Konzultácie s podnikateľským prostredím prebiehali na úrovni EÚ pred predstavením návrhov nariadení EÚ a na národnej úrovni po zverejnení návrhov a priebežne počas ich </w:t>
      </w:r>
      <w:proofErr w:type="spellStart"/>
      <w:r>
        <w:rPr>
          <w:rFonts w:ascii="Times New Roman" w:eastAsia="Times New Roman" w:hAnsi="Times New Roman" w:cs="Times New Roman"/>
          <w:color w:val="000000"/>
          <w:sz w:val="24"/>
          <w:szCs w:val="24"/>
          <w:lang w:eastAsia="sk-SK"/>
        </w:rPr>
        <w:t>prejednávania</w:t>
      </w:r>
      <w:proofErr w:type="spellEnd"/>
      <w:r>
        <w:rPr>
          <w:rFonts w:ascii="Times New Roman" w:eastAsia="Times New Roman" w:hAnsi="Times New Roman" w:cs="Times New Roman"/>
          <w:color w:val="000000"/>
          <w:sz w:val="24"/>
          <w:szCs w:val="24"/>
          <w:lang w:eastAsia="sk-SK"/>
        </w:rPr>
        <w:t xml:space="preserve"> do schválenia výsledných znení</w:t>
      </w:r>
      <w:r w:rsidR="003227DA">
        <w:rPr>
          <w:rFonts w:ascii="Times New Roman" w:eastAsia="Times New Roman" w:hAnsi="Times New Roman" w:cs="Times New Roman"/>
          <w:color w:val="000000"/>
          <w:sz w:val="24"/>
          <w:szCs w:val="24"/>
          <w:lang w:eastAsia="sk-SK"/>
        </w:rPr>
        <w:t>, následne bilaterálne podľa potreby</w:t>
      </w:r>
      <w:r>
        <w:rPr>
          <w:rFonts w:ascii="Times New Roman" w:eastAsia="Times New Roman" w:hAnsi="Times New Roman" w:cs="Times New Roman"/>
          <w:color w:val="000000"/>
          <w:sz w:val="24"/>
          <w:szCs w:val="24"/>
          <w:lang w:eastAsia="sk-SK"/>
        </w:rPr>
        <w:t xml:space="preserve">.  </w:t>
      </w:r>
      <w:r w:rsidR="00043CF0">
        <w:rPr>
          <w:rFonts w:ascii="Times New Roman" w:eastAsia="Times New Roman" w:hAnsi="Times New Roman" w:cs="Times New Roman"/>
          <w:color w:val="000000"/>
          <w:sz w:val="24"/>
          <w:szCs w:val="24"/>
          <w:lang w:eastAsia="sk-SK"/>
        </w:rPr>
        <w:t>Informácie o posúdení vplyvov návrhu</w:t>
      </w:r>
      <w:r w:rsidR="00ED17D3">
        <w:rPr>
          <w:rFonts w:ascii="Times New Roman" w:eastAsia="Times New Roman" w:hAnsi="Times New Roman" w:cs="Times New Roman"/>
          <w:color w:val="000000"/>
          <w:sz w:val="24"/>
          <w:szCs w:val="24"/>
          <w:lang w:eastAsia="sk-SK"/>
        </w:rPr>
        <w:t xml:space="preserve"> nariadenia</w:t>
      </w:r>
      <w:r w:rsidR="00043CF0">
        <w:rPr>
          <w:rFonts w:ascii="Times New Roman" w:eastAsia="Times New Roman" w:hAnsi="Times New Roman" w:cs="Times New Roman"/>
          <w:color w:val="000000"/>
          <w:sz w:val="24"/>
          <w:szCs w:val="24"/>
          <w:lang w:eastAsia="sk-SK"/>
        </w:rPr>
        <w:t xml:space="preserve"> DSA na úrovni EÚ sú dostupné </w:t>
      </w:r>
      <w:hyperlink r:id="rId12" w:history="1">
        <w:r w:rsidR="006B086B" w:rsidRPr="006B086B">
          <w:rPr>
            <w:rStyle w:val="Hypertextovprepojenie"/>
            <w:rFonts w:ascii="Times New Roman" w:eastAsia="Times New Roman" w:hAnsi="Times New Roman" w:cs="Times New Roman"/>
            <w:sz w:val="24"/>
            <w:szCs w:val="24"/>
            <w:lang w:eastAsia="sk-SK"/>
          </w:rPr>
          <w:t>TU</w:t>
        </w:r>
      </w:hyperlink>
      <w:r w:rsidR="006B086B">
        <w:rPr>
          <w:rFonts w:ascii="Times New Roman" w:eastAsia="Times New Roman" w:hAnsi="Times New Roman" w:cs="Times New Roman"/>
          <w:color w:val="000000"/>
          <w:sz w:val="24"/>
          <w:szCs w:val="24"/>
          <w:lang w:eastAsia="sk-SK"/>
        </w:rPr>
        <w:t>.</w:t>
      </w:r>
      <w:r w:rsidR="00432C6A">
        <w:rPr>
          <w:rStyle w:val="Odkaznapoznmkupodiarou"/>
          <w:rFonts w:ascii="Times New Roman" w:eastAsia="Times New Roman" w:hAnsi="Times New Roman" w:cs="Times New Roman"/>
          <w:color w:val="000000"/>
          <w:sz w:val="24"/>
          <w:szCs w:val="24"/>
          <w:lang w:eastAsia="sk-SK"/>
        </w:rPr>
        <w:footnoteReference w:id="1"/>
      </w:r>
      <w:r w:rsidR="006B086B">
        <w:rPr>
          <w:rFonts w:ascii="Times New Roman" w:eastAsia="Times New Roman" w:hAnsi="Times New Roman" w:cs="Times New Roman"/>
          <w:color w:val="000000"/>
          <w:sz w:val="24"/>
          <w:szCs w:val="24"/>
          <w:lang w:eastAsia="sk-SK"/>
        </w:rPr>
        <w:t xml:space="preserve"> Súčasťou riadneho predbežného stanoviska SR k návrhu </w:t>
      </w:r>
      <w:r w:rsidR="00ED17D3">
        <w:rPr>
          <w:rFonts w:ascii="Times New Roman" w:eastAsia="Times New Roman" w:hAnsi="Times New Roman" w:cs="Times New Roman"/>
          <w:color w:val="000000"/>
          <w:sz w:val="24"/>
          <w:szCs w:val="24"/>
          <w:lang w:eastAsia="sk-SK"/>
        </w:rPr>
        <w:t xml:space="preserve">nariadenia </w:t>
      </w:r>
      <w:r w:rsidR="006B086B">
        <w:rPr>
          <w:rFonts w:ascii="Times New Roman" w:eastAsia="Times New Roman" w:hAnsi="Times New Roman" w:cs="Times New Roman"/>
          <w:color w:val="000000"/>
          <w:sz w:val="24"/>
          <w:szCs w:val="24"/>
          <w:lang w:eastAsia="sk-SK"/>
        </w:rPr>
        <w:t xml:space="preserve">DSA bola analýza </w:t>
      </w:r>
      <w:r w:rsidR="006B086B">
        <w:rPr>
          <w:rFonts w:ascii="Times New Roman" w:eastAsia="Times New Roman" w:hAnsi="Times New Roman" w:cs="Times New Roman"/>
          <w:color w:val="000000"/>
          <w:sz w:val="24"/>
          <w:szCs w:val="24"/>
          <w:lang w:eastAsia="sk-SK"/>
        </w:rPr>
        <w:lastRenderedPageBreak/>
        <w:t xml:space="preserve">vplyvov na podnikateľské prostredie, ktorá je zverejnená </w:t>
      </w:r>
      <w:hyperlink r:id="rId13" w:history="1">
        <w:r w:rsidR="006B086B" w:rsidRPr="006B086B">
          <w:rPr>
            <w:rStyle w:val="Hypertextovprepojenie"/>
            <w:rFonts w:ascii="Times New Roman" w:eastAsia="Times New Roman" w:hAnsi="Times New Roman" w:cs="Times New Roman"/>
            <w:sz w:val="24"/>
            <w:szCs w:val="24"/>
            <w:lang w:eastAsia="sk-SK"/>
          </w:rPr>
          <w:t>TU</w:t>
        </w:r>
      </w:hyperlink>
      <w:r w:rsidR="006B086B">
        <w:rPr>
          <w:rFonts w:ascii="Times New Roman" w:eastAsia="Times New Roman" w:hAnsi="Times New Roman" w:cs="Times New Roman"/>
          <w:color w:val="000000"/>
          <w:sz w:val="24"/>
          <w:szCs w:val="24"/>
          <w:lang w:eastAsia="sk-SK"/>
        </w:rPr>
        <w:t>.</w:t>
      </w:r>
      <w:r w:rsidR="008122F6">
        <w:rPr>
          <w:rStyle w:val="Odkaznapoznmkupodiarou"/>
          <w:rFonts w:ascii="Times New Roman" w:eastAsia="Times New Roman" w:hAnsi="Times New Roman" w:cs="Times New Roman"/>
          <w:color w:val="000000"/>
          <w:sz w:val="24"/>
          <w:szCs w:val="24"/>
          <w:lang w:eastAsia="sk-SK"/>
        </w:rPr>
        <w:footnoteReference w:id="2"/>
      </w:r>
      <w:r w:rsidR="006B086B">
        <w:rPr>
          <w:rFonts w:ascii="Times New Roman" w:eastAsia="Times New Roman" w:hAnsi="Times New Roman" w:cs="Times New Roman"/>
          <w:color w:val="000000"/>
          <w:sz w:val="24"/>
          <w:szCs w:val="24"/>
          <w:lang w:eastAsia="sk-SK"/>
        </w:rPr>
        <w:t xml:space="preserve"> Analýza vplyvov vypracovaná k návrhu </w:t>
      </w:r>
      <w:r w:rsidR="00ED17D3">
        <w:rPr>
          <w:rFonts w:ascii="Times New Roman" w:eastAsia="Times New Roman" w:hAnsi="Times New Roman" w:cs="Times New Roman"/>
          <w:color w:val="000000"/>
          <w:sz w:val="24"/>
          <w:szCs w:val="24"/>
          <w:lang w:eastAsia="sk-SK"/>
        </w:rPr>
        <w:t xml:space="preserve">nariadenia </w:t>
      </w:r>
      <w:r w:rsidR="006B086B">
        <w:rPr>
          <w:rFonts w:ascii="Times New Roman" w:eastAsia="Times New Roman" w:hAnsi="Times New Roman" w:cs="Times New Roman"/>
          <w:color w:val="000000"/>
          <w:sz w:val="24"/>
          <w:szCs w:val="24"/>
          <w:lang w:eastAsia="sk-SK"/>
        </w:rPr>
        <w:t xml:space="preserve">P2B na úrovni EÚ je dostupná </w:t>
      </w:r>
      <w:hyperlink r:id="rId14" w:history="1">
        <w:r w:rsidR="006B086B" w:rsidRPr="006B086B">
          <w:rPr>
            <w:rStyle w:val="Hypertextovprepojenie"/>
            <w:rFonts w:ascii="Times New Roman" w:eastAsia="Times New Roman" w:hAnsi="Times New Roman" w:cs="Times New Roman"/>
            <w:sz w:val="24"/>
            <w:szCs w:val="24"/>
            <w:lang w:eastAsia="sk-SK"/>
          </w:rPr>
          <w:t>TU</w:t>
        </w:r>
      </w:hyperlink>
      <w:r w:rsidR="00F220C1">
        <w:rPr>
          <w:rStyle w:val="Hypertextovprepojenie"/>
          <w:rFonts w:ascii="Times New Roman" w:eastAsia="Times New Roman" w:hAnsi="Times New Roman" w:cs="Times New Roman"/>
          <w:sz w:val="24"/>
          <w:szCs w:val="24"/>
          <w:u w:val="none"/>
          <w:lang w:eastAsia="sk-SK"/>
        </w:rPr>
        <w:t xml:space="preserve"> </w:t>
      </w:r>
      <w:r w:rsidR="00F220C1">
        <w:rPr>
          <w:rStyle w:val="Odkaznapoznmkupodiarou"/>
          <w:rFonts w:ascii="Times New Roman" w:eastAsia="Times New Roman" w:hAnsi="Times New Roman" w:cs="Times New Roman"/>
          <w:color w:val="0563C1" w:themeColor="hyperlink"/>
          <w:sz w:val="24"/>
          <w:szCs w:val="24"/>
          <w:lang w:eastAsia="sk-SK"/>
        </w:rPr>
        <w:footnoteReference w:id="3"/>
      </w:r>
      <w:r w:rsidR="006B086B">
        <w:rPr>
          <w:rFonts w:ascii="Times New Roman" w:eastAsia="Times New Roman" w:hAnsi="Times New Roman" w:cs="Times New Roman"/>
          <w:color w:val="000000"/>
          <w:sz w:val="24"/>
          <w:szCs w:val="24"/>
          <w:lang w:eastAsia="sk-SK"/>
        </w:rPr>
        <w:t xml:space="preserve"> a ako súčasť návrhu riadneho predbežného stanoviska </w:t>
      </w:r>
      <w:hyperlink r:id="rId15" w:history="1">
        <w:r w:rsidR="006B086B" w:rsidRPr="00F81C06">
          <w:rPr>
            <w:rStyle w:val="Hypertextovprepojenie"/>
            <w:rFonts w:ascii="Times New Roman" w:eastAsia="Times New Roman" w:hAnsi="Times New Roman" w:cs="Times New Roman"/>
            <w:sz w:val="24"/>
            <w:szCs w:val="24"/>
            <w:lang w:eastAsia="sk-SK"/>
          </w:rPr>
          <w:t>TU</w:t>
        </w:r>
      </w:hyperlink>
      <w:r w:rsidR="000F6AE8">
        <w:rPr>
          <w:rStyle w:val="Hypertextovprepojenie"/>
          <w:rFonts w:ascii="Times New Roman" w:eastAsia="Times New Roman" w:hAnsi="Times New Roman" w:cs="Times New Roman"/>
          <w:sz w:val="24"/>
          <w:szCs w:val="24"/>
          <w:u w:val="none"/>
          <w:lang w:eastAsia="sk-SK"/>
        </w:rPr>
        <w:t xml:space="preserve"> </w:t>
      </w:r>
      <w:r w:rsidR="000F6AE8">
        <w:rPr>
          <w:rStyle w:val="Odkaznapoznmkupodiarou"/>
          <w:rFonts w:ascii="Times New Roman" w:eastAsia="Times New Roman" w:hAnsi="Times New Roman" w:cs="Times New Roman"/>
          <w:color w:val="0563C1" w:themeColor="hyperlink"/>
          <w:sz w:val="24"/>
          <w:szCs w:val="24"/>
          <w:lang w:eastAsia="sk-SK"/>
        </w:rPr>
        <w:footnoteReference w:id="4"/>
      </w:r>
      <w:r w:rsidR="006B086B">
        <w:rPr>
          <w:rFonts w:ascii="Times New Roman" w:eastAsia="Times New Roman" w:hAnsi="Times New Roman" w:cs="Times New Roman"/>
          <w:color w:val="000000"/>
          <w:sz w:val="24"/>
          <w:szCs w:val="24"/>
          <w:lang w:eastAsia="sk-SK"/>
        </w:rPr>
        <w:t>.</w:t>
      </w:r>
    </w:p>
    <w:p w14:paraId="42B0736D" w14:textId="0683E3A7" w:rsidR="00F81C06" w:rsidRDefault="00F81C06" w:rsidP="00054C41">
      <w:pPr>
        <w:spacing w:after="0"/>
        <w:jc w:val="both"/>
        <w:rPr>
          <w:rFonts w:ascii="Times New Roman" w:eastAsia="Times New Roman" w:hAnsi="Times New Roman" w:cs="Times New Roman"/>
          <w:color w:val="000000"/>
          <w:sz w:val="24"/>
          <w:szCs w:val="24"/>
          <w:lang w:eastAsia="sk-SK"/>
        </w:rPr>
      </w:pPr>
    </w:p>
    <w:p w14:paraId="5F77CBB3" w14:textId="3A469760" w:rsidR="00043CF0" w:rsidRDefault="00F81C06" w:rsidP="00054C41">
      <w:pPr>
        <w:spacing w:after="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sk-SK"/>
        </w:rPr>
        <w:t xml:space="preserve">Predbežná informácia k návrhu implementačného opatrenia bola zverejnená dňa 1. 8. 2023 na stránke </w:t>
      </w:r>
      <w:hyperlink r:id="rId16" w:history="1">
        <w:r w:rsidRPr="00F81C06">
          <w:rPr>
            <w:rStyle w:val="Hypertextovprepojenie"/>
            <w:rFonts w:ascii="Times New Roman" w:eastAsia="Times New Roman" w:hAnsi="Times New Roman" w:cs="Times New Roman"/>
            <w:sz w:val="24"/>
            <w:szCs w:val="24"/>
            <w:lang w:eastAsia="sk-SK"/>
          </w:rPr>
          <w:t>Slov-lex.sk</w:t>
        </w:r>
      </w:hyperlink>
      <w:r w:rsidR="00584E09">
        <w:rPr>
          <w:rFonts w:ascii="Times New Roman" w:eastAsia="Times New Roman" w:hAnsi="Times New Roman" w:cs="Times New Roman"/>
          <w:color w:val="000000"/>
          <w:sz w:val="24"/>
          <w:szCs w:val="24"/>
          <w:lang w:eastAsia="sk-SK"/>
        </w:rPr>
        <w:t xml:space="preserve"> s možnosťou zainteresovaných subjektov predkladať ďalšie podnety a návrhy.</w:t>
      </w:r>
      <w:r>
        <w:rPr>
          <w:rFonts w:ascii="Times New Roman" w:eastAsia="Times New Roman" w:hAnsi="Times New Roman" w:cs="Times New Roman"/>
          <w:color w:val="000000"/>
          <w:sz w:val="24"/>
          <w:szCs w:val="24"/>
          <w:lang w:eastAsia="sk-SK"/>
        </w:rPr>
        <w:t xml:space="preserve"> </w:t>
      </w:r>
      <w:r w:rsidR="00C835C2">
        <w:rPr>
          <w:rFonts w:ascii="Times New Roman" w:eastAsia="Times New Roman" w:hAnsi="Times New Roman" w:cs="Times New Roman"/>
          <w:color w:val="000000"/>
          <w:sz w:val="24"/>
          <w:szCs w:val="24"/>
          <w:lang w:eastAsia="sk-SK"/>
        </w:rPr>
        <w:t>Na základe zverejnenej predbežnej informácie neboli predložené</w:t>
      </w:r>
      <w:r w:rsidR="00B3138F">
        <w:rPr>
          <w:rFonts w:ascii="Times New Roman" w:eastAsia="Times New Roman" w:hAnsi="Times New Roman" w:cs="Times New Roman"/>
          <w:color w:val="000000"/>
          <w:sz w:val="24"/>
          <w:szCs w:val="24"/>
          <w:lang w:eastAsia="sk-SK"/>
        </w:rPr>
        <w:t xml:space="preserve"> žiadne vyjadrenia zainteresovaných subjektov.</w:t>
      </w:r>
    </w:p>
    <w:p w14:paraId="2CDD8950" w14:textId="77777777" w:rsidR="000F58E0" w:rsidRPr="000F58E0" w:rsidRDefault="000F58E0" w:rsidP="00054C41">
      <w:pPr>
        <w:spacing w:after="0"/>
        <w:jc w:val="both"/>
        <w:rPr>
          <w:rFonts w:ascii="Times New Roman" w:eastAsia="Calibri" w:hAnsi="Times New Roman" w:cs="Times New Roman"/>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57B2A938" w:rsidR="00054C41" w:rsidRPr="00D8247C" w:rsidRDefault="00476977"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F58E0">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63B69448" w:rsidR="00054C41" w:rsidRDefault="00476977"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F58E0">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E63728F" w14:textId="77777777" w:rsidR="00763747" w:rsidRPr="00D8247C" w:rsidRDefault="00763747"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67581BF" w14:textId="28F0A4DA" w:rsidR="00054C41" w:rsidRDefault="00F81C06" w:rsidP="00F81C06">
      <w:pPr>
        <w:pStyle w:val="Odsekzoznamu"/>
        <w:numPr>
          <w:ilvl w:val="0"/>
          <w:numId w:val="9"/>
        </w:numPr>
        <w:spacing w:after="0"/>
        <w:jc w:val="both"/>
        <w:rPr>
          <w:rFonts w:ascii="Times New Roman" w:eastAsia="Calibri" w:hAnsi="Times New Roman" w:cs="Times New Roman"/>
          <w:b/>
          <w:sz w:val="24"/>
        </w:rPr>
      </w:pPr>
      <w:r w:rsidRPr="00F81C06">
        <w:rPr>
          <w:rFonts w:ascii="Times New Roman" w:eastAsia="Calibri" w:hAnsi="Times New Roman" w:cs="Times New Roman"/>
          <w:b/>
          <w:sz w:val="24"/>
        </w:rPr>
        <w:t>Sankcie za porušenie povinností podľa nariadenia DSA</w:t>
      </w:r>
      <w:r w:rsidR="003227DA">
        <w:rPr>
          <w:rFonts w:ascii="Times New Roman" w:eastAsia="Calibri" w:hAnsi="Times New Roman" w:cs="Times New Roman"/>
          <w:b/>
          <w:sz w:val="24"/>
        </w:rPr>
        <w:t xml:space="preserve"> [</w:t>
      </w:r>
      <w:r w:rsidRPr="00F81C06">
        <w:rPr>
          <w:rFonts w:ascii="Times New Roman" w:eastAsia="Calibri" w:hAnsi="Times New Roman" w:cs="Times New Roman"/>
          <w:b/>
          <w:sz w:val="24"/>
        </w:rPr>
        <w:t xml:space="preserve">čl. I § </w:t>
      </w:r>
      <w:r w:rsidR="00C835C2" w:rsidRPr="00F81C06">
        <w:rPr>
          <w:rFonts w:ascii="Times New Roman" w:eastAsia="Calibri" w:hAnsi="Times New Roman" w:cs="Times New Roman"/>
          <w:b/>
          <w:sz w:val="24"/>
        </w:rPr>
        <w:t>145</w:t>
      </w:r>
      <w:r w:rsidR="00C835C2">
        <w:rPr>
          <w:rFonts w:ascii="Times New Roman" w:eastAsia="Calibri" w:hAnsi="Times New Roman" w:cs="Times New Roman"/>
          <w:b/>
          <w:sz w:val="24"/>
        </w:rPr>
        <w:t>a</w:t>
      </w:r>
      <w:r w:rsidR="00C835C2" w:rsidRPr="00F81C06">
        <w:rPr>
          <w:rFonts w:ascii="Times New Roman" w:eastAsia="Calibri" w:hAnsi="Times New Roman" w:cs="Times New Roman"/>
          <w:b/>
          <w:sz w:val="24"/>
        </w:rPr>
        <w:t xml:space="preserve"> </w:t>
      </w:r>
      <w:r w:rsidRPr="00F81C06">
        <w:rPr>
          <w:rFonts w:ascii="Times New Roman" w:eastAsia="Calibri" w:hAnsi="Times New Roman" w:cs="Times New Roman"/>
          <w:b/>
          <w:sz w:val="24"/>
        </w:rPr>
        <w:t>ods. 1 písm. a), ods. 2 a</w:t>
      </w:r>
      <w:r w:rsidR="003227DA">
        <w:rPr>
          <w:rFonts w:ascii="Times New Roman" w:eastAsia="Calibri" w:hAnsi="Times New Roman" w:cs="Times New Roman"/>
          <w:b/>
          <w:sz w:val="24"/>
        </w:rPr>
        <w:t> </w:t>
      </w:r>
      <w:r w:rsidRPr="00F81C06">
        <w:rPr>
          <w:rFonts w:ascii="Times New Roman" w:eastAsia="Calibri" w:hAnsi="Times New Roman" w:cs="Times New Roman"/>
          <w:b/>
          <w:sz w:val="24"/>
        </w:rPr>
        <w:t>3</w:t>
      </w:r>
      <w:r w:rsidR="003227DA">
        <w:rPr>
          <w:rFonts w:ascii="Times New Roman" w:eastAsia="Calibri" w:hAnsi="Times New Roman" w:cs="Times New Roman"/>
          <w:b/>
          <w:sz w:val="24"/>
        </w:rPr>
        <w:t>]</w:t>
      </w:r>
    </w:p>
    <w:p w14:paraId="57EF909D" w14:textId="1546D39C" w:rsidR="00584E09" w:rsidRDefault="00ED17D3" w:rsidP="00ED17D3">
      <w:pPr>
        <w:pStyle w:val="Odsekzoznamu"/>
        <w:spacing w:after="0"/>
        <w:ind w:left="360"/>
        <w:jc w:val="both"/>
        <w:rPr>
          <w:rFonts w:ascii="Times New Roman" w:eastAsia="Calibri" w:hAnsi="Times New Roman" w:cs="Times New Roman"/>
          <w:sz w:val="24"/>
        </w:rPr>
      </w:pPr>
      <w:r>
        <w:rPr>
          <w:rFonts w:ascii="Times New Roman" w:eastAsia="Calibri" w:hAnsi="Times New Roman" w:cs="Times New Roman"/>
          <w:sz w:val="24"/>
        </w:rPr>
        <w:t xml:space="preserve">Predmetné ustanovenia predstavujú implementáciu čl. 52 nariadenia DSA, ktoré plne harmonizuje sankcie za porušenie povinností </w:t>
      </w:r>
      <w:r w:rsidR="003227DA">
        <w:rPr>
          <w:rFonts w:ascii="Times New Roman" w:eastAsia="Calibri" w:hAnsi="Times New Roman" w:cs="Times New Roman"/>
          <w:sz w:val="24"/>
        </w:rPr>
        <w:t>v nariadení</w:t>
      </w:r>
      <w:r>
        <w:rPr>
          <w:rFonts w:ascii="Times New Roman" w:eastAsia="Calibri" w:hAnsi="Times New Roman" w:cs="Times New Roman"/>
          <w:sz w:val="24"/>
        </w:rPr>
        <w:t xml:space="preserve"> DSA poskytovateľmi sprostredkovateľských služieb, ktorí patria do právomocí jednotlivých členských štátov. </w:t>
      </w:r>
    </w:p>
    <w:p w14:paraId="17E84091" w14:textId="77777777" w:rsidR="00584E09" w:rsidRDefault="00584E09" w:rsidP="00ED17D3">
      <w:pPr>
        <w:pStyle w:val="Odsekzoznamu"/>
        <w:spacing w:after="0"/>
        <w:ind w:left="360"/>
        <w:jc w:val="both"/>
        <w:rPr>
          <w:rFonts w:ascii="Times New Roman" w:eastAsia="Calibri" w:hAnsi="Times New Roman" w:cs="Times New Roman"/>
          <w:sz w:val="24"/>
        </w:rPr>
      </w:pPr>
    </w:p>
    <w:p w14:paraId="3C115529" w14:textId="43EB8123" w:rsidR="00584E09" w:rsidRDefault="00A2491D" w:rsidP="00ED17D3">
      <w:pPr>
        <w:pStyle w:val="Odsekzoznamu"/>
        <w:spacing w:after="0"/>
        <w:ind w:left="360"/>
        <w:jc w:val="both"/>
        <w:rPr>
          <w:rFonts w:ascii="Times New Roman" w:eastAsia="Calibri" w:hAnsi="Times New Roman" w:cs="Times New Roman"/>
          <w:sz w:val="24"/>
        </w:rPr>
      </w:pPr>
      <w:r>
        <w:rPr>
          <w:rFonts w:ascii="Times New Roman" w:eastAsia="Calibri" w:hAnsi="Times New Roman" w:cs="Times New Roman"/>
          <w:sz w:val="24"/>
        </w:rPr>
        <w:t xml:space="preserve">Vo všeobecnosti ustanovuje nariadenie </w:t>
      </w:r>
      <w:r w:rsidR="003227DA">
        <w:rPr>
          <w:rFonts w:ascii="Times New Roman" w:eastAsia="Calibri" w:hAnsi="Times New Roman" w:cs="Times New Roman"/>
          <w:sz w:val="24"/>
        </w:rPr>
        <w:t xml:space="preserve">DSA </w:t>
      </w:r>
      <w:r>
        <w:rPr>
          <w:rFonts w:ascii="Times New Roman" w:eastAsia="Calibri" w:hAnsi="Times New Roman" w:cs="Times New Roman"/>
          <w:sz w:val="24"/>
        </w:rPr>
        <w:t xml:space="preserve">hornú hranicu sadzby pokuty za porušenie povinností poskytovateľov online sprostredkovateľských služieb na úrovni 6% ročného celosvetového obratu dotknutého subjektu za predchádzajúce účtovné obdobie. </w:t>
      </w:r>
    </w:p>
    <w:p w14:paraId="1E2BFEA1" w14:textId="77777777" w:rsidR="003227DA" w:rsidRDefault="003227DA" w:rsidP="00ED17D3">
      <w:pPr>
        <w:pStyle w:val="Odsekzoznamu"/>
        <w:spacing w:after="0"/>
        <w:ind w:left="360"/>
        <w:jc w:val="both"/>
        <w:rPr>
          <w:rFonts w:ascii="Times New Roman" w:eastAsia="Calibri" w:hAnsi="Times New Roman" w:cs="Times New Roman"/>
          <w:sz w:val="24"/>
        </w:rPr>
      </w:pPr>
    </w:p>
    <w:p w14:paraId="08F9C8B2" w14:textId="25957D83" w:rsidR="00584E09" w:rsidRDefault="00A2491D" w:rsidP="00ED17D3">
      <w:pPr>
        <w:pStyle w:val="Odsekzoznamu"/>
        <w:spacing w:after="0"/>
        <w:ind w:left="360"/>
        <w:jc w:val="both"/>
        <w:rPr>
          <w:rFonts w:ascii="Times New Roman" w:eastAsia="Calibri" w:hAnsi="Times New Roman" w:cs="Times New Roman"/>
          <w:sz w:val="24"/>
        </w:rPr>
      </w:pPr>
      <w:r>
        <w:rPr>
          <w:rFonts w:ascii="Times New Roman" w:eastAsia="Calibri" w:hAnsi="Times New Roman" w:cs="Times New Roman"/>
          <w:sz w:val="24"/>
        </w:rPr>
        <w:t>Pre vybrané delikty, ktoré spočívajú najmä v neposkytnutí riadnej súčinnosti zo strany dohliadaného subjektu</w:t>
      </w:r>
      <w:r w:rsidR="003227DA">
        <w:rPr>
          <w:rFonts w:ascii="Times New Roman" w:eastAsia="Calibri" w:hAnsi="Times New Roman" w:cs="Times New Roman"/>
          <w:sz w:val="24"/>
        </w:rPr>
        <w:t xml:space="preserve"> koordinátorovi digitálnych služieb</w:t>
      </w:r>
      <w:r>
        <w:rPr>
          <w:rFonts w:ascii="Times New Roman" w:eastAsia="Calibri" w:hAnsi="Times New Roman" w:cs="Times New Roman"/>
          <w:sz w:val="24"/>
        </w:rPr>
        <w:t xml:space="preserve">, je ustanovená nižšia horná hranica sadzby pokuty (1% ročného príjmu alebo svetového obratu porušiteľa za predchádzajúce účtovné obdobie). </w:t>
      </w:r>
    </w:p>
    <w:p w14:paraId="6CABADB0" w14:textId="77777777" w:rsidR="00584E09" w:rsidRDefault="00584E09" w:rsidP="00ED17D3">
      <w:pPr>
        <w:pStyle w:val="Odsekzoznamu"/>
        <w:spacing w:after="0"/>
        <w:ind w:left="360"/>
        <w:jc w:val="both"/>
        <w:rPr>
          <w:rFonts w:ascii="Times New Roman" w:eastAsia="Calibri" w:hAnsi="Times New Roman" w:cs="Times New Roman"/>
          <w:sz w:val="24"/>
        </w:rPr>
      </w:pPr>
    </w:p>
    <w:p w14:paraId="46834BD4" w14:textId="32F0FBF7" w:rsidR="00ED17D3" w:rsidRDefault="00A2491D" w:rsidP="00ED17D3">
      <w:pPr>
        <w:pStyle w:val="Odsekzoznamu"/>
        <w:spacing w:after="0"/>
        <w:ind w:left="360"/>
        <w:jc w:val="both"/>
        <w:rPr>
          <w:rFonts w:ascii="Times New Roman" w:eastAsia="Calibri" w:hAnsi="Times New Roman" w:cs="Times New Roman"/>
          <w:sz w:val="24"/>
        </w:rPr>
      </w:pPr>
      <w:r>
        <w:rPr>
          <w:rFonts w:ascii="Times New Roman" w:eastAsia="Calibri" w:hAnsi="Times New Roman" w:cs="Times New Roman"/>
          <w:sz w:val="24"/>
        </w:rPr>
        <w:t xml:space="preserve">Koordinátor digitálnych služieb má mať tiež kompetenciu ukladať pravidelné penále až do 5% priemerného denného svetového obratu alebo príjmu dotknutého poskytovateľa sprostredkovateľských služieb za predchádzajúce účtovné obdobie. Pokiaľ ide o delikty, za ktoré môže byť uložené penále, vychádza sa pri implementácii </w:t>
      </w:r>
      <w:r w:rsidR="003227DA">
        <w:rPr>
          <w:rFonts w:ascii="Times New Roman" w:eastAsia="Calibri" w:hAnsi="Times New Roman" w:cs="Times New Roman"/>
          <w:sz w:val="24"/>
        </w:rPr>
        <w:t xml:space="preserve">aj </w:t>
      </w:r>
      <w:r>
        <w:rPr>
          <w:rFonts w:ascii="Times New Roman" w:eastAsia="Calibri" w:hAnsi="Times New Roman" w:cs="Times New Roman"/>
          <w:sz w:val="24"/>
        </w:rPr>
        <w:t>zo znenia čl. 76</w:t>
      </w:r>
      <w:r w:rsidR="00584E09">
        <w:rPr>
          <w:rFonts w:ascii="Times New Roman" w:eastAsia="Calibri" w:hAnsi="Times New Roman" w:cs="Times New Roman"/>
          <w:sz w:val="24"/>
        </w:rPr>
        <w:t xml:space="preserve"> nariadenia DSA, pričom v rámci § </w:t>
      </w:r>
      <w:r w:rsidR="00C835C2">
        <w:rPr>
          <w:rFonts w:ascii="Times New Roman" w:eastAsia="Calibri" w:hAnsi="Times New Roman" w:cs="Times New Roman"/>
          <w:sz w:val="24"/>
        </w:rPr>
        <w:t xml:space="preserve">145a </w:t>
      </w:r>
      <w:r w:rsidR="00584E09">
        <w:rPr>
          <w:rFonts w:ascii="Times New Roman" w:eastAsia="Calibri" w:hAnsi="Times New Roman" w:cs="Times New Roman"/>
          <w:sz w:val="24"/>
        </w:rPr>
        <w:t xml:space="preserve">ods. 4 sa analogicky preberá aj čl. 76 ods. 2 nariadenia DSA o moderačnom práve vo vzťahu ku konečnej výške penále (možnosť znížiť konečnú sumu pravidelného penále), ak dohliadaný subjekt splní svoju povinnosť. Zámerom je, aby ukladanie pravidelného penále na národnej </w:t>
      </w:r>
      <w:r w:rsidR="003227DA">
        <w:rPr>
          <w:rFonts w:ascii="Times New Roman" w:eastAsia="Calibri" w:hAnsi="Times New Roman" w:cs="Times New Roman"/>
          <w:sz w:val="24"/>
        </w:rPr>
        <w:t xml:space="preserve">úrovni </w:t>
      </w:r>
      <w:r w:rsidR="00584E09">
        <w:rPr>
          <w:rFonts w:ascii="Times New Roman" w:eastAsia="Calibri" w:hAnsi="Times New Roman" w:cs="Times New Roman"/>
          <w:sz w:val="24"/>
        </w:rPr>
        <w:t>a </w:t>
      </w:r>
      <w:r w:rsidR="003227DA">
        <w:rPr>
          <w:rFonts w:ascii="Times New Roman" w:eastAsia="Calibri" w:hAnsi="Times New Roman" w:cs="Times New Roman"/>
          <w:sz w:val="24"/>
        </w:rPr>
        <w:t xml:space="preserve">úrovni </w:t>
      </w:r>
      <w:r w:rsidR="00584E09">
        <w:rPr>
          <w:rFonts w:ascii="Times New Roman" w:eastAsia="Calibri" w:hAnsi="Times New Roman" w:cs="Times New Roman"/>
          <w:sz w:val="24"/>
        </w:rPr>
        <w:t>EÚ bolo založené na rovnakých pravidlách, aby dohliadané subjekty neboli vystavené rozdielnemu režimu, pokiaľ ide o výkon dohľadu EK a národnými koordinátormi digitálnych služieb.</w:t>
      </w:r>
    </w:p>
    <w:p w14:paraId="0F511F6B" w14:textId="77777777" w:rsidR="00ED17D3" w:rsidRDefault="00ED17D3" w:rsidP="00ED17D3">
      <w:pPr>
        <w:pStyle w:val="Odsekzoznamu"/>
        <w:spacing w:after="0"/>
        <w:ind w:left="360"/>
        <w:jc w:val="both"/>
        <w:rPr>
          <w:rFonts w:ascii="Times New Roman" w:eastAsia="Calibri" w:hAnsi="Times New Roman" w:cs="Times New Roman"/>
          <w:sz w:val="24"/>
        </w:rPr>
      </w:pPr>
    </w:p>
    <w:p w14:paraId="795D486E" w14:textId="428ABBCA" w:rsidR="00ED17D3" w:rsidRPr="00ED17D3" w:rsidRDefault="00ED17D3" w:rsidP="00ED17D3">
      <w:pPr>
        <w:pStyle w:val="Odsekzoznamu"/>
        <w:spacing w:after="0"/>
        <w:ind w:left="360"/>
        <w:jc w:val="both"/>
        <w:rPr>
          <w:rFonts w:ascii="Times New Roman" w:eastAsia="Calibri" w:hAnsi="Times New Roman" w:cs="Times New Roman"/>
          <w:sz w:val="24"/>
        </w:rPr>
      </w:pPr>
      <w:r>
        <w:rPr>
          <w:rFonts w:ascii="Times New Roman" w:eastAsia="Calibri" w:hAnsi="Times New Roman" w:cs="Times New Roman"/>
          <w:sz w:val="24"/>
        </w:rPr>
        <w:t xml:space="preserve">Implementačné opatrenie </w:t>
      </w:r>
      <w:r w:rsidR="00A2491D">
        <w:rPr>
          <w:rFonts w:ascii="Times New Roman" w:eastAsia="Calibri" w:hAnsi="Times New Roman" w:cs="Times New Roman"/>
          <w:sz w:val="24"/>
        </w:rPr>
        <w:t xml:space="preserve">je v súlade so znením nariadenia </w:t>
      </w:r>
      <w:r w:rsidR="00584E09">
        <w:rPr>
          <w:rFonts w:ascii="Times New Roman" w:eastAsia="Calibri" w:hAnsi="Times New Roman" w:cs="Times New Roman"/>
          <w:sz w:val="24"/>
        </w:rPr>
        <w:t>DSA</w:t>
      </w:r>
      <w:r w:rsidR="00A2491D">
        <w:rPr>
          <w:rFonts w:ascii="Times New Roman" w:eastAsia="Calibri" w:hAnsi="Times New Roman" w:cs="Times New Roman"/>
          <w:sz w:val="24"/>
        </w:rPr>
        <w:t xml:space="preserve"> a </w:t>
      </w:r>
      <w:r>
        <w:rPr>
          <w:rFonts w:ascii="Times New Roman" w:eastAsia="Calibri" w:hAnsi="Times New Roman" w:cs="Times New Roman"/>
          <w:sz w:val="24"/>
        </w:rPr>
        <w:t xml:space="preserve">nezakladá </w:t>
      </w:r>
      <w:proofErr w:type="spellStart"/>
      <w:r>
        <w:rPr>
          <w:rFonts w:ascii="Times New Roman" w:eastAsia="Calibri" w:hAnsi="Times New Roman" w:cs="Times New Roman"/>
          <w:sz w:val="24"/>
        </w:rPr>
        <w:t>goldplating</w:t>
      </w:r>
      <w:proofErr w:type="spellEnd"/>
      <w:r>
        <w:rPr>
          <w:rFonts w:ascii="Times New Roman" w:eastAsia="Calibri" w:hAnsi="Times New Roman" w:cs="Times New Roman"/>
          <w:sz w:val="24"/>
        </w:rPr>
        <w:t>.</w:t>
      </w:r>
    </w:p>
    <w:p w14:paraId="5C0B4EE5" w14:textId="22DC46E4" w:rsidR="00F81C06" w:rsidRDefault="00F81C06" w:rsidP="00F81C06">
      <w:pPr>
        <w:pStyle w:val="Odsekzoznamu"/>
        <w:spacing w:after="0"/>
        <w:ind w:left="360"/>
        <w:jc w:val="both"/>
        <w:rPr>
          <w:rFonts w:ascii="Times New Roman" w:eastAsia="Calibri" w:hAnsi="Times New Roman" w:cs="Times New Roman"/>
          <w:sz w:val="24"/>
        </w:rPr>
      </w:pPr>
    </w:p>
    <w:p w14:paraId="779854EB" w14:textId="2DDAFC72" w:rsidR="00584E09" w:rsidRDefault="00584E09" w:rsidP="00584E09">
      <w:pPr>
        <w:pStyle w:val="Odsekzoznamu"/>
        <w:numPr>
          <w:ilvl w:val="0"/>
          <w:numId w:val="9"/>
        </w:numPr>
        <w:spacing w:after="0"/>
        <w:jc w:val="both"/>
        <w:rPr>
          <w:rFonts w:ascii="Times New Roman" w:eastAsia="Calibri" w:hAnsi="Times New Roman" w:cs="Times New Roman"/>
          <w:b/>
          <w:sz w:val="24"/>
        </w:rPr>
      </w:pPr>
      <w:r w:rsidRPr="00584E09">
        <w:rPr>
          <w:rFonts w:ascii="Times New Roman" w:eastAsia="Calibri" w:hAnsi="Times New Roman" w:cs="Times New Roman"/>
          <w:b/>
          <w:sz w:val="24"/>
        </w:rPr>
        <w:t xml:space="preserve">Povinnosť prijať akčný plán </w:t>
      </w:r>
      <w:r w:rsidR="002F1769">
        <w:rPr>
          <w:rFonts w:ascii="Times New Roman" w:eastAsia="Calibri" w:hAnsi="Times New Roman" w:cs="Times New Roman"/>
          <w:b/>
          <w:sz w:val="24"/>
        </w:rPr>
        <w:t>[</w:t>
      </w:r>
      <w:r w:rsidRPr="00584E09">
        <w:rPr>
          <w:rFonts w:ascii="Times New Roman" w:eastAsia="Calibri" w:hAnsi="Times New Roman" w:cs="Times New Roman"/>
          <w:b/>
          <w:sz w:val="24"/>
        </w:rPr>
        <w:t>čl. I § 133b</w:t>
      </w:r>
      <w:r w:rsidR="00C835C2">
        <w:rPr>
          <w:rFonts w:ascii="Times New Roman" w:eastAsia="Calibri" w:hAnsi="Times New Roman" w:cs="Times New Roman"/>
          <w:b/>
          <w:sz w:val="24"/>
        </w:rPr>
        <w:t xml:space="preserve"> ods. 1</w:t>
      </w:r>
      <w:r w:rsidR="002F1769">
        <w:rPr>
          <w:rFonts w:ascii="Times New Roman" w:eastAsia="Calibri" w:hAnsi="Times New Roman" w:cs="Times New Roman"/>
          <w:b/>
          <w:sz w:val="24"/>
        </w:rPr>
        <w:t>]</w:t>
      </w:r>
    </w:p>
    <w:p w14:paraId="07C42713" w14:textId="77777777" w:rsidR="00F81914" w:rsidRDefault="00FE4F1C" w:rsidP="00763747">
      <w:pPr>
        <w:pStyle w:val="Odsekzoznamu"/>
        <w:spacing w:after="0"/>
        <w:ind w:left="360"/>
        <w:jc w:val="both"/>
        <w:rPr>
          <w:rFonts w:ascii="Times New Roman" w:eastAsia="Calibri" w:hAnsi="Times New Roman" w:cs="Times New Roman"/>
          <w:sz w:val="24"/>
        </w:rPr>
      </w:pPr>
      <w:r>
        <w:rPr>
          <w:rFonts w:ascii="Times New Roman" w:eastAsia="Calibri" w:hAnsi="Times New Roman" w:cs="Times New Roman"/>
          <w:sz w:val="24"/>
        </w:rPr>
        <w:t xml:space="preserve">Ide o osobitnú kompetenciu národného koordinátora digitálnych služieb v zmysle čl. 51 ods. 3 písm. a) nariadenia DSA. </w:t>
      </w:r>
      <w:r w:rsidR="00763747">
        <w:rPr>
          <w:rFonts w:ascii="Times New Roman" w:eastAsia="Calibri" w:hAnsi="Times New Roman" w:cs="Times New Roman"/>
          <w:sz w:val="24"/>
        </w:rPr>
        <w:t xml:space="preserve">V určitej rovine by bolo možné označiť toto opatrenie za nadstavbu sankčných oprávnení, pretože ho koordinátor digitálnych služieb môže uložiť iba v prípade, ak ostatné právomoci neboli účinné, porušovanie povinností podľa nariadenia DSA pokračuje a spôsobuje vážnu ujmu príjemcom online sprostredkovateľskej služby. </w:t>
      </w:r>
    </w:p>
    <w:p w14:paraId="722DEB41" w14:textId="77777777" w:rsidR="00F81914" w:rsidRDefault="00F81914" w:rsidP="00763747">
      <w:pPr>
        <w:pStyle w:val="Odsekzoznamu"/>
        <w:spacing w:after="0"/>
        <w:ind w:left="360"/>
        <w:jc w:val="both"/>
        <w:rPr>
          <w:rFonts w:ascii="Times New Roman" w:eastAsia="Calibri" w:hAnsi="Times New Roman" w:cs="Times New Roman"/>
          <w:sz w:val="24"/>
        </w:rPr>
      </w:pPr>
    </w:p>
    <w:p w14:paraId="5AA3880A" w14:textId="026EDD56" w:rsidR="00763747" w:rsidRDefault="00763747" w:rsidP="00763747">
      <w:pPr>
        <w:pStyle w:val="Odsekzoznamu"/>
        <w:spacing w:after="0"/>
        <w:ind w:left="360"/>
        <w:jc w:val="both"/>
        <w:rPr>
          <w:rFonts w:ascii="Times New Roman" w:eastAsia="Calibri" w:hAnsi="Times New Roman" w:cs="Times New Roman"/>
          <w:sz w:val="24"/>
        </w:rPr>
      </w:pPr>
      <w:r>
        <w:rPr>
          <w:rFonts w:ascii="Times New Roman" w:eastAsia="Calibri" w:hAnsi="Times New Roman" w:cs="Times New Roman"/>
          <w:sz w:val="24"/>
        </w:rPr>
        <w:t>Opatrenie zahŕňa tieto čiastkové povinnosti pre sprostredkovateľa online sprostredkovateľskej služby:</w:t>
      </w:r>
    </w:p>
    <w:p w14:paraId="299AFE5A" w14:textId="48166A39" w:rsidR="00763747" w:rsidRDefault="00763747" w:rsidP="00763747">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preskúmanie situácie,</w:t>
      </w:r>
    </w:p>
    <w:p w14:paraId="1EF5D983" w14:textId="3A3866BB" w:rsidR="00763747" w:rsidRDefault="00763747" w:rsidP="00763747">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lastRenderedPageBreak/>
        <w:t>vypracovanie akčného plánu na zabezpečenie súladu,</w:t>
      </w:r>
    </w:p>
    <w:p w14:paraId="20C9F74A" w14:textId="3F9A82A8" w:rsidR="00763747" w:rsidRDefault="00763747" w:rsidP="00763747">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predloženie akčného plánu koordinátorovi digitálnych služieb,</w:t>
      </w:r>
    </w:p>
    <w:p w14:paraId="25932A3E" w14:textId="51716687" w:rsidR="00763747" w:rsidRDefault="00763747" w:rsidP="00763747">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realizácia akčného plánu,</w:t>
      </w:r>
    </w:p>
    <w:p w14:paraId="06771C84" w14:textId="4A0CD263" w:rsidR="00763747" w:rsidRDefault="00763747" w:rsidP="00763747">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informovanie o prijatých opatreniach</w:t>
      </w:r>
      <w:r w:rsidR="00F81914">
        <w:rPr>
          <w:rFonts w:ascii="Times New Roman" w:eastAsia="Calibri" w:hAnsi="Times New Roman" w:cs="Times New Roman"/>
          <w:sz w:val="24"/>
        </w:rPr>
        <w:t xml:space="preserve"> koordinátora digitálnych služieb.</w:t>
      </w:r>
    </w:p>
    <w:p w14:paraId="68F0003F" w14:textId="7CB467AE" w:rsidR="00F81914" w:rsidRDefault="00F81914" w:rsidP="00F81914">
      <w:pPr>
        <w:spacing w:after="0"/>
        <w:ind w:left="360"/>
        <w:jc w:val="both"/>
        <w:rPr>
          <w:rFonts w:ascii="Times New Roman" w:eastAsia="Calibri" w:hAnsi="Times New Roman" w:cs="Times New Roman"/>
          <w:sz w:val="24"/>
        </w:rPr>
      </w:pPr>
    </w:p>
    <w:p w14:paraId="2FFA8BE7" w14:textId="6B628E8E" w:rsidR="00F81914" w:rsidRDefault="00F81914" w:rsidP="00F81914">
      <w:pPr>
        <w:spacing w:after="0"/>
        <w:ind w:left="360"/>
        <w:jc w:val="both"/>
        <w:rPr>
          <w:rFonts w:ascii="Times New Roman" w:eastAsia="Calibri" w:hAnsi="Times New Roman" w:cs="Times New Roman"/>
          <w:sz w:val="24"/>
        </w:rPr>
      </w:pPr>
      <w:r>
        <w:rPr>
          <w:rFonts w:ascii="Times New Roman" w:eastAsia="Calibri" w:hAnsi="Times New Roman" w:cs="Times New Roman"/>
          <w:sz w:val="24"/>
        </w:rPr>
        <w:t>Vzhľadom na skutočnosť, že ide o dôsledok porušenia právne záväzných ustanovení, ktorého výskyt nie je možné odhadnúť, predkladá sa kvantifikácia administratívnych vplyvov čiastkových povinností v rámci tohto opatrenia na modelovom príklade 1 podnikateľského subjektu</w:t>
      </w:r>
      <w:r w:rsidR="005A676E">
        <w:rPr>
          <w:rFonts w:ascii="Times New Roman" w:eastAsia="Calibri" w:hAnsi="Times New Roman" w:cs="Times New Roman"/>
          <w:sz w:val="24"/>
        </w:rPr>
        <w:t xml:space="preserve"> (pri výpočte bola použitá Kalkulačka nákladov regulácie)</w:t>
      </w:r>
      <w:r>
        <w:rPr>
          <w:rFonts w:ascii="Times New Roman" w:eastAsia="Calibri" w:hAnsi="Times New Roman" w:cs="Times New Roman"/>
          <w:sz w:val="24"/>
        </w:rPr>
        <w:t>:</w:t>
      </w:r>
    </w:p>
    <w:p w14:paraId="3DB51F84" w14:textId="44EB8CBD" w:rsidR="00F81914" w:rsidRDefault="005A676E" w:rsidP="005A676E">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preskúmanie situácie – na základe expertného odhadu boli administratívne náklady spojené s danou povinnosťou určené ako kumulácia štandardnej časovej náročnosti pre inventarizáciu a overenie súladu; vzhľadom na rozsah a náročnosť povinností vyplývajúcich z DSA bola na účely výpočtu zvolená frekvencia 4-krát ročne; odhadované administratívne náklady predstavujú 500 €;</w:t>
      </w:r>
    </w:p>
    <w:p w14:paraId="1B82F8C4" w14:textId="3FDB24A5" w:rsidR="005A676E" w:rsidRDefault="005A676E" w:rsidP="005A676E">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 xml:space="preserve">vypracovanie akčného plánu – na základe expertného odhadu boli administratívne náklady spojené s danou povinnosťou vypočítané na základe štandardnej časovej náročnosti pre vypracovanie dokumentu, správy </w:t>
      </w:r>
      <w:r w:rsidR="0054034B">
        <w:rPr>
          <w:rFonts w:ascii="Times New Roman" w:eastAsia="Calibri" w:hAnsi="Times New Roman" w:cs="Times New Roman"/>
          <w:sz w:val="24"/>
        </w:rPr>
        <w:t>s frekvenciou</w:t>
      </w:r>
      <w:r>
        <w:rPr>
          <w:rFonts w:ascii="Times New Roman" w:eastAsia="Calibri" w:hAnsi="Times New Roman" w:cs="Times New Roman"/>
          <w:sz w:val="24"/>
        </w:rPr>
        <w:t xml:space="preserve"> 4-krát ročne; odhadované administratívne náklady predstavujú 477 €;</w:t>
      </w:r>
    </w:p>
    <w:p w14:paraId="2D3672E3" w14:textId="63327FF8" w:rsidR="005A676E" w:rsidRDefault="0054034B" w:rsidP="005A676E">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predloženie akčného plánu – na základe expertného odhadu boli administratívne náklady spojené s danou povinnosťou vypočítané na základe štandardnej časovej náročnosti pre predloženie dokladu/dokumentu elektronicky s frekvenciou 1-krát ročne; odhadované administratívne náklady predstavujú 6 €;</w:t>
      </w:r>
    </w:p>
    <w:p w14:paraId="0B4F8F98" w14:textId="70DE5308" w:rsidR="0054034B" w:rsidRDefault="0054034B" w:rsidP="005A676E">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realizácia akčného plánu - na základe expertného odhadu boli administratívne náklady spojené s danou povinnosťou vypočítané na základe štandardnej časovej náročnosti pre overenie súladu s mesačnou frekvenciou; odhadované administratívne náklady predstavujú 485 €;</w:t>
      </w:r>
    </w:p>
    <w:p w14:paraId="5946E356" w14:textId="5E093D9F" w:rsidR="0054034B" w:rsidRDefault="0054034B" w:rsidP="0054034B">
      <w:pPr>
        <w:pStyle w:val="Odsekzoznamu"/>
        <w:numPr>
          <w:ilvl w:val="0"/>
          <w:numId w:val="11"/>
        </w:numPr>
        <w:spacing w:after="0"/>
        <w:jc w:val="both"/>
        <w:rPr>
          <w:rFonts w:ascii="Times New Roman" w:eastAsia="Calibri" w:hAnsi="Times New Roman" w:cs="Times New Roman"/>
          <w:sz w:val="24"/>
        </w:rPr>
      </w:pPr>
      <w:r>
        <w:rPr>
          <w:rFonts w:ascii="Times New Roman" w:eastAsia="Calibri" w:hAnsi="Times New Roman" w:cs="Times New Roman"/>
          <w:sz w:val="24"/>
        </w:rPr>
        <w:t xml:space="preserve">informovanie o prijatých opatreniach </w:t>
      </w:r>
      <w:r w:rsidR="002F1769">
        <w:rPr>
          <w:rFonts w:ascii="Times New Roman" w:eastAsia="Calibri" w:hAnsi="Times New Roman" w:cs="Times New Roman"/>
          <w:sz w:val="24"/>
        </w:rPr>
        <w:t>–</w:t>
      </w:r>
      <w:r>
        <w:rPr>
          <w:rFonts w:ascii="Times New Roman" w:eastAsia="Calibri" w:hAnsi="Times New Roman" w:cs="Times New Roman"/>
          <w:sz w:val="24"/>
        </w:rPr>
        <w:t xml:space="preserve"> na základe expertného odhadu boli administratívne náklady spojené s danou povinnosťou vypočítané </w:t>
      </w:r>
      <w:r w:rsidR="002F1769">
        <w:rPr>
          <w:rFonts w:ascii="Times New Roman" w:eastAsia="Calibri" w:hAnsi="Times New Roman" w:cs="Times New Roman"/>
          <w:sz w:val="24"/>
        </w:rPr>
        <w:t>ako kumulácia</w:t>
      </w:r>
      <w:r>
        <w:rPr>
          <w:rFonts w:ascii="Times New Roman" w:eastAsia="Calibri" w:hAnsi="Times New Roman" w:cs="Times New Roman"/>
          <w:sz w:val="24"/>
        </w:rPr>
        <w:t xml:space="preserve"> štandardnej časovej náročnosti pre </w:t>
      </w:r>
      <w:r w:rsidR="002F1769">
        <w:rPr>
          <w:rFonts w:ascii="Times New Roman" w:eastAsia="Calibri" w:hAnsi="Times New Roman" w:cs="Times New Roman"/>
          <w:sz w:val="24"/>
        </w:rPr>
        <w:t xml:space="preserve">evidenciu, vedenie dokumentácie, archiváciu a </w:t>
      </w:r>
      <w:r>
        <w:rPr>
          <w:rFonts w:ascii="Times New Roman" w:eastAsia="Calibri" w:hAnsi="Times New Roman" w:cs="Times New Roman"/>
          <w:sz w:val="24"/>
        </w:rPr>
        <w:t xml:space="preserve">predloženie dokladu/dokumentu elektronicky s mesačnou frekvenciou; odhadované administratívne náklady predstavujú </w:t>
      </w:r>
      <w:r w:rsidR="002F1769">
        <w:rPr>
          <w:rFonts w:ascii="Times New Roman" w:eastAsia="Calibri" w:hAnsi="Times New Roman" w:cs="Times New Roman"/>
          <w:sz w:val="24"/>
        </w:rPr>
        <w:t>859</w:t>
      </w:r>
      <w:r>
        <w:rPr>
          <w:rFonts w:ascii="Times New Roman" w:eastAsia="Calibri" w:hAnsi="Times New Roman" w:cs="Times New Roman"/>
          <w:sz w:val="24"/>
        </w:rPr>
        <w:t xml:space="preserve"> €.</w:t>
      </w:r>
    </w:p>
    <w:p w14:paraId="1C245697" w14:textId="70F38101" w:rsidR="0054034B" w:rsidRDefault="0054034B" w:rsidP="0054034B">
      <w:pPr>
        <w:spacing w:after="0"/>
        <w:ind w:left="360"/>
        <w:jc w:val="both"/>
        <w:rPr>
          <w:rFonts w:ascii="Times New Roman" w:eastAsia="Calibri" w:hAnsi="Times New Roman" w:cs="Times New Roman"/>
          <w:sz w:val="24"/>
        </w:rPr>
      </w:pPr>
      <w:r>
        <w:rPr>
          <w:rFonts w:ascii="Times New Roman" w:eastAsia="Calibri" w:hAnsi="Times New Roman" w:cs="Times New Roman"/>
          <w:sz w:val="24"/>
        </w:rPr>
        <w:t xml:space="preserve">Celkové odhadované administratívne náklady spojené s povinnosťou podľa </w:t>
      </w:r>
      <w:r>
        <w:rPr>
          <w:rFonts w:ascii="Times New Roman" w:eastAsia="Calibri" w:hAnsi="Times New Roman" w:cs="Times New Roman"/>
          <w:sz w:val="24"/>
        </w:rPr>
        <w:br/>
        <w:t>§ 133b</w:t>
      </w:r>
      <w:r w:rsidR="00C835C2">
        <w:rPr>
          <w:rFonts w:ascii="Times New Roman" w:eastAsia="Calibri" w:hAnsi="Times New Roman" w:cs="Times New Roman"/>
          <w:sz w:val="24"/>
        </w:rPr>
        <w:t xml:space="preserve"> ods. 1</w:t>
      </w:r>
      <w:r w:rsidR="002F1769">
        <w:rPr>
          <w:rFonts w:ascii="Times New Roman" w:eastAsia="Calibri" w:hAnsi="Times New Roman" w:cs="Times New Roman"/>
          <w:sz w:val="24"/>
        </w:rPr>
        <w:t>, v prípade jej uloženia poskytovateľovi sprostredkovateľskej služby koordinátorom digitálnych služieb,</w:t>
      </w:r>
      <w:r>
        <w:rPr>
          <w:rFonts w:ascii="Times New Roman" w:eastAsia="Calibri" w:hAnsi="Times New Roman" w:cs="Times New Roman"/>
          <w:sz w:val="24"/>
        </w:rPr>
        <w:t xml:space="preserve"> predstavujú </w:t>
      </w:r>
      <w:r w:rsidR="002F1769">
        <w:rPr>
          <w:rFonts w:ascii="Times New Roman" w:eastAsia="Calibri" w:hAnsi="Times New Roman" w:cs="Times New Roman"/>
          <w:sz w:val="24"/>
        </w:rPr>
        <w:t>2 327</w:t>
      </w:r>
      <w:r>
        <w:rPr>
          <w:rFonts w:ascii="Times New Roman" w:eastAsia="Calibri" w:hAnsi="Times New Roman" w:cs="Times New Roman"/>
          <w:sz w:val="24"/>
        </w:rPr>
        <w:t xml:space="preserve"> €. Skutočné náklady budú závisieť najmä od rozsahu a charakteru porušení v zmysle nariadenia DSA a rozsahu a charakteru samotnej online sprostredkovateľskej služby.</w:t>
      </w:r>
    </w:p>
    <w:p w14:paraId="4CDEC95E" w14:textId="476388C0" w:rsidR="0054034B" w:rsidRDefault="0054034B" w:rsidP="0054034B">
      <w:pPr>
        <w:spacing w:after="0"/>
        <w:ind w:left="360"/>
        <w:jc w:val="both"/>
        <w:rPr>
          <w:rFonts w:ascii="Times New Roman" w:eastAsia="Calibri" w:hAnsi="Times New Roman" w:cs="Times New Roman"/>
          <w:sz w:val="24"/>
        </w:rPr>
      </w:pPr>
    </w:p>
    <w:p w14:paraId="50821BE5" w14:textId="61FEF21E" w:rsidR="0054034B" w:rsidRDefault="0054034B" w:rsidP="0054034B">
      <w:pPr>
        <w:pStyle w:val="Odsekzoznamu"/>
        <w:numPr>
          <w:ilvl w:val="0"/>
          <w:numId w:val="9"/>
        </w:numPr>
        <w:spacing w:after="0"/>
        <w:jc w:val="both"/>
        <w:rPr>
          <w:rFonts w:ascii="Times New Roman" w:eastAsia="Calibri" w:hAnsi="Times New Roman" w:cs="Times New Roman"/>
          <w:b/>
          <w:sz w:val="24"/>
        </w:rPr>
      </w:pPr>
      <w:r w:rsidRPr="0054034B">
        <w:rPr>
          <w:rFonts w:ascii="Times New Roman" w:eastAsia="Calibri" w:hAnsi="Times New Roman" w:cs="Times New Roman"/>
          <w:b/>
          <w:sz w:val="24"/>
        </w:rPr>
        <w:t>Sankcie za porušenie povinností podľa P2B nariadenia [čl. I § 145</w:t>
      </w:r>
      <w:r w:rsidR="00C835C2">
        <w:rPr>
          <w:rFonts w:ascii="Times New Roman" w:eastAsia="Calibri" w:hAnsi="Times New Roman" w:cs="Times New Roman"/>
          <w:b/>
          <w:sz w:val="24"/>
        </w:rPr>
        <w:t>a</w:t>
      </w:r>
      <w:r w:rsidRPr="0054034B">
        <w:rPr>
          <w:rFonts w:ascii="Times New Roman" w:eastAsia="Calibri" w:hAnsi="Times New Roman" w:cs="Times New Roman"/>
          <w:b/>
          <w:sz w:val="24"/>
        </w:rPr>
        <w:t xml:space="preserve"> ods. 1 písm. b)]</w:t>
      </w:r>
    </w:p>
    <w:p w14:paraId="4642574D" w14:textId="0C9B5C5E" w:rsidR="00763747" w:rsidRPr="00762B70" w:rsidRDefault="0054034B" w:rsidP="00762B70">
      <w:pPr>
        <w:pStyle w:val="Odsekzoznamu"/>
        <w:spacing w:after="0"/>
        <w:ind w:left="360"/>
        <w:jc w:val="both"/>
        <w:rPr>
          <w:rFonts w:ascii="Times New Roman" w:eastAsia="Calibri" w:hAnsi="Times New Roman" w:cs="Times New Roman"/>
          <w:sz w:val="24"/>
        </w:rPr>
      </w:pPr>
      <w:r>
        <w:rPr>
          <w:rFonts w:ascii="Times New Roman" w:eastAsia="Calibri" w:hAnsi="Times New Roman" w:cs="Times New Roman"/>
          <w:sz w:val="24"/>
        </w:rPr>
        <w:t xml:space="preserve">Predmetné ustanovenie predstavuje </w:t>
      </w:r>
      <w:r w:rsidR="009A4245">
        <w:rPr>
          <w:rFonts w:ascii="Times New Roman" w:eastAsia="Calibri" w:hAnsi="Times New Roman" w:cs="Times New Roman"/>
          <w:sz w:val="24"/>
        </w:rPr>
        <w:t>implementáciu čl. 15 nariadenia P2B. Toto nariadenie EÚ je účinné od 12.7.2020. Do slovenského právneho poriadku sa dodatočne dopĺňa verejnoprávny dohľad nad dodržiavaním povinností podľa nariadenia P2B a s tým súvisiace sankčné ustanovenie § 145b ods. 1 písm. b)</w:t>
      </w:r>
      <w:r w:rsidR="00AF3FA8">
        <w:rPr>
          <w:rFonts w:ascii="Times New Roman" w:eastAsia="Calibri" w:hAnsi="Times New Roman" w:cs="Times New Roman"/>
          <w:sz w:val="24"/>
        </w:rPr>
        <w:t xml:space="preserve"> (</w:t>
      </w:r>
      <w:r w:rsidR="00C835C2">
        <w:rPr>
          <w:rFonts w:ascii="Times New Roman" w:eastAsia="Calibri" w:hAnsi="Times New Roman" w:cs="Times New Roman"/>
          <w:sz w:val="24"/>
        </w:rPr>
        <w:t xml:space="preserve">možnosť uložiť pokutu vo výške od 100 eur </w:t>
      </w:r>
      <w:r w:rsidR="00DF7AAA">
        <w:rPr>
          <w:rFonts w:ascii="Times New Roman" w:eastAsia="Calibri" w:hAnsi="Times New Roman" w:cs="Times New Roman"/>
          <w:sz w:val="24"/>
        </w:rPr>
        <w:t>do 50 000 eur</w:t>
      </w:r>
      <w:r w:rsidR="00AF3FA8">
        <w:rPr>
          <w:rFonts w:ascii="Times New Roman" w:eastAsia="Calibri" w:hAnsi="Times New Roman" w:cs="Times New Roman"/>
          <w:sz w:val="24"/>
        </w:rPr>
        <w:t>)</w:t>
      </w:r>
      <w:r w:rsidR="00DF42D6">
        <w:rPr>
          <w:rFonts w:ascii="Times New Roman" w:eastAsia="Calibri" w:hAnsi="Times New Roman" w:cs="Times New Roman"/>
          <w:sz w:val="24"/>
        </w:rPr>
        <w:t xml:space="preserve"> </w:t>
      </w:r>
      <w:r w:rsidR="00DF42D6">
        <w:rPr>
          <w:rStyle w:val="Odkaznapoznmkupodiarou"/>
          <w:rFonts w:ascii="Times New Roman" w:eastAsia="Calibri" w:hAnsi="Times New Roman" w:cs="Times New Roman"/>
          <w:sz w:val="24"/>
        </w:rPr>
        <w:footnoteReference w:id="5"/>
      </w:r>
      <w:r w:rsidR="009A4245">
        <w:rPr>
          <w:rFonts w:ascii="Times New Roman" w:eastAsia="Calibri" w:hAnsi="Times New Roman" w:cs="Times New Roman"/>
          <w:sz w:val="24"/>
        </w:rPr>
        <w:t xml:space="preserve"> v nadväznosti na </w:t>
      </w:r>
      <w:r w:rsidR="009A4245">
        <w:rPr>
          <w:rFonts w:ascii="Times New Roman" w:eastAsia="Times New Roman" w:hAnsi="Times New Roman" w:cs="Times New Roman"/>
          <w:color w:val="000000"/>
          <w:sz w:val="24"/>
          <w:szCs w:val="24"/>
          <w:lang w:eastAsia="sk-SK"/>
        </w:rPr>
        <w:t>začatie konania</w:t>
      </w:r>
      <w:r w:rsidR="009A4245" w:rsidRPr="009F147E">
        <w:rPr>
          <w:rFonts w:ascii="Times New Roman" w:eastAsia="Times New Roman" w:hAnsi="Times New Roman" w:cs="Times New Roman"/>
          <w:color w:val="000000"/>
          <w:sz w:val="24"/>
          <w:szCs w:val="24"/>
          <w:lang w:eastAsia="sk-SK"/>
        </w:rPr>
        <w:t xml:space="preserve"> o porušení zmlúv podľa čl. 258 </w:t>
      </w:r>
      <w:r w:rsidR="009A4245" w:rsidRPr="009F147E">
        <w:rPr>
          <w:rFonts w:ascii="Times New Roman" w:eastAsia="Times New Roman" w:hAnsi="Times New Roman" w:cs="Times New Roman"/>
          <w:color w:val="000000"/>
          <w:sz w:val="24"/>
          <w:szCs w:val="24"/>
          <w:lang w:eastAsia="sk-SK"/>
        </w:rPr>
        <w:lastRenderedPageBreak/>
        <w:t xml:space="preserve">Zmluvy o fungovaní EÚ </w:t>
      </w:r>
      <w:r w:rsidR="009A4245">
        <w:rPr>
          <w:rFonts w:ascii="Times New Roman" w:eastAsia="Times New Roman" w:hAnsi="Times New Roman" w:cs="Times New Roman"/>
          <w:color w:val="000000"/>
          <w:sz w:val="24"/>
          <w:szCs w:val="24"/>
          <w:lang w:eastAsia="sk-SK"/>
        </w:rPr>
        <w:t xml:space="preserve">voči Slovenskej republike </w:t>
      </w:r>
      <w:r w:rsidR="009A4245" w:rsidRPr="009F147E">
        <w:rPr>
          <w:rFonts w:ascii="Times New Roman" w:eastAsia="Times New Roman" w:hAnsi="Times New Roman" w:cs="Times New Roman"/>
          <w:color w:val="000000"/>
          <w:sz w:val="24"/>
          <w:szCs w:val="24"/>
          <w:lang w:eastAsia="sk-SK"/>
        </w:rPr>
        <w:t xml:space="preserve">z dôvodu </w:t>
      </w:r>
      <w:r w:rsidR="009A4245">
        <w:rPr>
          <w:rFonts w:ascii="Times New Roman" w:eastAsia="Times New Roman" w:hAnsi="Times New Roman" w:cs="Times New Roman"/>
          <w:color w:val="000000"/>
          <w:sz w:val="24"/>
          <w:szCs w:val="24"/>
          <w:lang w:eastAsia="sk-SK"/>
        </w:rPr>
        <w:t>nezabezpečenia dostatočne primeraného a účinného presadzovania nariadenia (</w:t>
      </w:r>
      <w:hyperlink r:id="rId17" w:history="1">
        <w:r w:rsidR="009A4245" w:rsidRPr="009A4245">
          <w:rPr>
            <w:rStyle w:val="Hypertextovprepojenie"/>
            <w:rFonts w:ascii="Times New Roman" w:eastAsia="Times New Roman" w:hAnsi="Times New Roman" w:cs="Times New Roman"/>
            <w:sz w:val="24"/>
            <w:szCs w:val="24"/>
            <w:lang w:eastAsia="sk-SK"/>
          </w:rPr>
          <w:t>INFR(2022)2148</w:t>
        </w:r>
      </w:hyperlink>
      <w:r w:rsidR="009A4245">
        <w:rPr>
          <w:rFonts w:ascii="Times New Roman" w:eastAsia="Times New Roman" w:hAnsi="Times New Roman" w:cs="Times New Roman"/>
          <w:sz w:val="24"/>
          <w:szCs w:val="24"/>
          <w:lang w:eastAsia="sk-SK"/>
        </w:rPr>
        <w:t>).</w:t>
      </w:r>
      <w:r w:rsidR="00565DDF">
        <w:rPr>
          <w:rStyle w:val="Odkaznapoznmkupodiarou"/>
          <w:rFonts w:ascii="Times New Roman" w:eastAsia="Times New Roman" w:hAnsi="Times New Roman" w:cs="Times New Roman"/>
          <w:sz w:val="24"/>
          <w:szCs w:val="24"/>
          <w:lang w:eastAsia="sk-SK"/>
        </w:rPr>
        <w:footnoteReference w:id="6"/>
      </w:r>
    </w:p>
    <w:sectPr w:rsidR="00763747" w:rsidRPr="00762B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AF462" w14:textId="77777777" w:rsidR="002A0532" w:rsidRDefault="002A0532" w:rsidP="00054C41">
      <w:pPr>
        <w:spacing w:after="0" w:line="240" w:lineRule="auto"/>
      </w:pPr>
      <w:r>
        <w:separator/>
      </w:r>
    </w:p>
  </w:endnote>
  <w:endnote w:type="continuationSeparator" w:id="0">
    <w:p w14:paraId="20D76DA4" w14:textId="77777777" w:rsidR="002A0532" w:rsidRDefault="002A0532"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66ED3557"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76977">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4C1959AD" w:rsidR="00142154" w:rsidRPr="00FF7125" w:rsidRDefault="00142154" w:rsidP="00054C41">
    <w:pPr>
      <w:pStyle w:val="Pta"/>
      <w:rPr>
        <w:sz w:val="24"/>
        <w:szCs w:val="24"/>
      </w:rPr>
    </w:pPr>
  </w:p>
  <w:p w14:paraId="68AC3825" w14:textId="77777777" w:rsidR="00142154" w:rsidRDefault="0014215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14B27" w14:textId="77777777" w:rsidR="002A0532" w:rsidRDefault="002A0532" w:rsidP="00054C41">
      <w:pPr>
        <w:spacing w:after="0" w:line="240" w:lineRule="auto"/>
      </w:pPr>
      <w:r>
        <w:separator/>
      </w:r>
    </w:p>
  </w:footnote>
  <w:footnote w:type="continuationSeparator" w:id="0">
    <w:p w14:paraId="009AC63F" w14:textId="77777777" w:rsidR="002A0532" w:rsidRDefault="002A0532" w:rsidP="00054C41">
      <w:pPr>
        <w:spacing w:after="0" w:line="240" w:lineRule="auto"/>
      </w:pPr>
      <w:r>
        <w:continuationSeparator/>
      </w:r>
    </w:p>
  </w:footnote>
  <w:footnote w:id="1">
    <w:p w14:paraId="0B9C1232" w14:textId="7F7F119E" w:rsidR="00432C6A" w:rsidRDefault="00432C6A">
      <w:pPr>
        <w:pStyle w:val="Textpoznmkypodiarou"/>
      </w:pPr>
      <w:r>
        <w:rPr>
          <w:rStyle w:val="Odkaznapoznmkupodiarou"/>
        </w:rPr>
        <w:footnoteRef/>
      </w:r>
      <w:r>
        <w:t xml:space="preserve"> </w:t>
      </w:r>
      <w:hyperlink r:id="rId1" w:history="1">
        <w:r w:rsidRPr="008C0F48">
          <w:rPr>
            <w:rStyle w:val="Hypertextovprepojenie"/>
          </w:rPr>
          <w:t>https://digital-strategy.ec.europa.eu/en/library/impact-assessment-digital-services-act</w:t>
        </w:r>
      </w:hyperlink>
    </w:p>
    <w:p w14:paraId="2BB7AE93" w14:textId="77777777" w:rsidR="00432C6A" w:rsidRDefault="00432C6A">
      <w:pPr>
        <w:pStyle w:val="Textpoznmkypodiarou"/>
      </w:pPr>
    </w:p>
  </w:footnote>
  <w:footnote w:id="2">
    <w:p w14:paraId="4CAD5972" w14:textId="6E2FDF80" w:rsidR="008122F6" w:rsidRDefault="008122F6">
      <w:pPr>
        <w:pStyle w:val="Textpoznmkypodiarou"/>
      </w:pPr>
      <w:r>
        <w:rPr>
          <w:rStyle w:val="Odkaznapoznmkupodiarou"/>
        </w:rPr>
        <w:footnoteRef/>
      </w:r>
      <w:r>
        <w:t xml:space="preserve"> </w:t>
      </w:r>
      <w:hyperlink r:id="rId2" w:history="1">
        <w:r w:rsidRPr="008C0F48">
          <w:rPr>
            <w:rStyle w:val="Hypertextovprepojenie"/>
          </w:rPr>
          <w:t>https://www.slov-lex.sk/legislativne-procesy?p_p_id=processDetail_WAR_portletsel&amp;p_p_lifecycle=0&amp;p_p_state=normal&amp;p_p_mode=view&amp;p_p_col_id=column-2&amp;p_p_col_count=1&amp;_processDetail_WAR_portletsel_cisloLP=LPEU%2F2020%2F796&amp;_processDetail_WAR_portletsel_action=files</w:t>
        </w:r>
      </w:hyperlink>
    </w:p>
    <w:p w14:paraId="5C3358E0" w14:textId="77777777" w:rsidR="008122F6" w:rsidRDefault="008122F6">
      <w:pPr>
        <w:pStyle w:val="Textpoznmkypodiarou"/>
      </w:pPr>
    </w:p>
  </w:footnote>
  <w:footnote w:id="3">
    <w:p w14:paraId="70786BBB" w14:textId="32D34F48" w:rsidR="00F220C1" w:rsidRDefault="00F220C1">
      <w:pPr>
        <w:pStyle w:val="Textpoznmkypodiarou"/>
      </w:pPr>
      <w:r>
        <w:rPr>
          <w:rStyle w:val="Odkaznapoznmkupodiarou"/>
        </w:rPr>
        <w:footnoteRef/>
      </w:r>
      <w:r>
        <w:t xml:space="preserve"> </w:t>
      </w:r>
      <w:hyperlink r:id="rId3" w:history="1">
        <w:r w:rsidRPr="008C0F48">
          <w:rPr>
            <w:rStyle w:val="Hypertextovprepojenie"/>
          </w:rPr>
          <w:t>https://eur-lex.europa.eu/legal-content/EN/TXT/?uri=SWD%3A2018%3A138%3AFIN</w:t>
        </w:r>
      </w:hyperlink>
    </w:p>
    <w:p w14:paraId="1B20B3A8" w14:textId="77777777" w:rsidR="00F220C1" w:rsidRDefault="00F220C1">
      <w:pPr>
        <w:pStyle w:val="Textpoznmkypodiarou"/>
      </w:pPr>
    </w:p>
  </w:footnote>
  <w:footnote w:id="4">
    <w:p w14:paraId="314792AE" w14:textId="7C368B65" w:rsidR="000F6AE8" w:rsidRDefault="000F6AE8">
      <w:pPr>
        <w:pStyle w:val="Textpoznmkypodiarou"/>
      </w:pPr>
      <w:r>
        <w:rPr>
          <w:rStyle w:val="Odkaznapoznmkupodiarou"/>
        </w:rPr>
        <w:footnoteRef/>
      </w:r>
      <w:r>
        <w:t xml:space="preserve"> </w:t>
      </w:r>
      <w:hyperlink r:id="rId4" w:history="1">
        <w:r w:rsidRPr="008C0F48">
          <w:rPr>
            <w:rStyle w:val="Hypertextovprepojenie"/>
          </w:rPr>
          <w:t>https://www.slov-lex.sk/legislativne-procesy/-/SK/dokumenty/LP-2018-529</w:t>
        </w:r>
      </w:hyperlink>
    </w:p>
    <w:p w14:paraId="3A04DAF9" w14:textId="77777777" w:rsidR="000F6AE8" w:rsidRDefault="000F6AE8">
      <w:pPr>
        <w:pStyle w:val="Textpoznmkypodiarou"/>
      </w:pPr>
    </w:p>
  </w:footnote>
  <w:footnote w:id="5">
    <w:p w14:paraId="55507813" w14:textId="775147CA" w:rsidR="00DF42D6" w:rsidRDefault="00DF42D6">
      <w:pPr>
        <w:pStyle w:val="Textpoznmkypodiarou"/>
      </w:pPr>
      <w:r>
        <w:rPr>
          <w:rStyle w:val="Odkaznapoznmkupodiarou"/>
        </w:rPr>
        <w:footnoteRef/>
      </w:r>
      <w:r>
        <w:t xml:space="preserve"> Čl. 15 nariadenia (EÚ) 2019/1150</w:t>
      </w:r>
    </w:p>
  </w:footnote>
  <w:footnote w:id="6">
    <w:p w14:paraId="63D2B15A" w14:textId="075F4729" w:rsidR="00565DDF" w:rsidRDefault="00565DDF">
      <w:pPr>
        <w:pStyle w:val="Textpoznmkypodiarou"/>
      </w:pPr>
      <w:r>
        <w:rPr>
          <w:rStyle w:val="Odkaznapoznmkupodiarou"/>
        </w:rPr>
        <w:footnoteRef/>
      </w:r>
      <w:r>
        <w:t xml:space="preserve"> </w:t>
      </w:r>
      <w:hyperlink r:id="rId5" w:history="1">
        <w:r w:rsidRPr="008C0F48">
          <w:rPr>
            <w:rStyle w:val="Hypertextovprepojenie"/>
          </w:rPr>
          <w:t>https://ec.europa.eu/commission/presscorner/detail/SK/inf_23_142</w:t>
        </w:r>
      </w:hyperlink>
    </w:p>
    <w:p w14:paraId="008AEBC0" w14:textId="77777777" w:rsidR="00565DDF" w:rsidRDefault="00565DDF">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1C2"/>
    <w:multiLevelType w:val="hybridMultilevel"/>
    <w:tmpl w:val="ADFC3C28"/>
    <w:lvl w:ilvl="0" w:tplc="EFDA1E5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1CBF1510"/>
    <w:multiLevelType w:val="hybridMultilevel"/>
    <w:tmpl w:val="57E6A564"/>
    <w:lvl w:ilvl="0" w:tplc="36723184">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BA20D88"/>
    <w:multiLevelType w:val="hybridMultilevel"/>
    <w:tmpl w:val="29D0879C"/>
    <w:lvl w:ilvl="0" w:tplc="C366D4E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ovska Ivana">
    <w15:presenceInfo w15:providerId="AD" w15:userId="S-1-5-21-1888568140-785396268-922709458-31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41"/>
    <w:rsid w:val="00015020"/>
    <w:rsid w:val="00043CF0"/>
    <w:rsid w:val="00054C41"/>
    <w:rsid w:val="00060DA1"/>
    <w:rsid w:val="000C5E9A"/>
    <w:rsid w:val="000F58E0"/>
    <w:rsid w:val="000F6AE8"/>
    <w:rsid w:val="0012249C"/>
    <w:rsid w:val="00142154"/>
    <w:rsid w:val="001B4C03"/>
    <w:rsid w:val="001D1083"/>
    <w:rsid w:val="001D3FA0"/>
    <w:rsid w:val="001E53CB"/>
    <w:rsid w:val="00225A83"/>
    <w:rsid w:val="00235869"/>
    <w:rsid w:val="00270EA5"/>
    <w:rsid w:val="002A0532"/>
    <w:rsid w:val="002F1769"/>
    <w:rsid w:val="003227DA"/>
    <w:rsid w:val="00340CFD"/>
    <w:rsid w:val="0038255E"/>
    <w:rsid w:val="00391648"/>
    <w:rsid w:val="0039304E"/>
    <w:rsid w:val="003E58B8"/>
    <w:rsid w:val="003F06D7"/>
    <w:rsid w:val="00432C6A"/>
    <w:rsid w:val="00445638"/>
    <w:rsid w:val="00446432"/>
    <w:rsid w:val="00476977"/>
    <w:rsid w:val="004D20CB"/>
    <w:rsid w:val="004F415C"/>
    <w:rsid w:val="0054034B"/>
    <w:rsid w:val="0055651E"/>
    <w:rsid w:val="00565DDF"/>
    <w:rsid w:val="00584E09"/>
    <w:rsid w:val="00594627"/>
    <w:rsid w:val="005A676E"/>
    <w:rsid w:val="005C7D99"/>
    <w:rsid w:val="00617761"/>
    <w:rsid w:val="00646337"/>
    <w:rsid w:val="006B086B"/>
    <w:rsid w:val="006B1651"/>
    <w:rsid w:val="007259CB"/>
    <w:rsid w:val="007470DE"/>
    <w:rsid w:val="00762B70"/>
    <w:rsid w:val="00763747"/>
    <w:rsid w:val="0077106D"/>
    <w:rsid w:val="007A6E6E"/>
    <w:rsid w:val="007B40FB"/>
    <w:rsid w:val="007E24B2"/>
    <w:rsid w:val="008122F6"/>
    <w:rsid w:val="00847E53"/>
    <w:rsid w:val="008634E9"/>
    <w:rsid w:val="008801B5"/>
    <w:rsid w:val="008B4AA1"/>
    <w:rsid w:val="008C1C71"/>
    <w:rsid w:val="008E22EC"/>
    <w:rsid w:val="00921DA5"/>
    <w:rsid w:val="00923C0C"/>
    <w:rsid w:val="00936812"/>
    <w:rsid w:val="009A4245"/>
    <w:rsid w:val="009A4D56"/>
    <w:rsid w:val="009E09F7"/>
    <w:rsid w:val="00A000DA"/>
    <w:rsid w:val="00A1736E"/>
    <w:rsid w:val="00A2491D"/>
    <w:rsid w:val="00AF3FA8"/>
    <w:rsid w:val="00B3138F"/>
    <w:rsid w:val="00B66E33"/>
    <w:rsid w:val="00BD0EF7"/>
    <w:rsid w:val="00C11C11"/>
    <w:rsid w:val="00C21399"/>
    <w:rsid w:val="00C560C4"/>
    <w:rsid w:val="00C6748F"/>
    <w:rsid w:val="00C835C2"/>
    <w:rsid w:val="00D005F2"/>
    <w:rsid w:val="00D631FA"/>
    <w:rsid w:val="00D82356"/>
    <w:rsid w:val="00D84EEE"/>
    <w:rsid w:val="00D90A61"/>
    <w:rsid w:val="00DF02CE"/>
    <w:rsid w:val="00DF42D6"/>
    <w:rsid w:val="00DF7AAA"/>
    <w:rsid w:val="00E030DA"/>
    <w:rsid w:val="00EB2BEC"/>
    <w:rsid w:val="00EC0704"/>
    <w:rsid w:val="00ED17D3"/>
    <w:rsid w:val="00ED6B5D"/>
    <w:rsid w:val="00EE4C99"/>
    <w:rsid w:val="00F220C1"/>
    <w:rsid w:val="00F629B1"/>
    <w:rsid w:val="00F74FC9"/>
    <w:rsid w:val="00F81914"/>
    <w:rsid w:val="00F81C06"/>
    <w:rsid w:val="00FB45EB"/>
    <w:rsid w:val="00FE4F1C"/>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sid w:val="00043CF0"/>
    <w:rPr>
      <w:color w:val="0563C1" w:themeColor="hyperlink"/>
      <w:u w:val="single"/>
    </w:rPr>
  </w:style>
  <w:style w:type="character" w:styleId="PouitHypertextovPrepojenie">
    <w:name w:val="FollowedHyperlink"/>
    <w:basedOn w:val="Predvolenpsmoodseku"/>
    <w:uiPriority w:val="99"/>
    <w:semiHidden/>
    <w:unhideWhenUsed/>
    <w:rsid w:val="00921DA5"/>
    <w:rPr>
      <w:color w:val="954F72" w:themeColor="followedHyperlink"/>
      <w:u w:val="single"/>
    </w:rPr>
  </w:style>
  <w:style w:type="paragraph" w:styleId="Textpoznmkypodiarou">
    <w:name w:val="footnote text"/>
    <w:basedOn w:val="Normlny"/>
    <w:link w:val="TextpoznmkypodiarouChar"/>
    <w:uiPriority w:val="99"/>
    <w:semiHidden/>
    <w:unhideWhenUsed/>
    <w:rsid w:val="00432C6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32C6A"/>
    <w:rPr>
      <w:sz w:val="20"/>
      <w:szCs w:val="20"/>
    </w:rPr>
  </w:style>
  <w:style w:type="character" w:styleId="Odkaznapoznmkupodiarou">
    <w:name w:val="footnote reference"/>
    <w:basedOn w:val="Predvolenpsmoodseku"/>
    <w:uiPriority w:val="99"/>
    <w:semiHidden/>
    <w:unhideWhenUsed/>
    <w:rsid w:val="00432C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sid w:val="00043CF0"/>
    <w:rPr>
      <w:color w:val="0563C1" w:themeColor="hyperlink"/>
      <w:u w:val="single"/>
    </w:rPr>
  </w:style>
  <w:style w:type="character" w:styleId="PouitHypertextovPrepojenie">
    <w:name w:val="FollowedHyperlink"/>
    <w:basedOn w:val="Predvolenpsmoodseku"/>
    <w:uiPriority w:val="99"/>
    <w:semiHidden/>
    <w:unhideWhenUsed/>
    <w:rsid w:val="00921DA5"/>
    <w:rPr>
      <w:color w:val="954F72" w:themeColor="followedHyperlink"/>
      <w:u w:val="single"/>
    </w:rPr>
  </w:style>
  <w:style w:type="paragraph" w:styleId="Textpoznmkypodiarou">
    <w:name w:val="footnote text"/>
    <w:basedOn w:val="Normlny"/>
    <w:link w:val="TextpoznmkypodiarouChar"/>
    <w:uiPriority w:val="99"/>
    <w:semiHidden/>
    <w:unhideWhenUsed/>
    <w:rsid w:val="00432C6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32C6A"/>
    <w:rPr>
      <w:sz w:val="20"/>
      <w:szCs w:val="20"/>
    </w:rPr>
  </w:style>
  <w:style w:type="character" w:styleId="Odkaznapoznmkupodiarou">
    <w:name w:val="footnote reference"/>
    <w:basedOn w:val="Predvolenpsmoodseku"/>
    <w:uiPriority w:val="99"/>
    <w:semiHidden/>
    <w:unhideWhenUsed/>
    <w:rsid w:val="00432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ov-lex.sk/legislativne-procesy?p_p_id=processDetail_WAR_portletsel&amp;p_p_lifecycle=0&amp;p_p_state=normal&amp;p_p_mode=view&amp;p_p_col_id=column-2&amp;p_p_col_count=1&amp;_processDetail_WAR_portletsel_cisloLP=LPEU%2F2020%2F796&amp;_processDetail_WAR_portletsel_action=fil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igital-strategy.ec.europa.eu/en/library/impact-assessment-digital-services-act" TargetMode="External"/><Relationship Id="rId17" Type="http://schemas.openxmlformats.org/officeDocument/2006/relationships/hyperlink" Target="https://ec.europa.eu/commission/presscorner/detail/SK/inf_23_142" TargetMode="External"/><Relationship Id="rId2" Type="http://schemas.openxmlformats.org/officeDocument/2006/relationships/customXml" Target="../customXml/item2.xml"/><Relationship Id="rId16" Type="http://schemas.openxmlformats.org/officeDocument/2006/relationships/hyperlink" Target="https://www.slov-lex.sk/legislativne-procesy/SK/PI/2023/228"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slov-lex.sk/legislativne-procesy/-/SK/dokumenty/LP-2018-529" TargetMode="External"/><Relationship Id="rId10" Type="http://schemas.openxmlformats.org/officeDocument/2006/relationships/hyperlink" Target="https://www.mhsr.sk/podnikatelske-prostredie/lepsia-regulacia/regulacne-zatazenie/kalkulacka-nakladov-regulac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ur-lex.europa.eu/legal-content/EN/TXT/?uri=SWD%3A2018%3A138%3AF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SWD%3A2018%3A138%3AFIN" TargetMode="External"/><Relationship Id="rId2" Type="http://schemas.openxmlformats.org/officeDocument/2006/relationships/hyperlink" Target="https://www.slov-lex.sk/legislativne-procesy?p_p_id=processDetail_WAR_portletsel&amp;p_p_lifecycle=0&amp;p_p_state=normal&amp;p_p_mode=view&amp;p_p_col_id=column-2&amp;p_p_col_count=1&amp;_processDetail_WAR_portletsel_cisloLP=LPEU%2F2020%2F796&amp;_processDetail_WAR_portletsel_action=files" TargetMode="External"/><Relationship Id="rId1" Type="http://schemas.openxmlformats.org/officeDocument/2006/relationships/hyperlink" Target="https://digital-strategy.ec.europa.eu/en/library/impact-assessment-digital-services-act" TargetMode="External"/><Relationship Id="rId5" Type="http://schemas.openxmlformats.org/officeDocument/2006/relationships/hyperlink" Target="https://ec.europa.eu/commission/presscorner/detail/SK/inf_23_142" TargetMode="External"/><Relationship Id="rId4" Type="http://schemas.openxmlformats.org/officeDocument/2006/relationships/hyperlink" Target="https://www.slov-lex.sk/legislativne-procesy/-/SK/dokumenty/LP-2018-52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vplyvov-na-podnikateľské-prostredie"/>
    <f:field ref="objsubject" par="" edit="true" text=""/>
    <f:field ref="objcreatedby" par="" text="Knappová, Viktória, Mgr."/>
    <f:field ref="objcreatedat" par="" text="19.1.2024 15:00:24"/>
    <f:field ref="objchangedby" par="" text="Administrator, System"/>
    <f:field ref="objmodifiedat" par="" text="19.1.2024 15:00: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E30C86-DE6E-45FE-B488-92148310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2020</Words>
  <Characters>11517</Characters>
  <Application>Microsoft Office Word</Application>
  <DocSecurity>4</DocSecurity>
  <Lines>95</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Knappová Viktória</cp:lastModifiedBy>
  <cp:revision>2</cp:revision>
  <cp:lastPrinted>2023-08-14T12:41:00Z</cp:lastPrinted>
  <dcterms:created xsi:type="dcterms:W3CDTF">2024-02-28T07:36:00Z</dcterms:created>
  <dcterms:modified xsi:type="dcterms:W3CDTF">2024-02-28T07:36:00Z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Viktória Knappová</vt:lpwstr>
  </property>
  <property fmtid="{D5CDD505-2E9C-101B-9397-08002B2CF9AE}" pid="12" name="FSC#SKEDITIONSLOVLEX@103.510:zodppredkladatel">
    <vt:lpwstr>Martina Šimkovičová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264/2022 Z. z. o mediálnych službách a o zmene a doplnení niektorých zákonov (zákon o mediálnych službách)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B.1. z uznesenia vlády Slovenskej republiky č. 15 z 11. januára 2023</vt:lpwstr>
  </property>
  <property fmtid="{D5CDD505-2E9C-101B-9397-08002B2CF9AE}" pid="23" name="FSC#SKEDITIONSLOVLEX@103.510:plnynazovpredpis">
    <vt:lpwstr> Zákon, ktorým sa mení a dopĺňa zákon č. 264/2022 Z. z. o mediálnych službách a o zmene a doplnení niektorých zákonov (zákon o mediálnych službách)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MK-2856/2024-322/423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kultúry</vt:lpwstr>
  </property>
  <property fmtid="{D5CDD505-2E9C-101B-9397-08002B2CF9AE}" pid="142" name="FSC#SKEDITIONSLOVLEX@103.510:funkciaZodpPredAkuzativ">
    <vt:lpwstr>ministerky kultúry</vt:lpwstr>
  </property>
  <property fmtid="{D5CDD505-2E9C-101B-9397-08002B2CF9AE}" pid="143" name="FSC#SKEDITIONSLOVLEX@103.510:funkciaZodpPredDativ">
    <vt:lpwstr>ministerke kultúry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Martina Šimkovičová_x000d_
ministerka kultúry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19. 1. 2024</vt:lpwstr>
  </property>
  <property fmtid="{D5CDD505-2E9C-101B-9397-08002B2CF9AE}" pid="151" name="FSC#COOSYSTEM@1.1:Container">
    <vt:lpwstr>COO.2145.1000.3.6021292</vt:lpwstr>
  </property>
  <property fmtid="{D5CDD505-2E9C-101B-9397-08002B2CF9AE}" pid="152" name="FSC#FSCFOLIO@1.1001:docpropproject">
    <vt:lpwstr/>
  </property>
</Properties>
</file>