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10" w:rsidRDefault="00A04410" w:rsidP="00A04410"/>
    <w:p w:rsidR="00A04410" w:rsidRDefault="00A04410" w:rsidP="00A04410"/>
    <w:p w:rsidR="00A04410" w:rsidRDefault="00A04410" w:rsidP="00A04410"/>
    <w:p w:rsidR="00A04410" w:rsidRPr="007D5748" w:rsidRDefault="00A04410" w:rsidP="00A044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A04410" w:rsidRPr="007D5748" w:rsidRDefault="00A04410" w:rsidP="00A044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A04410" w:rsidRPr="00212894" w:rsidRDefault="00A04410" w:rsidP="00A04410">
      <w:pPr>
        <w:jc w:val="right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A04410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A04410" w:rsidRPr="00212894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lang w:eastAsia="sk-SK"/>
        </w:rPr>
        <w:t>2.1 Zhrnutie vplyvov na rozpočet verejnej správy v návrhu</w:t>
      </w:r>
    </w:p>
    <w:p w:rsidR="00A04410" w:rsidRPr="007D5748" w:rsidRDefault="00A04410" w:rsidP="00A0441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A04410" w:rsidRPr="007D5748" w:rsidTr="00D41BA5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Vplyv na rozpočet verejnej správy (v eurách)</w:t>
            </w:r>
          </w:p>
        </w:tc>
      </w:tr>
      <w:tr w:rsidR="00A04410" w:rsidRPr="007D5748" w:rsidTr="00D41BA5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200 00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0   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MD SR – 0EK0L4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200 000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200 00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A04410" w:rsidRPr="00D948EF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948EF">
              <w:rPr>
                <w:rFonts w:ascii="Times New Roman" w:eastAsia="Times New Roman" w:hAnsi="Times New Roman" w:cs="Times New Roman"/>
                <w:lang w:eastAsia="sk-SK"/>
              </w:rPr>
              <w:t>200 000</w:t>
            </w:r>
          </w:p>
        </w:tc>
        <w:tc>
          <w:tcPr>
            <w:tcW w:w="1267" w:type="dxa"/>
            <w:noWrap/>
            <w:vAlign w:val="center"/>
          </w:tcPr>
          <w:p w:rsidR="00A04410" w:rsidRPr="00D948EF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948E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3F7A04" w:rsidRDefault="00A04410" w:rsidP="00D41BA5">
            <w:pPr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:rsidR="00A04410" w:rsidRPr="003F7A04" w:rsidRDefault="00A04410" w:rsidP="00D41BA5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3F7A04" w:rsidRDefault="00A04410" w:rsidP="00D41BA5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3F7A04" w:rsidRDefault="00A04410" w:rsidP="00D41BA5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3F7A04" w:rsidRDefault="00A04410" w:rsidP="00D41BA5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lastRenderedPageBreak/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200 00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MD SR/0EK0L04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200 00</w:t>
            </w: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</w:tr>
      <w:tr w:rsidR="00A04410" w:rsidRPr="007D5748" w:rsidTr="00D41BA5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Rozpočtovo nekrytý vplyv / </w:t>
            </w:r>
            <w:r w:rsidRPr="00697BA9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04410" w:rsidRPr="007D5748" w:rsidRDefault="00A04410" w:rsidP="00D41B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</w:tr>
      <w:bookmarkEnd w:id="0"/>
    </w:tbl>
    <w:p w:rsidR="00A04410" w:rsidRPr="007D5748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A04410" w:rsidRPr="007D5748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A04410" w:rsidRPr="007D5748" w:rsidRDefault="00A04410" w:rsidP="00A04410">
      <w:pPr>
        <w:jc w:val="both"/>
        <w:rPr>
          <w:rFonts w:ascii="Times New Roman" w:eastAsia="Times New Roman" w:hAnsi="Times New Roman" w:cs="Times New Roman"/>
          <w:b/>
          <w:bCs/>
          <w:sz w:val="12"/>
          <w:lang w:eastAsia="sk-SK"/>
        </w:rPr>
      </w:pPr>
    </w:p>
    <w:p w:rsidR="00A04410" w:rsidRPr="00B023FB" w:rsidRDefault="00A04410" w:rsidP="00A04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lang w:eastAsia="sk-SK"/>
        </w:rPr>
      </w:pPr>
      <w:r w:rsidRPr="00B023FB">
        <w:rPr>
          <w:rFonts w:ascii="Times New Roman" w:eastAsia="Times New Roman" w:hAnsi="Times New Roman" w:cs="Times New Roman"/>
          <w:lang w:eastAsia="sk-SK"/>
        </w:rPr>
        <w:t>Návrh predpokladá negatívny vplyv na rozpočet verejnej správy vo výške 200 000,- eur na zmenu Jednotného informačného systému v cestnej doprave v súvislosti s umožnením príslušným orgánom prístup k príslušným údajom počas cestných kontrol. Ide o</w:t>
      </w:r>
      <w:r>
        <w:rPr>
          <w:rFonts w:ascii="Times New Roman" w:eastAsia="Times New Roman" w:hAnsi="Times New Roman" w:cs="Times New Roman"/>
          <w:lang w:eastAsia="sk-SK"/>
        </w:rPr>
        <w:t> expertný  </w:t>
      </w:r>
      <w:r w:rsidRPr="00B023FB">
        <w:rPr>
          <w:rFonts w:ascii="Times New Roman" w:eastAsia="Times New Roman" w:hAnsi="Times New Roman" w:cs="Times New Roman"/>
          <w:lang w:eastAsia="sk-SK"/>
        </w:rPr>
        <w:t>odhad</w:t>
      </w:r>
      <w:r>
        <w:rPr>
          <w:rFonts w:ascii="Times New Roman" w:eastAsia="Times New Roman" w:hAnsi="Times New Roman" w:cs="Times New Roman"/>
          <w:lang w:eastAsia="sk-SK"/>
        </w:rPr>
        <w:t xml:space="preserve"> dodávateľa systému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Alanata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> a.s.,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 presné náklady budú stanovené na základe </w:t>
      </w:r>
      <w:r>
        <w:rPr>
          <w:rFonts w:ascii="Times New Roman" w:eastAsia="Times New Roman" w:hAnsi="Times New Roman" w:cs="Times New Roman"/>
          <w:lang w:eastAsia="sk-SK"/>
        </w:rPr>
        <w:t xml:space="preserve">podrobnej </w:t>
      </w:r>
      <w:r w:rsidRPr="00B023FB">
        <w:rPr>
          <w:rFonts w:ascii="Times New Roman" w:eastAsia="Times New Roman" w:hAnsi="Times New Roman" w:cs="Times New Roman"/>
          <w:lang w:eastAsia="sk-SK"/>
        </w:rPr>
        <w:t>analýzy podľa vykonávacieho nariadenia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C440B9">
        <w:rPr>
          <w:rFonts w:ascii="Times New Roman" w:eastAsia="Times New Roman" w:hAnsi="Times New Roman" w:cs="Times New Roman"/>
          <w:lang w:eastAsia="sk-SK"/>
        </w:rPr>
        <w:t>Komisie (EÚ) 2023/2381 z 29. septembra 2023, ktorým sa mení vykonávacie nariadenie (EÚ) 2016/480, ktorým sa stanovujú spoločné pravidlá týkajúce sa vzájomného prepojenia vnútroštátnych elektronických registrov podnikov cestnej dopravy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. Finančné prostriedky </w:t>
      </w:r>
      <w:r>
        <w:rPr>
          <w:rFonts w:ascii="Times New Roman" w:eastAsia="Times New Roman" w:hAnsi="Times New Roman" w:cs="Times New Roman"/>
          <w:lang w:eastAsia="sk-SK"/>
        </w:rPr>
        <w:t>sú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 zabezpečené </w:t>
      </w:r>
      <w:r>
        <w:rPr>
          <w:rFonts w:ascii="Times New Roman" w:eastAsia="Times New Roman" w:hAnsi="Times New Roman" w:cs="Times New Roman"/>
          <w:lang w:eastAsia="sk-SK"/>
        </w:rPr>
        <w:t>viazaním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 kapitálových výdavkov </w:t>
      </w:r>
      <w:r>
        <w:rPr>
          <w:rFonts w:ascii="Times New Roman" w:eastAsia="Times New Roman" w:hAnsi="Times New Roman" w:cs="Times New Roman"/>
          <w:lang w:eastAsia="sk-SK"/>
        </w:rPr>
        <w:t xml:space="preserve">z </w:t>
      </w:r>
      <w:r w:rsidRPr="00B023FB">
        <w:rPr>
          <w:rFonts w:ascii="Times New Roman" w:eastAsia="Times New Roman" w:hAnsi="Times New Roman" w:cs="Times New Roman"/>
          <w:lang w:eastAsia="sk-SK"/>
        </w:rPr>
        <w:t>roku 202</w:t>
      </w:r>
      <w:r>
        <w:rPr>
          <w:rFonts w:ascii="Times New Roman" w:eastAsia="Times New Roman" w:hAnsi="Times New Roman" w:cs="Times New Roman"/>
          <w:lang w:eastAsia="sk-SK"/>
        </w:rPr>
        <w:t>3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 do nasledujúceho rozpočtového roka podľa §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B023FB">
        <w:rPr>
          <w:rFonts w:ascii="Times New Roman" w:eastAsia="Times New Roman" w:hAnsi="Times New Roman" w:cs="Times New Roman"/>
          <w:lang w:eastAsia="sk-SK"/>
        </w:rPr>
        <w:t>8 zákona č. 523/2004 Z. z. o rozpočtových pravidlách verejnej správy a o zmene a doplnení niektorých zákonov v znení neskorších predpisov</w:t>
      </w:r>
      <w:r>
        <w:rPr>
          <w:rFonts w:ascii="Times New Roman" w:eastAsia="Times New Roman" w:hAnsi="Times New Roman" w:cs="Times New Roman"/>
          <w:lang w:eastAsia="sk-SK"/>
        </w:rPr>
        <w:t xml:space="preserve"> a ich uvoľnením v roku 2024</w:t>
      </w:r>
      <w:r w:rsidRPr="00B023FB">
        <w:rPr>
          <w:rFonts w:ascii="Times New Roman" w:eastAsia="Times New Roman" w:hAnsi="Times New Roman" w:cs="Times New Roman"/>
          <w:lang w:eastAsia="sk-SK"/>
        </w:rPr>
        <w:t>.</w:t>
      </w:r>
    </w:p>
    <w:p w:rsidR="00A04410" w:rsidRPr="007D5748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A04410" w:rsidRPr="007D5748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lang w:eastAsia="sk-SK"/>
        </w:rPr>
        <w:t>2.2. Popis a charakteristika návrhu</w:t>
      </w:r>
    </w:p>
    <w:p w:rsidR="00A04410" w:rsidRDefault="00A04410" w:rsidP="00A04410">
      <w:pPr>
        <w:rPr>
          <w:rFonts w:ascii="Times New Roman" w:eastAsia="Times New Roman" w:hAnsi="Times New Roman" w:cs="Times New Roman"/>
          <w:lang w:eastAsia="sk-SK"/>
        </w:rPr>
      </w:pPr>
    </w:p>
    <w:p w:rsidR="005069FC" w:rsidRDefault="005069FC" w:rsidP="00A04410">
      <w:pPr>
        <w:rPr>
          <w:rFonts w:ascii="Times New Roman" w:eastAsia="Times New Roman" w:hAnsi="Times New Roman" w:cs="Times New Roman"/>
          <w:lang w:eastAsia="sk-SK"/>
        </w:rPr>
      </w:pPr>
    </w:p>
    <w:p w:rsidR="005069FC" w:rsidRPr="007D5748" w:rsidRDefault="005069FC" w:rsidP="00A04410">
      <w:pPr>
        <w:rPr>
          <w:rFonts w:ascii="Times New Roman" w:eastAsia="Times New Roman" w:hAnsi="Times New Roman" w:cs="Times New Roman"/>
          <w:lang w:eastAsia="sk-SK"/>
        </w:rPr>
      </w:pPr>
    </w:p>
    <w:p w:rsidR="00A04410" w:rsidRPr="007D5748" w:rsidRDefault="00A04410" w:rsidP="00A04410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lang w:eastAsia="sk-SK"/>
        </w:rPr>
        <w:lastRenderedPageBreak/>
        <w:t>2.2.1. Popis návrhu:</w:t>
      </w:r>
    </w:p>
    <w:p w:rsidR="00A04410" w:rsidRPr="007D5748" w:rsidRDefault="00A04410" w:rsidP="00A04410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A04410" w:rsidRPr="00C440B9" w:rsidRDefault="00A04410" w:rsidP="00A04410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B023FB">
        <w:rPr>
          <w:rFonts w:ascii="Times New Roman" w:eastAsia="Times New Roman" w:hAnsi="Times New Roman" w:cs="Times New Roman"/>
          <w:lang w:eastAsia="sk-SK"/>
        </w:rPr>
        <w:t>Na základe článku 16 ods. 2 písm. g) nariadenia Európskeho parlamentu a Rady (ES) č.</w:t>
      </w:r>
      <w:r>
        <w:rPr>
          <w:rFonts w:ascii="Times New Roman" w:eastAsia="Times New Roman" w:hAnsi="Times New Roman" w:cs="Times New Roman"/>
          <w:lang w:eastAsia="sk-SK"/>
        </w:rPr>
        <w:t> 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1071/2009, ktorým sa ustanovujú spoločné pravidlá týkajúce sa podmienok, ktoré je potrebné dodržiavať pri výkone povolania prevádzkovateľa cestnej dopravy ako aj na základe článku 1 bodu 3 smernice (EÚ) 2022/738 vyplýva, že členské štáty sú povinné viesť zoznam evidenčných čísel vozidiel, ktorými podnik disponuje (vrátane evidenčných čísle prenajatých vozidiel). Evidenčné čísla vozidiel, ktorými podnik disponuje </w:t>
      </w:r>
      <w:r>
        <w:rPr>
          <w:rFonts w:ascii="Times New Roman" w:eastAsia="Times New Roman" w:hAnsi="Times New Roman" w:cs="Times New Roman"/>
          <w:lang w:eastAsia="sk-SK"/>
        </w:rPr>
        <w:t>sú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 vedené v neverejnom registri prevádzkovateľov podľa § 7a odsek 3 písm. c) zákona č. 56/2012 Z. z.. K evidenčným číslam prevádzkovateľov cestnej dopravy budú mať podľa § 7a odsek 4 písm. c) zákona č. 56/2012 Z. z. nepretržitý a priamy prístup orgány iných členských štátov počas cestných kontrol.  Európska komisia je splnomocnená na základe článku 16 ods. 6 nariadenia (ES) č. 1071/2009 ako aj na základe článku 1 bodu 8 smernice </w:t>
      </w:r>
      <w:r>
        <w:rPr>
          <w:rFonts w:ascii="Times New Roman" w:eastAsia="Times New Roman" w:hAnsi="Times New Roman" w:cs="Times New Roman"/>
          <w:lang w:eastAsia="sk-SK"/>
        </w:rPr>
        <w:t xml:space="preserve">(EÚ) 2022/738 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prijať vykonávací akt týkajúci sa funkcionality systému, aby informácie týkajúce sa evidenčných čísel (vrátane počtu zamestnancov prevádzkovateľa cestnej dopravy a hodnotenie rizikovosti prevádzkovateľa cestnej dopravy)  boli prístupné príslušným orgánom počas cestných kontrol. Európska komisia </w:t>
      </w:r>
      <w:r>
        <w:rPr>
          <w:rFonts w:ascii="Times New Roman" w:eastAsia="Times New Roman" w:hAnsi="Times New Roman" w:cs="Times New Roman"/>
          <w:lang w:eastAsia="sk-SK"/>
        </w:rPr>
        <w:t xml:space="preserve">vydala vykonávacie nariadenie </w:t>
      </w:r>
      <w:r w:rsidRPr="00C440B9">
        <w:rPr>
          <w:rFonts w:ascii="Times New Roman" w:eastAsia="Times New Roman" w:hAnsi="Times New Roman" w:cs="Times New Roman"/>
          <w:lang w:eastAsia="sk-SK"/>
        </w:rPr>
        <w:t>Komisie(EÚ) 2023/2381 z 29. septembra 2023, ktorým sa mení vykonávacie nariadenie (EÚ) 2016/480, ktorým sa stanovujú spoločné pravidlá týkajúce sa vzájomného prepojenia vnútroštátnych elektronických registrov podnikov cestnej dopravy.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 Členské štáty budú povinné podľa článku 16 odseku 2 nariadenia Európskeho parlamentu a Rady (ES) č. 1071/2009  do 12 mesiacov</w:t>
      </w:r>
      <w:r>
        <w:rPr>
          <w:rFonts w:ascii="Times New Roman" w:eastAsia="Times New Roman" w:hAnsi="Times New Roman" w:cs="Times New Roman"/>
          <w:lang w:eastAsia="sk-SK"/>
        </w:rPr>
        <w:t xml:space="preserve"> (24. októbra 2024)</w:t>
      </w:r>
      <w:r w:rsidRPr="00B023FB">
        <w:rPr>
          <w:rFonts w:ascii="Times New Roman" w:eastAsia="Times New Roman" w:hAnsi="Times New Roman" w:cs="Times New Roman"/>
          <w:lang w:eastAsia="sk-SK"/>
        </w:rPr>
        <w:t xml:space="preserve"> od nadobudnutia účinnosti zmeny vykonávacieho nariadenia Komisie (EÚ) 2016/480 umožniť príslušným orgánom prístup k príslušným údajom počas cestných kontrol. Táto zmena má vplyv na zmenu Jednotného informačného systému v cestnej doprave a tým aj na náklady súvisiace so zmenou tohto systému. </w:t>
      </w:r>
    </w:p>
    <w:p w:rsidR="00A04410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A04410" w:rsidRPr="007D5748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lang w:eastAsia="sk-SK"/>
        </w:rPr>
        <w:t>2.2.2. Charakteristika návrhu:</w:t>
      </w: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lang w:eastAsia="sk-SK"/>
        </w:rPr>
        <w:t>zmena sadzby</w:t>
      </w: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  <w:r w:rsidRPr="007D5748">
        <w:rPr>
          <w:rFonts w:ascii="Times New Roman" w:eastAsia="Times New Roman" w:hAnsi="Times New Roman" w:cs="Times New Roman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lang w:eastAsia="sk-SK"/>
        </w:rPr>
        <w:t xml:space="preserve">  zmena v nároku</w:t>
      </w: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  <w:r w:rsidRPr="007D5748">
        <w:rPr>
          <w:rFonts w:ascii="Times New Roman" w:eastAsia="Times New Roman" w:hAnsi="Times New Roman" w:cs="Times New Roman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lang w:eastAsia="sk-SK"/>
        </w:rPr>
        <w:t xml:space="preserve">  nová služba alebo nariadenie (alebo ich zrušenie)</w:t>
      </w: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  <w:r w:rsidRPr="007D5748">
        <w:rPr>
          <w:rFonts w:ascii="Times New Roman" w:eastAsia="Times New Roman" w:hAnsi="Times New Roman" w:cs="Times New Roman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lang w:eastAsia="sk-SK"/>
        </w:rPr>
        <w:t xml:space="preserve">  kombinovaný návrh</w:t>
      </w: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  <w:r w:rsidRPr="007D5748">
        <w:rPr>
          <w:rFonts w:ascii="Times New Roman" w:eastAsia="Times New Roman" w:hAnsi="Times New Roman" w:cs="Times New Roman"/>
          <w:bdr w:val="single" w:sz="4" w:space="0" w:color="auto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lang w:eastAsia="sk-SK"/>
        </w:rPr>
        <w:t xml:space="preserve">  iné </w:t>
      </w: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lang w:eastAsia="sk-SK"/>
        </w:rPr>
        <w:t>2.2.3. Predpoklady vývoja objemu aktivít:</w:t>
      </w:r>
    </w:p>
    <w:p w:rsidR="00A04410" w:rsidRPr="007D5748" w:rsidRDefault="00A04410" w:rsidP="00A04410">
      <w:pPr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7D5748">
        <w:rPr>
          <w:rFonts w:ascii="Times New Roman" w:eastAsia="Times New Roman" w:hAnsi="Times New Roman" w:cs="Times New Roman"/>
          <w:lang w:eastAsia="sk-SK"/>
        </w:rPr>
        <w:t>Jasne popíšte, v prípade potreby použite nižšie uvedenú tabuľku. Uveďte aj odhady základov daní a/alebo poplatkov, ak sa ich táto zmena týka.</w:t>
      </w:r>
    </w:p>
    <w:p w:rsidR="00A04410" w:rsidRPr="007D5748" w:rsidRDefault="00A04410" w:rsidP="00A0441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A04410" w:rsidRPr="007D5748" w:rsidTr="00D41BA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Odhadované objemy</w:t>
            </w:r>
          </w:p>
        </w:tc>
      </w:tr>
      <w:tr w:rsidR="00A04410" w:rsidRPr="007D5748" w:rsidTr="00D41BA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2027</w:t>
            </w:r>
          </w:p>
        </w:tc>
      </w:tr>
      <w:tr w:rsidR="00A04410" w:rsidRPr="007D5748" w:rsidTr="00D41BA5">
        <w:trPr>
          <w:trHeight w:val="70"/>
        </w:trPr>
        <w:tc>
          <w:tcPr>
            <w:tcW w:w="4530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04410" w:rsidRPr="007D5748" w:rsidTr="00D41BA5">
        <w:trPr>
          <w:trHeight w:val="70"/>
        </w:trPr>
        <w:tc>
          <w:tcPr>
            <w:tcW w:w="4530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04410" w:rsidRPr="007D5748" w:rsidTr="00D41BA5">
        <w:trPr>
          <w:trHeight w:val="70"/>
        </w:trPr>
        <w:tc>
          <w:tcPr>
            <w:tcW w:w="4530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A04410" w:rsidRPr="007D5748" w:rsidRDefault="00A04410" w:rsidP="00D41B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  <w:bookmarkStart w:id="1" w:name="_GoBack"/>
      <w:bookmarkEnd w:id="1"/>
    </w:p>
    <w:p w:rsidR="00A04410" w:rsidRPr="007D5748" w:rsidRDefault="00A04410" w:rsidP="00A04410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lang w:eastAsia="sk-SK"/>
        </w:rPr>
        <w:t>2.2.4. Výpočty vplyvov na verejné financie</w:t>
      </w:r>
    </w:p>
    <w:p w:rsidR="00A04410" w:rsidRPr="007D5748" w:rsidRDefault="00A04410" w:rsidP="00A04410">
      <w:pPr>
        <w:rPr>
          <w:rFonts w:ascii="Times New Roman" w:eastAsia="Times New Roman" w:hAnsi="Times New Roman" w:cs="Times New Roman"/>
          <w:lang w:eastAsia="sk-SK"/>
        </w:rPr>
      </w:pPr>
    </w:p>
    <w:p w:rsidR="00A04410" w:rsidRDefault="00A04410" w:rsidP="00A04410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7E214D">
        <w:rPr>
          <w:rFonts w:ascii="Times New Roman" w:eastAsia="Times New Roman" w:hAnsi="Times New Roman" w:cs="Times New Roman"/>
          <w:lang w:eastAsia="sk-SK"/>
        </w:rPr>
        <w:t xml:space="preserve">Členské štáty budú povinné podľa článku 16 odseku 2 nariadenia Európskeho parlamentu a Rady (ES) č. 1071/2009 do </w:t>
      </w:r>
      <w:r>
        <w:rPr>
          <w:rFonts w:ascii="Times New Roman" w:eastAsia="Times New Roman" w:hAnsi="Times New Roman" w:cs="Times New Roman"/>
          <w:lang w:eastAsia="sk-SK"/>
        </w:rPr>
        <w:t>24. októbra 2024</w:t>
      </w:r>
      <w:r w:rsidRPr="007E214D">
        <w:rPr>
          <w:rFonts w:ascii="Times New Roman" w:eastAsia="Times New Roman" w:hAnsi="Times New Roman" w:cs="Times New Roman"/>
          <w:lang w:eastAsia="sk-SK"/>
        </w:rPr>
        <w:t xml:space="preserve"> umožniť príslušným orgánom prístup k príslušným údajom počas cestných kontrol. Táto zmena má vplyv na zmenu Jednotného informačného systému v cestnej doprave a tým aj na náklady súvisiace so zmenou tohto systému. </w:t>
      </w:r>
    </w:p>
    <w:p w:rsidR="00A04410" w:rsidRDefault="00A04410" w:rsidP="00A04410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A04410" w:rsidRPr="007E214D" w:rsidRDefault="00A04410" w:rsidP="00A04410">
      <w:p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Dodávateľom Jednotného informačného systému v cestnej doprave je ALANATA</w:t>
      </w:r>
      <w:r w:rsidRPr="00F8045D">
        <w:rPr>
          <w:rFonts w:ascii="Times New Roman" w:eastAsia="Times New Roman" w:hAnsi="Times New Roman" w:cs="Times New Roman"/>
          <w:lang w:eastAsia="sk-SK"/>
        </w:rPr>
        <w:t xml:space="preserve"> a.s. na základe zmluvy </w:t>
      </w:r>
      <w:r w:rsidRPr="00EE6DCC">
        <w:rPr>
          <w:rFonts w:ascii="Times New Roman" w:eastAsia="Times New Roman" w:hAnsi="Times New Roman" w:cs="Times New Roman"/>
          <w:lang w:eastAsia="sk-SK"/>
        </w:rPr>
        <w:t>654/DE00/2021</w:t>
      </w:r>
      <w:r w:rsidRPr="00F8045D">
        <w:rPr>
          <w:rFonts w:ascii="Times New Roman" w:eastAsia="Times New Roman" w:hAnsi="Times New Roman" w:cs="Times New Roman"/>
          <w:lang w:eastAsia="sk-SK"/>
        </w:rPr>
        <w:t xml:space="preserve">. Vstupnou hodnotou zmeny Jednotného informačného systému sú sadzby za </w:t>
      </w:r>
      <w:proofErr w:type="spellStart"/>
      <w:r w:rsidRPr="00F8045D">
        <w:rPr>
          <w:rFonts w:ascii="Times New Roman" w:eastAsia="Times New Roman" w:hAnsi="Times New Roman" w:cs="Times New Roman"/>
          <w:lang w:eastAsia="sk-SK"/>
        </w:rPr>
        <w:t>človekohodinu</w:t>
      </w:r>
      <w:proofErr w:type="spellEnd"/>
      <w:r w:rsidRPr="00F8045D">
        <w:rPr>
          <w:rFonts w:ascii="Times New Roman" w:eastAsia="Times New Roman" w:hAnsi="Times New Roman" w:cs="Times New Roman"/>
          <w:lang w:eastAsia="sk-SK"/>
        </w:rPr>
        <w:t xml:space="preserve"> práce experta tak ako je to uvedené v zmluve. </w:t>
      </w:r>
      <w:r>
        <w:rPr>
          <w:rFonts w:ascii="Times New Roman" w:eastAsia="Times New Roman" w:hAnsi="Times New Roman" w:cs="Times New Roman"/>
          <w:lang w:eastAsia="sk-SK"/>
        </w:rPr>
        <w:t xml:space="preserve">Boli vykonané </w:t>
      </w:r>
      <w:r w:rsidRPr="00F8045D">
        <w:rPr>
          <w:rFonts w:ascii="Times New Roman" w:eastAsia="Times New Roman" w:hAnsi="Times New Roman" w:cs="Times New Roman"/>
          <w:lang w:eastAsia="sk-SK"/>
        </w:rPr>
        <w:t xml:space="preserve">konzultácie s dodávateľom </w:t>
      </w:r>
      <w:r>
        <w:rPr>
          <w:rFonts w:ascii="Times New Roman" w:eastAsia="Times New Roman" w:hAnsi="Times New Roman" w:cs="Times New Roman"/>
          <w:lang w:eastAsia="sk-SK"/>
        </w:rPr>
        <w:t>ALANATA</w:t>
      </w:r>
      <w:r w:rsidRPr="00F8045D">
        <w:rPr>
          <w:rFonts w:ascii="Times New Roman" w:eastAsia="Times New Roman" w:hAnsi="Times New Roman" w:cs="Times New Roman"/>
          <w:lang w:eastAsia="sk-SK"/>
        </w:rPr>
        <w:t xml:space="preserve"> a.s. ohľadom odhadu nákladov na zmenu systému</w:t>
      </w:r>
      <w:r>
        <w:rPr>
          <w:rFonts w:ascii="Times New Roman" w:eastAsia="Times New Roman" w:hAnsi="Times New Roman" w:cs="Times New Roman"/>
          <w:lang w:eastAsia="sk-SK"/>
        </w:rPr>
        <w:t xml:space="preserve"> pre účely stanovenia doložky vybraných vplyvov</w:t>
      </w:r>
      <w:r w:rsidRPr="00F8045D">
        <w:rPr>
          <w:rFonts w:ascii="Times New Roman" w:eastAsia="Times New Roman" w:hAnsi="Times New Roman" w:cs="Times New Roman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lang w:eastAsia="sk-SK"/>
        </w:rPr>
        <w:t xml:space="preserve"> N</w:t>
      </w:r>
      <w:r w:rsidRPr="007E214D">
        <w:rPr>
          <w:rFonts w:ascii="Times New Roman" w:eastAsia="Times New Roman" w:hAnsi="Times New Roman" w:cs="Times New Roman"/>
          <w:lang w:eastAsia="sk-SK"/>
        </w:rPr>
        <w:t>egatívny vplyv na rozpočet verejnej správy z dôvodu nákladov na zmenu systému</w:t>
      </w:r>
      <w:r>
        <w:rPr>
          <w:rFonts w:ascii="Times New Roman" w:eastAsia="Times New Roman" w:hAnsi="Times New Roman" w:cs="Times New Roman"/>
          <w:lang w:eastAsia="sk-SK"/>
        </w:rPr>
        <w:t xml:space="preserve"> bol odhadnutý dodávateľom </w:t>
      </w:r>
      <w:r w:rsidRPr="007E214D">
        <w:rPr>
          <w:rFonts w:ascii="Times New Roman" w:eastAsia="Times New Roman" w:hAnsi="Times New Roman" w:cs="Times New Roman"/>
          <w:lang w:eastAsia="sk-SK"/>
        </w:rPr>
        <w:t>vo výške</w:t>
      </w:r>
      <w:r>
        <w:rPr>
          <w:rFonts w:ascii="Times New Roman" w:eastAsia="Times New Roman" w:hAnsi="Times New Roman" w:cs="Times New Roman"/>
          <w:lang w:eastAsia="sk-SK"/>
        </w:rPr>
        <w:t xml:space="preserve"> do</w:t>
      </w:r>
      <w:r w:rsidRPr="007E214D">
        <w:rPr>
          <w:rFonts w:ascii="Times New Roman" w:eastAsia="Times New Roman" w:hAnsi="Times New Roman" w:cs="Times New Roman"/>
          <w:lang w:eastAsia="sk-SK"/>
        </w:rPr>
        <w:t xml:space="preserve"> 200 000 eur. Ide o</w:t>
      </w:r>
      <w:r>
        <w:rPr>
          <w:rFonts w:ascii="Times New Roman" w:eastAsia="Times New Roman" w:hAnsi="Times New Roman" w:cs="Times New Roman"/>
          <w:lang w:eastAsia="sk-SK"/>
        </w:rPr>
        <w:t xml:space="preserve"> expertný </w:t>
      </w:r>
      <w:r w:rsidRPr="007E214D">
        <w:rPr>
          <w:rFonts w:ascii="Times New Roman" w:eastAsia="Times New Roman" w:hAnsi="Times New Roman" w:cs="Times New Roman"/>
          <w:lang w:eastAsia="sk-SK"/>
        </w:rPr>
        <w:t xml:space="preserve">odhad presné náklady budú stanovené na základe </w:t>
      </w:r>
      <w:r>
        <w:rPr>
          <w:rFonts w:ascii="Times New Roman" w:eastAsia="Times New Roman" w:hAnsi="Times New Roman" w:cs="Times New Roman"/>
          <w:lang w:eastAsia="sk-SK"/>
        </w:rPr>
        <w:t xml:space="preserve">podrobnej </w:t>
      </w:r>
      <w:r w:rsidRPr="007E214D">
        <w:rPr>
          <w:rFonts w:ascii="Times New Roman" w:eastAsia="Times New Roman" w:hAnsi="Times New Roman" w:cs="Times New Roman"/>
          <w:lang w:eastAsia="sk-SK"/>
        </w:rPr>
        <w:t xml:space="preserve">analýzy podľa </w:t>
      </w:r>
      <w:r>
        <w:rPr>
          <w:rFonts w:ascii="Times New Roman" w:eastAsia="Times New Roman" w:hAnsi="Times New Roman" w:cs="Times New Roman"/>
          <w:lang w:eastAsia="sk-SK"/>
        </w:rPr>
        <w:t xml:space="preserve">textu </w:t>
      </w:r>
      <w:r w:rsidRPr="007E214D">
        <w:rPr>
          <w:rFonts w:ascii="Times New Roman" w:eastAsia="Times New Roman" w:hAnsi="Times New Roman" w:cs="Times New Roman"/>
          <w:lang w:eastAsia="sk-SK"/>
        </w:rPr>
        <w:t>vykonávacieho nariadenia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:rsidR="00A04410" w:rsidRPr="007D5748" w:rsidRDefault="00A04410" w:rsidP="00A04410">
      <w:pPr>
        <w:tabs>
          <w:tab w:val="num" w:pos="1080"/>
        </w:tabs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A04410" w:rsidRDefault="00A04410" w:rsidP="00A04410">
      <w:pPr>
        <w:rPr>
          <w:rFonts w:ascii="Times New Roman" w:eastAsia="Times New Roman" w:hAnsi="Times New Roman" w:cs="Times New Roman"/>
          <w:bCs/>
          <w:lang w:eastAsia="sk-SK"/>
        </w:rPr>
        <w:sectPr w:rsidR="00A04410" w:rsidSect="00D41B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A04410" w:rsidRPr="007D5748" w:rsidRDefault="00A04410" w:rsidP="00A04410">
      <w:pPr>
        <w:tabs>
          <w:tab w:val="num" w:pos="1080"/>
        </w:tabs>
        <w:ind w:right="-32"/>
        <w:jc w:val="right"/>
        <w:rPr>
          <w:rFonts w:ascii="Times New Roman" w:eastAsia="Times New Roman" w:hAnsi="Times New Roman" w:cs="Times New Roman"/>
          <w:bCs/>
          <w:lang w:eastAsia="sk-SK"/>
        </w:rPr>
      </w:pPr>
      <w:r w:rsidRPr="00B023FB">
        <w:rPr>
          <w:rFonts w:ascii="Times New Roman" w:eastAsia="Times New Roman" w:hAnsi="Times New Roman" w:cs="Times New Roman"/>
          <w:bCs/>
          <w:lang w:eastAsia="sk-SK"/>
        </w:rPr>
        <w:lastRenderedPageBreak/>
        <w:t>Ministerstvo dopravy SR</w:t>
      </w:r>
      <w:r>
        <w:rPr>
          <w:rFonts w:ascii="Times New Roman" w:eastAsia="Times New Roman" w:hAnsi="Times New Roman" w:cs="Times New Roman"/>
          <w:bCs/>
          <w:szCs w:val="20"/>
          <w:lang w:eastAsia="sk-SK"/>
        </w:rPr>
        <w:t xml:space="preserve">                                                                                                                                                         </w:t>
      </w:r>
      <w:r w:rsidRPr="00B023FB">
        <w:rPr>
          <w:rFonts w:ascii="Times New Roman" w:eastAsia="Times New Roman" w:hAnsi="Times New Roman" w:cs="Times New Roman"/>
          <w:bCs/>
          <w:szCs w:val="20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bCs/>
          <w:lang w:eastAsia="sk-SK"/>
        </w:rPr>
        <w:t xml:space="preserve">Tabuľka č. </w:t>
      </w:r>
      <w:r>
        <w:rPr>
          <w:rFonts w:ascii="Times New Roman" w:eastAsia="Times New Roman" w:hAnsi="Times New Roman" w:cs="Times New Roman"/>
          <w:bCs/>
          <w:lang w:eastAsia="sk-SK"/>
        </w:rPr>
        <w:t>3</w:t>
      </w:r>
      <w:r w:rsidRPr="007D5748">
        <w:rPr>
          <w:rFonts w:ascii="Times New Roman" w:eastAsia="Times New Roman" w:hAnsi="Times New Roman" w:cs="Times New Roman"/>
          <w:bCs/>
          <w:lang w:eastAsia="sk-SK"/>
        </w:rPr>
        <w:t xml:space="preserve"> </w:t>
      </w:r>
    </w:p>
    <w:p w:rsidR="00A04410" w:rsidRPr="007D5748" w:rsidRDefault="00A04410" w:rsidP="00A04410">
      <w:pPr>
        <w:tabs>
          <w:tab w:val="num" w:pos="1080"/>
        </w:tabs>
        <w:jc w:val="both"/>
        <w:rPr>
          <w:rFonts w:ascii="Times New Roman" w:eastAsia="Times New Roman" w:hAnsi="Times New Roman" w:cs="Times New Roman"/>
          <w:bCs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A04410" w:rsidRPr="007D5748" w:rsidTr="00D41BA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MDV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poznámka</w:t>
            </w:r>
          </w:p>
        </w:tc>
      </w:tr>
      <w:tr w:rsidR="00A04410" w:rsidRPr="007D5748" w:rsidTr="00D41BA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sk-SK"/>
              </w:rPr>
            </w:pP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D948EF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4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D948EF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1 003)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D948EF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94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A04410" w:rsidRPr="007D5748" w:rsidTr="00D41BA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4410" w:rsidRPr="007D5748" w:rsidRDefault="00A04410" w:rsidP="00D41B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04410" w:rsidRPr="007D5748" w:rsidRDefault="00A04410" w:rsidP="00D41BA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</w:tbl>
    <w:p w:rsidR="00A04410" w:rsidRPr="007D5748" w:rsidRDefault="00A04410" w:rsidP="00A04410">
      <w:pPr>
        <w:tabs>
          <w:tab w:val="num" w:pos="1080"/>
        </w:tabs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A04410" w:rsidRPr="007D5748" w:rsidRDefault="00A04410" w:rsidP="00A04410">
      <w:pPr>
        <w:tabs>
          <w:tab w:val="num" w:pos="1080"/>
        </w:tabs>
        <w:ind w:left="-900"/>
        <w:jc w:val="both"/>
        <w:rPr>
          <w:rFonts w:ascii="Times New Roman" w:eastAsia="Times New Roman" w:hAnsi="Times New Roman" w:cs="Times New Roman"/>
          <w:bCs/>
          <w:szCs w:val="20"/>
          <w:lang w:eastAsia="sk-SK"/>
        </w:rPr>
      </w:pPr>
    </w:p>
    <w:p w:rsidR="00A04410" w:rsidRPr="007D5748" w:rsidRDefault="00A04410" w:rsidP="00A04410">
      <w:pPr>
        <w:tabs>
          <w:tab w:val="num" w:pos="1080"/>
        </w:tabs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Poznámka:</w:t>
      </w:r>
    </w:p>
    <w:p w:rsidR="00A04410" w:rsidRPr="007D5748" w:rsidRDefault="00A04410" w:rsidP="00A04410">
      <w:pPr>
        <w:tabs>
          <w:tab w:val="num" w:pos="1080"/>
        </w:tabs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956D45" w:rsidRDefault="00956D45"/>
    <w:sectPr w:rsidR="00956D45" w:rsidSect="00A044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69FC">
      <w:pPr>
        <w:spacing w:after="0" w:line="240" w:lineRule="auto"/>
      </w:pPr>
      <w:r>
        <w:separator/>
      </w:r>
    </w:p>
  </w:endnote>
  <w:endnote w:type="continuationSeparator" w:id="0">
    <w:p w:rsidR="00000000" w:rsidRDefault="0050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70" w:rsidRDefault="00A0441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D41B70" w:rsidRDefault="005069F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70" w:rsidRDefault="00A04410" w:rsidP="00D41B7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069FC">
      <w:rPr>
        <w:noProof/>
      </w:rPr>
      <w:t>5</w:t>
    </w:r>
    <w:r>
      <w:fldChar w:fldCharType="end"/>
    </w:r>
  </w:p>
  <w:p w:rsidR="00D41B70" w:rsidRDefault="005069FC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70" w:rsidRDefault="00A0441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D41B70" w:rsidRDefault="005069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69FC">
      <w:pPr>
        <w:spacing w:after="0" w:line="240" w:lineRule="auto"/>
      </w:pPr>
      <w:r>
        <w:separator/>
      </w:r>
    </w:p>
  </w:footnote>
  <w:footnote w:type="continuationSeparator" w:id="0">
    <w:p w:rsidR="00000000" w:rsidRDefault="0050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70" w:rsidRDefault="00A04410" w:rsidP="00D41B70">
    <w:pPr>
      <w:pStyle w:val="Hlavika"/>
      <w:jc w:val="right"/>
    </w:pPr>
    <w:r>
      <w:t>Príloha č. 2</w:t>
    </w:r>
  </w:p>
  <w:p w:rsidR="00D41B70" w:rsidRPr="00EB59C8" w:rsidRDefault="005069FC" w:rsidP="00D41B70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70" w:rsidRPr="0024067A" w:rsidRDefault="005069FC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70" w:rsidRPr="000A15AE" w:rsidRDefault="00A04410" w:rsidP="00D41B70">
    <w:pPr>
      <w:pStyle w:val="Hlavika"/>
      <w:jc w:val="right"/>
    </w:pPr>
    <w: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10"/>
    <w:rsid w:val="005069FC"/>
    <w:rsid w:val="00956D45"/>
    <w:rsid w:val="00A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526E"/>
  <w15:chartTrackingRefBased/>
  <w15:docId w15:val="{427F6515-3F50-4FE6-A156-EE1D7C7E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44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0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410"/>
  </w:style>
  <w:style w:type="paragraph" w:styleId="Pta">
    <w:name w:val="footer"/>
    <w:basedOn w:val="Normlny"/>
    <w:link w:val="PtaChar"/>
    <w:uiPriority w:val="99"/>
    <w:unhideWhenUsed/>
    <w:rsid w:val="00A0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410"/>
  </w:style>
  <w:style w:type="character" w:styleId="slostrany">
    <w:name w:val="page number"/>
    <w:basedOn w:val="Predvolenpsmoodseku"/>
    <w:uiPriority w:val="99"/>
    <w:rsid w:val="00A044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Hudec, Marek</dc:creator>
  <cp:keywords/>
  <dc:description/>
  <cp:lastModifiedBy>Hudec, Marek</cp:lastModifiedBy>
  <cp:revision>2</cp:revision>
  <dcterms:created xsi:type="dcterms:W3CDTF">2024-01-10T11:14:00Z</dcterms:created>
  <dcterms:modified xsi:type="dcterms:W3CDTF">2024-02-27T07:09:00Z</dcterms:modified>
</cp:coreProperties>
</file>