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11" w:rsidRPr="000603AB" w:rsidRDefault="00EF3F11" w:rsidP="00CD31B6">
      <w:pPr>
        <w:spacing w:after="16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EF3F11" w:rsidRPr="00C35BC3" w:rsidRDefault="00EF3F11" w:rsidP="00CD31B6">
      <w:pPr>
        <w:spacing w:after="16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11" w:rsidRDefault="00EF3F11" w:rsidP="00CD31B6">
      <w:pPr>
        <w:pStyle w:val="Normlnywebov"/>
        <w:spacing w:before="0" w:beforeAutospacing="0" w:after="160" w:afterAutospacing="0" w:line="288" w:lineRule="auto"/>
        <w:jc w:val="both"/>
      </w:pPr>
      <w:r>
        <w:t xml:space="preserve">Podľa ustanovenia § 70 ods. 2 zákona Národnej rady Slovenskej republiky č. 350/1996 Z. z. o rokovacom poriadku Národnej rady Slovenskej republiky v znení zákona č. 399/2015 Z. z.                   </w:t>
      </w:r>
      <w:r w:rsidRPr="006B43B9">
        <w:t xml:space="preserve"> a podľa článku 31 Legislatívnych pravidiel vlády Slovenskej republiky</w:t>
      </w:r>
      <w:r>
        <w:t xml:space="preserve">, predkladá Ministerstvo kultúry Slovenskej republiky (ďalej len „ministerstvo kultúry“) </w:t>
      </w:r>
      <w:r w:rsidR="00765A10">
        <w:rPr>
          <w:rStyle w:val="value"/>
        </w:rPr>
        <w:t xml:space="preserve">Návrh skupiny poslancov Národnej rady Slovenskej republiky </w:t>
      </w:r>
      <w:r w:rsidR="005C5FC3" w:rsidRPr="005C5FC3">
        <w:rPr>
          <w:rStyle w:val="value"/>
        </w:rPr>
        <w:t>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</w:t>
      </w:r>
      <w:r w:rsidR="005C5FC3">
        <w:rPr>
          <w:rStyle w:val="value"/>
        </w:rPr>
        <w:t>)</w:t>
      </w:r>
      <w:r w:rsidR="00765A10">
        <w:t xml:space="preserve"> </w:t>
      </w:r>
      <w:r>
        <w:t>(ďalej len „poslanecký návrh zákona“).</w:t>
      </w:r>
    </w:p>
    <w:p w:rsidR="00CD31B6" w:rsidRDefault="00CD31B6" w:rsidP="00CD31B6">
      <w:pPr>
        <w:pStyle w:val="Normlnywebov"/>
        <w:spacing w:before="0" w:beforeAutospacing="0" w:after="160" w:afterAutospacing="0" w:line="288" w:lineRule="auto"/>
        <w:jc w:val="both"/>
      </w:pPr>
    </w:p>
    <w:p w:rsidR="002817F1" w:rsidRDefault="002817F1" w:rsidP="00CD31B6">
      <w:pPr>
        <w:pStyle w:val="Normlnywebov"/>
        <w:spacing w:before="0" w:beforeAutospacing="0" w:after="160" w:afterAutospacing="0" w:line="288" w:lineRule="auto"/>
        <w:jc w:val="both"/>
      </w:pPr>
      <w:r>
        <w:t>Ministerstvo kultúry k predloženému poslaneckému návrhu zákona uvádza:</w:t>
      </w:r>
    </w:p>
    <w:p w:rsidR="002817F1" w:rsidRDefault="002817F1" w:rsidP="00CD31B6">
      <w:pPr>
        <w:pStyle w:val="Normlnywebov"/>
        <w:spacing w:before="0" w:beforeAutospacing="0" w:after="160" w:afterAutospacing="0" w:line="288" w:lineRule="auto"/>
        <w:jc w:val="both"/>
        <w:rPr>
          <w:rStyle w:val="Siln"/>
        </w:rPr>
      </w:pPr>
      <w:r>
        <w:rPr>
          <w:rStyle w:val="Siln"/>
        </w:rPr>
        <w:t>Všeobecne</w:t>
      </w:r>
    </w:p>
    <w:p w:rsidR="004E189B" w:rsidRDefault="002817F1" w:rsidP="00CD31B6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E2">
        <w:rPr>
          <w:rFonts w:ascii="Times New Roman" w:hAnsi="Times New Roman" w:cs="Times New Roman"/>
          <w:sz w:val="24"/>
          <w:szCs w:val="24"/>
        </w:rPr>
        <w:t xml:space="preserve">Cieľom predkladaného </w:t>
      </w:r>
      <w:r w:rsidR="004E189B">
        <w:rPr>
          <w:rFonts w:ascii="Times New Roman" w:hAnsi="Times New Roman" w:cs="Times New Roman"/>
          <w:sz w:val="24"/>
          <w:szCs w:val="24"/>
        </w:rPr>
        <w:t xml:space="preserve">poslaneckého </w:t>
      </w:r>
      <w:r w:rsidRPr="00EC04E2">
        <w:rPr>
          <w:rFonts w:ascii="Times New Roman" w:hAnsi="Times New Roman" w:cs="Times New Roman"/>
          <w:sz w:val="24"/>
          <w:szCs w:val="24"/>
        </w:rPr>
        <w:t xml:space="preserve">návrhu zákona je </w:t>
      </w:r>
      <w:r>
        <w:rPr>
          <w:rFonts w:ascii="Times New Roman" w:hAnsi="Times New Roman" w:cs="Times New Roman"/>
          <w:sz w:val="24"/>
          <w:szCs w:val="24"/>
        </w:rPr>
        <w:t xml:space="preserve">upraviť spôsob </w:t>
      </w:r>
      <w:r w:rsidR="004E189B">
        <w:rPr>
          <w:rFonts w:ascii="Times New Roman" w:hAnsi="Times New Roman" w:cs="Times New Roman"/>
          <w:sz w:val="24"/>
          <w:szCs w:val="24"/>
        </w:rPr>
        <w:t xml:space="preserve">vymenovania </w:t>
      </w:r>
      <w:r>
        <w:rPr>
          <w:rFonts w:ascii="Times New Roman" w:hAnsi="Times New Roman" w:cs="Times New Roman"/>
          <w:sz w:val="24"/>
          <w:szCs w:val="24"/>
        </w:rPr>
        <w:t>štatutárneho orgánu múzea alebo galérie zriadených ústredným orgánom štátnej správy, vyšším územným celkom alebo obcou, resp. v</w:t>
      </w:r>
      <w:r w:rsidRPr="007E3FC3">
        <w:rPr>
          <w:rFonts w:ascii="Times New Roman" w:hAnsi="Times New Roman" w:cs="Times New Roman"/>
          <w:sz w:val="24"/>
          <w:szCs w:val="24"/>
        </w:rPr>
        <w:t>edúceho zamestnanca riadiaceho múzeum</w:t>
      </w:r>
      <w:r>
        <w:rPr>
          <w:rFonts w:ascii="Times New Roman" w:hAnsi="Times New Roman" w:cs="Times New Roman"/>
          <w:sz w:val="24"/>
          <w:szCs w:val="24"/>
        </w:rPr>
        <w:t xml:space="preserve"> alebo galériu, ktoré nie sú</w:t>
      </w:r>
      <w:r w:rsidRPr="007E3FC3">
        <w:rPr>
          <w:rFonts w:ascii="Times New Roman" w:hAnsi="Times New Roman" w:cs="Times New Roman"/>
          <w:sz w:val="24"/>
          <w:szCs w:val="24"/>
        </w:rPr>
        <w:t xml:space="preserve"> právnickou osobou</w:t>
      </w:r>
      <w:r>
        <w:rPr>
          <w:rFonts w:ascii="Times New Roman" w:hAnsi="Times New Roman" w:cs="Times New Roman"/>
          <w:sz w:val="24"/>
          <w:szCs w:val="24"/>
        </w:rPr>
        <w:t xml:space="preserve">. Z procesu výberu sa vypúšťa verejné vypočutie uchádzačov o uvedenú funkciu. </w:t>
      </w:r>
      <w:r w:rsidR="004E189B">
        <w:rPr>
          <w:rFonts w:ascii="Times New Roman" w:hAnsi="Times New Roman" w:cs="Times New Roman"/>
          <w:sz w:val="24"/>
          <w:szCs w:val="24"/>
        </w:rPr>
        <w:t xml:space="preserve">Zavádza sa aj </w:t>
      </w:r>
      <w:r w:rsidR="004E189B" w:rsidRPr="00CA1BB2">
        <w:rPr>
          <w:rFonts w:ascii="Times New Roman" w:hAnsi="Times New Roman" w:cs="Times New Roman"/>
          <w:sz w:val="24"/>
          <w:szCs w:val="24"/>
        </w:rPr>
        <w:t>pružnejší mod</w:t>
      </w:r>
      <w:r w:rsidR="004E189B">
        <w:rPr>
          <w:rFonts w:ascii="Times New Roman" w:hAnsi="Times New Roman" w:cs="Times New Roman"/>
          <w:sz w:val="24"/>
          <w:szCs w:val="24"/>
        </w:rPr>
        <w:t xml:space="preserve">el manažérskych zmien vo vedení </w:t>
      </w:r>
      <w:r w:rsidR="004E189B" w:rsidRPr="00CA1BB2">
        <w:rPr>
          <w:rFonts w:ascii="Times New Roman" w:hAnsi="Times New Roman" w:cs="Times New Roman"/>
          <w:sz w:val="24"/>
          <w:szCs w:val="24"/>
        </w:rPr>
        <w:t>uvedených inštitúcií</w:t>
      </w:r>
      <w:r w:rsidR="004E189B">
        <w:rPr>
          <w:rFonts w:ascii="Times New Roman" w:hAnsi="Times New Roman" w:cs="Times New Roman"/>
          <w:sz w:val="24"/>
          <w:szCs w:val="24"/>
        </w:rPr>
        <w:t xml:space="preserve">, a to možnosťou odvolania </w:t>
      </w:r>
      <w:r>
        <w:rPr>
          <w:rFonts w:ascii="Times New Roman" w:hAnsi="Times New Roman" w:cs="Times New Roman"/>
          <w:sz w:val="24"/>
          <w:szCs w:val="24"/>
        </w:rPr>
        <w:t>štatutárneho orgánu múzea alebo galérie, resp. vedúceho zamestnanca riadiaceho múzeum alebo galériu bez právnej subjektivity</w:t>
      </w:r>
      <w:r w:rsidR="004E189B">
        <w:rPr>
          <w:rFonts w:ascii="Times New Roman" w:hAnsi="Times New Roman" w:cs="Times New Roman"/>
          <w:sz w:val="24"/>
          <w:szCs w:val="24"/>
        </w:rPr>
        <w:t xml:space="preserve">, bez </w:t>
      </w:r>
      <w:r w:rsidR="004E189B" w:rsidRPr="00CA1BB2">
        <w:rPr>
          <w:rFonts w:ascii="Times New Roman" w:hAnsi="Times New Roman" w:cs="Times New Roman"/>
          <w:sz w:val="24"/>
          <w:szCs w:val="24"/>
        </w:rPr>
        <w:t>uvedenia dôvodu</w:t>
      </w:r>
      <w:r w:rsidR="004E18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F1" w:rsidRDefault="004E189B" w:rsidP="00CD31B6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Poslaneckým návrhom zákona sa</w:t>
      </w:r>
      <w:r w:rsidR="0028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="002817F1">
        <w:rPr>
          <w:rFonts w:ascii="Times New Roman" w:hAnsi="Times New Roman" w:cs="Times New Roman"/>
          <w:sz w:val="24"/>
          <w:szCs w:val="24"/>
        </w:rPr>
        <w:t>navrhuje vypustiť päťročné funkčné obdobie pri výkone funkcie</w:t>
      </w:r>
      <w:r w:rsidR="002817F1" w:rsidRPr="000E40F8">
        <w:t xml:space="preserve"> </w:t>
      </w:r>
      <w:r w:rsidR="002817F1" w:rsidRPr="000E40F8">
        <w:rPr>
          <w:rFonts w:ascii="Times New Roman" w:hAnsi="Times New Roman" w:cs="Times New Roman"/>
          <w:sz w:val="24"/>
          <w:szCs w:val="24"/>
        </w:rPr>
        <w:t>štatutárneho orgánu múzea alebo galérie, resp. vedúceho zamestnanca riadiaceho múzeum alebo galériu bez právnej subjektivity</w:t>
      </w:r>
      <w:r w:rsidR="002817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1B6" w:rsidRDefault="00CD31B6" w:rsidP="00CD31B6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F1" w:rsidRDefault="002817F1" w:rsidP="00CD31B6">
      <w:pPr>
        <w:pStyle w:val="Normlnywebov"/>
        <w:spacing w:before="0" w:beforeAutospacing="0" w:after="160" w:afterAutospacing="0" w:line="288" w:lineRule="auto"/>
        <w:jc w:val="both"/>
        <w:rPr>
          <w:b/>
        </w:rPr>
      </w:pPr>
      <w:r>
        <w:rPr>
          <w:b/>
        </w:rPr>
        <w:t>Stanovisko</w:t>
      </w:r>
    </w:p>
    <w:p w:rsidR="004B2E1A" w:rsidRPr="008D33E5" w:rsidRDefault="004B2E1A" w:rsidP="004B2E1A">
      <w:pPr>
        <w:jc w:val="both"/>
        <w:rPr>
          <w:rFonts w:ascii="Times New Roman" w:hAnsi="Times New Roman" w:cs="Times New Roman"/>
          <w:sz w:val="24"/>
          <w:szCs w:val="24"/>
        </w:rPr>
      </w:pPr>
      <w:r w:rsidRPr="008D33E5">
        <w:rPr>
          <w:rFonts w:ascii="Times New Roman" w:hAnsi="Times New Roman" w:cs="Times New Roman"/>
          <w:sz w:val="24"/>
          <w:szCs w:val="24"/>
        </w:rPr>
        <w:t>Ministerstvo kultúry uplatňuje k poslaneckému návrhu zákona tieto pripomienky:</w:t>
      </w:r>
    </w:p>
    <w:p w:rsidR="001B5A1E" w:rsidRPr="001B5A1E" w:rsidRDefault="004B2E1A" w:rsidP="00B3493C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493C">
        <w:rPr>
          <w:rFonts w:ascii="Times New Roman" w:hAnsi="Times New Roman" w:cs="Times New Roman"/>
          <w:sz w:val="24"/>
          <w:szCs w:val="24"/>
        </w:rPr>
        <w:t>V čl. I bod 1 n</w:t>
      </w:r>
      <w:r w:rsidR="001B5A1E">
        <w:rPr>
          <w:rFonts w:ascii="Times New Roman" w:hAnsi="Times New Roman" w:cs="Times New Roman"/>
          <w:sz w:val="24"/>
          <w:szCs w:val="24"/>
        </w:rPr>
        <w:t xml:space="preserve">avrhujeme </w:t>
      </w:r>
      <w:r w:rsidR="00B3493C">
        <w:rPr>
          <w:rFonts w:ascii="Times New Roman" w:hAnsi="Times New Roman" w:cs="Times New Roman"/>
          <w:sz w:val="24"/>
          <w:szCs w:val="24"/>
        </w:rPr>
        <w:t>v</w:t>
      </w:r>
      <w:r w:rsidR="001B5A1E">
        <w:rPr>
          <w:rFonts w:ascii="Times New Roman" w:hAnsi="Times New Roman" w:cs="Times New Roman"/>
          <w:sz w:val="24"/>
          <w:szCs w:val="24"/>
        </w:rPr>
        <w:t xml:space="preserve"> § 3a </w:t>
      </w:r>
      <w:r w:rsidR="00B3493C">
        <w:rPr>
          <w:rFonts w:ascii="Times New Roman" w:hAnsi="Times New Roman" w:cs="Times New Roman"/>
          <w:sz w:val="24"/>
          <w:szCs w:val="24"/>
        </w:rPr>
        <w:t>odsek 1 upraviť takto</w:t>
      </w:r>
      <w:r w:rsidR="001B5A1E">
        <w:rPr>
          <w:rFonts w:ascii="Times New Roman" w:hAnsi="Times New Roman" w:cs="Times New Roman"/>
          <w:sz w:val="24"/>
          <w:szCs w:val="24"/>
        </w:rPr>
        <w:t>:</w:t>
      </w:r>
    </w:p>
    <w:p w:rsidR="00CF54A3" w:rsidRDefault="00B3493C" w:rsidP="00B3493C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3493C">
        <w:rPr>
          <w:rFonts w:ascii="Times New Roman" w:hAnsi="Times New Roman" w:cs="Times New Roman"/>
          <w:sz w:val="24"/>
          <w:szCs w:val="24"/>
        </w:rPr>
        <w:t xml:space="preserve">(1) </w:t>
      </w:r>
      <w:r w:rsidR="00CF54A3" w:rsidRPr="00CF54A3">
        <w:rPr>
          <w:rFonts w:ascii="Times New Roman" w:hAnsi="Times New Roman" w:cs="Times New Roman"/>
          <w:sz w:val="24"/>
          <w:szCs w:val="24"/>
        </w:rPr>
        <w:t>Štatutárny orgán múzea alebo galérie podľa § 3 ods. 1 vymenúva a odvoláva štatutárny orgán zriaďovateľa tohto múzea alebo galérie. Štatutárny orgán múzea alebo galérie podľa § 3 ods. 1 sa vymenúva na základe výsledku výberového konania.“</w:t>
      </w:r>
      <w:r w:rsidR="00CF54A3">
        <w:rPr>
          <w:rFonts w:ascii="Times New Roman" w:hAnsi="Times New Roman" w:cs="Times New Roman"/>
          <w:sz w:val="24"/>
          <w:szCs w:val="24"/>
        </w:rPr>
        <w:t>.</w:t>
      </w:r>
    </w:p>
    <w:p w:rsidR="00B3493C" w:rsidRPr="001B5A1E" w:rsidRDefault="00B3493C" w:rsidP="00B3493C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E" w:rsidRPr="001B5A1E" w:rsidRDefault="00B3493C" w:rsidP="00B3493C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 čl. I bod 1 navrhujeme v § 3b odsek 1 upraviť takto:</w:t>
      </w:r>
    </w:p>
    <w:p w:rsidR="00CF54A3" w:rsidRDefault="00B3493C" w:rsidP="00B3493C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3493C">
        <w:rPr>
          <w:rFonts w:ascii="Times New Roman" w:hAnsi="Times New Roman" w:cs="Times New Roman"/>
          <w:sz w:val="24"/>
          <w:szCs w:val="24"/>
        </w:rPr>
        <w:t xml:space="preserve">(1) </w:t>
      </w:r>
      <w:r w:rsidR="00CF54A3" w:rsidRPr="00CF54A3">
        <w:rPr>
          <w:rFonts w:ascii="Times New Roman" w:hAnsi="Times New Roman" w:cs="Times New Roman"/>
          <w:sz w:val="24"/>
          <w:szCs w:val="24"/>
        </w:rPr>
        <w:t xml:space="preserve">Vedúceho zamestnanca riadiaceho múzeum, ktoré nie je právnickou osobou, alebo galériu, ktorá nie je právnickou osobou, vymenúva a odvoláva štatutárny orgán právnickej </w:t>
      </w:r>
      <w:r w:rsidR="00CF54A3" w:rsidRPr="00CF54A3">
        <w:rPr>
          <w:rFonts w:ascii="Times New Roman" w:hAnsi="Times New Roman" w:cs="Times New Roman"/>
          <w:sz w:val="24"/>
          <w:szCs w:val="24"/>
        </w:rPr>
        <w:lastRenderedPageBreak/>
        <w:t>osoby, ktorej organizačnú zložku múzeum alebo galéria tvorí. Vedúci zamestnanec podľa prvej vety sa vymenúva na základe výsledku výberového konania.“</w:t>
      </w:r>
      <w:r w:rsidR="00CF54A3">
        <w:rPr>
          <w:rFonts w:ascii="Times New Roman" w:hAnsi="Times New Roman" w:cs="Times New Roman"/>
          <w:sz w:val="24"/>
          <w:szCs w:val="24"/>
        </w:rPr>
        <w:t>.</w:t>
      </w:r>
    </w:p>
    <w:p w:rsidR="00CD31B6" w:rsidRDefault="00CD31B6" w:rsidP="00CD31B6">
      <w:pPr>
        <w:spacing w:after="16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A9" w:rsidRDefault="00B13EA9" w:rsidP="00CD31B6">
      <w:pPr>
        <w:pStyle w:val="Normlnywebov"/>
        <w:spacing w:before="0" w:beforeAutospacing="0" w:after="160" w:afterAutospacing="0" w:line="288" w:lineRule="auto"/>
        <w:jc w:val="both"/>
        <w:rPr>
          <w:b/>
          <w:bCs/>
        </w:rPr>
      </w:pPr>
      <w:r w:rsidRPr="009F118A">
        <w:rPr>
          <w:b/>
          <w:bCs/>
        </w:rPr>
        <w:t>Medzirezortné pripomienkové konanie</w:t>
      </w:r>
    </w:p>
    <w:p w:rsidR="00B3493C" w:rsidRPr="00B3493C" w:rsidRDefault="00B3493C" w:rsidP="00CD31B6">
      <w:pPr>
        <w:pStyle w:val="Normlnywebov"/>
        <w:spacing w:before="0" w:beforeAutospacing="0" w:after="160" w:afterAutospacing="0" w:line="288" w:lineRule="auto"/>
        <w:jc w:val="both"/>
        <w:rPr>
          <w:b/>
        </w:rPr>
      </w:pPr>
      <w:r>
        <w:t>Úrad vlády</w:t>
      </w:r>
      <w:r w:rsidR="00F36B3D">
        <w:t xml:space="preserve"> Slovenskej republiky</w:t>
      </w:r>
      <w:r>
        <w:t xml:space="preserve"> uplatnil k poslaneckému návrhu zákona obyčajnú pripomienku, ktorá</w:t>
      </w:r>
      <w:r w:rsidRPr="00FB48B0">
        <w:rPr>
          <w:rStyle w:val="Siln"/>
          <w:b w:val="0"/>
        </w:rPr>
        <w:t xml:space="preserve"> je zohľadnená v stanovisku ministerstva kultúry.</w:t>
      </w:r>
    </w:p>
    <w:p w:rsidR="00F11633" w:rsidRDefault="00B3493C" w:rsidP="00CD31B6">
      <w:pPr>
        <w:pStyle w:val="Normlnywebov"/>
        <w:spacing w:before="0" w:beforeAutospacing="0" w:after="160" w:afterAutospacing="0" w:line="288" w:lineRule="auto"/>
        <w:jc w:val="both"/>
        <w:rPr>
          <w:bCs/>
        </w:rPr>
      </w:pPr>
      <w:r>
        <w:t>Ďalej</w:t>
      </w:r>
      <w:r w:rsidR="00F11633">
        <w:rPr>
          <w:bCs/>
        </w:rPr>
        <w:t xml:space="preserve"> boli</w:t>
      </w:r>
      <w:r w:rsidR="00B13EA9">
        <w:rPr>
          <w:bCs/>
        </w:rPr>
        <w:t xml:space="preserve"> </w:t>
      </w:r>
      <w:r w:rsidR="00F11633">
        <w:rPr>
          <w:bCs/>
        </w:rPr>
        <w:t>uplatnené</w:t>
      </w:r>
      <w:r w:rsidR="00B13EA9">
        <w:rPr>
          <w:bCs/>
        </w:rPr>
        <w:t xml:space="preserve"> </w:t>
      </w:r>
      <w:r w:rsidR="00F11633">
        <w:rPr>
          <w:bCs/>
        </w:rPr>
        <w:t xml:space="preserve">zásadné pripomienky totožného znenia od Banskobystrického samosprávneho kraja, Bratislavského samosprávneho kraja, Košického samosprávneho kraja, Trnavského samosprávneho kraja a Žilinského samosprávneho kraja, ktoré odmietli </w:t>
      </w:r>
      <w:r w:rsidR="00CD31B6">
        <w:rPr>
          <w:bCs/>
        </w:rPr>
        <w:t xml:space="preserve">poslanecký </w:t>
      </w:r>
      <w:r w:rsidR="00F11633">
        <w:rPr>
          <w:bCs/>
        </w:rPr>
        <w:t xml:space="preserve">návrh zákona ako celok z dôvodu, že s nimi </w:t>
      </w:r>
      <w:r w:rsidR="00CD31B6">
        <w:rPr>
          <w:bCs/>
        </w:rPr>
        <w:t xml:space="preserve">ako zriaďovateľmi väčšiny múzeí a galérií na Slovensku </w:t>
      </w:r>
      <w:r w:rsidR="00F11633">
        <w:rPr>
          <w:bCs/>
        </w:rPr>
        <w:t>nebol prerokovaný</w:t>
      </w:r>
      <w:r>
        <w:rPr>
          <w:bCs/>
        </w:rPr>
        <w:t>.</w:t>
      </w:r>
    </w:p>
    <w:p w:rsidR="00B3493C" w:rsidRDefault="00F11633" w:rsidP="00CD31B6">
      <w:pPr>
        <w:pStyle w:val="Normlnywebov"/>
        <w:spacing w:before="0" w:beforeAutospacing="0" w:after="160" w:afterAutospacing="0" w:line="288" w:lineRule="auto"/>
        <w:jc w:val="both"/>
      </w:pPr>
      <w:r>
        <w:rPr>
          <w:bCs/>
        </w:rPr>
        <w:t xml:space="preserve">Zásadnú pripomienku uplatnila aj Únia miest Slovenska, ktorá navrhovala v oblasti </w:t>
      </w:r>
      <w:r w:rsidR="00700F53">
        <w:rPr>
          <w:bCs/>
        </w:rPr>
        <w:t>v</w:t>
      </w:r>
      <w:r w:rsidR="00700F53">
        <w:t xml:space="preserve">ymenovania </w:t>
      </w:r>
      <w:r>
        <w:t xml:space="preserve">a </w:t>
      </w:r>
      <w:r w:rsidR="00700F53">
        <w:t xml:space="preserve">odvolania </w:t>
      </w:r>
      <w:r>
        <w:t>štatutárneho orgánu múzea alebo galérie a tiež v</w:t>
      </w:r>
      <w:r w:rsidR="00CD31B6">
        <w:t>ymenovania a odvolania</w:t>
      </w:r>
      <w:r>
        <w:t xml:space="preserve"> vedúceho zamestnanca riadiaceho </w:t>
      </w:r>
      <w:r w:rsidR="00CD31B6">
        <w:t>múzeu</w:t>
      </w:r>
      <w:r>
        <w:t xml:space="preserve">m alebo galériu bez právnej subjektivity ponechať súčasný </w:t>
      </w:r>
      <w:r w:rsidR="00CD31B6">
        <w:t xml:space="preserve">právny </w:t>
      </w:r>
      <w:r>
        <w:t>stav</w:t>
      </w:r>
      <w:r w:rsidR="00B3493C">
        <w:t xml:space="preserve">. </w:t>
      </w:r>
    </w:p>
    <w:p w:rsidR="00B3493C" w:rsidRDefault="00504832" w:rsidP="00CD31B6">
      <w:pPr>
        <w:pStyle w:val="Normlnywebov"/>
        <w:spacing w:before="0" w:beforeAutospacing="0" w:after="160" w:afterAutospacing="0" w:line="288" w:lineRule="auto"/>
        <w:jc w:val="both"/>
      </w:pPr>
      <w:r>
        <w:t>Mesto Bratislava uplatnilo dve zásadné pripomienky. V prvej žiada poslanecký návrh zákona stiahnuť ako celok</w:t>
      </w:r>
      <w:r w:rsidR="00B3493C">
        <w:t xml:space="preserve">. </w:t>
      </w:r>
      <w:r w:rsidR="00B02747">
        <w:t>V druhej pripomienke ž</w:t>
      </w:r>
      <w:r w:rsidR="00B02747" w:rsidRPr="00B02747">
        <w:t>iada zachovať znenie § 3a a § 3b</w:t>
      </w:r>
      <w:r w:rsidR="00CF54A3">
        <w:t>, ktoré upravujú vymenovanie</w:t>
      </w:r>
      <w:r w:rsidR="00B02747">
        <w:t xml:space="preserve"> a odvolanie štatutárnych orgánov múzeí alebo galérií</w:t>
      </w:r>
      <w:r w:rsidR="00CF54A3">
        <w:t>,</w:t>
      </w:r>
      <w:r w:rsidR="00B02747">
        <w:t xml:space="preserve"> resp. vedúcich zamestnancov riadiacich múzeá alebo galérie bez právnej subjektivity a ich funkčné obdobie</w:t>
      </w:r>
      <w:r w:rsidR="00B02747" w:rsidRPr="00B02747">
        <w:t>.</w:t>
      </w:r>
    </w:p>
    <w:p w:rsidR="00700F53" w:rsidRDefault="00327314" w:rsidP="00CD31B6">
      <w:pPr>
        <w:pStyle w:val="Normlnywebov"/>
        <w:spacing w:before="0" w:beforeAutospacing="0" w:after="160" w:afterAutospacing="0" w:line="288" w:lineRule="auto"/>
        <w:jc w:val="both"/>
      </w:pPr>
      <w:r>
        <w:t xml:space="preserve">Obyčajné pripomienky uplatnili aj organizácie združujúce múzeá a galérie na Slovensku, a to Zväz múzeí </w:t>
      </w:r>
      <w:r w:rsidR="00CD31B6">
        <w:t>na Slovensku</w:t>
      </w:r>
      <w:r>
        <w:t xml:space="preserve"> a Rada galérií S</w:t>
      </w:r>
      <w:r w:rsidR="00CD31B6">
        <w:t>lovenska, ktoré namietajú</w:t>
      </w:r>
      <w:r>
        <w:t xml:space="preserve"> poslaneck</w:t>
      </w:r>
      <w:r w:rsidR="00CD31B6">
        <w:t>ý návrh</w:t>
      </w:r>
      <w:r>
        <w:t xml:space="preserve"> v celom znení, </w:t>
      </w:r>
      <w:r w:rsidR="00CD31B6">
        <w:t xml:space="preserve">pričom </w:t>
      </w:r>
      <w:r>
        <w:t>poukazujú na jeho negatívne dopady na riadenie múzeí a galérií na Slovensku a</w:t>
      </w:r>
      <w:r w:rsidR="00CD31B6">
        <w:t xml:space="preserve"> konštatujú, že navrhovaný spôsob výberu riaditeľov múzeí a galérií a možnosť ich odvolania bez uvedenia dôvodu vytvára priestor pre netransparentné a nekompetentné rozhodnutia ich zriaďovateľov s negatívnymi dopadmi na kvalitu týchto pamäťových inštitúcií. </w:t>
      </w:r>
    </w:p>
    <w:p w:rsidR="00327314" w:rsidRDefault="001C0844" w:rsidP="00CD31B6">
      <w:pPr>
        <w:pStyle w:val="Normlnywebov"/>
        <w:spacing w:before="0" w:beforeAutospacing="0" w:after="160" w:afterAutospacing="0" w:line="288" w:lineRule="auto"/>
        <w:jc w:val="both"/>
        <w:rPr>
          <w:bCs/>
        </w:rPr>
      </w:pPr>
      <w:r>
        <w:rPr>
          <w:bCs/>
        </w:rPr>
        <w:t xml:space="preserve">Ministerstvo kultúry </w:t>
      </w:r>
      <w:r w:rsidR="00700F53">
        <w:rPr>
          <w:bCs/>
        </w:rPr>
        <w:t xml:space="preserve">vyššie </w:t>
      </w:r>
      <w:r>
        <w:rPr>
          <w:bCs/>
        </w:rPr>
        <w:t xml:space="preserve">uvedené pripomienky </w:t>
      </w:r>
      <w:r w:rsidR="00700F53">
        <w:rPr>
          <w:bCs/>
        </w:rPr>
        <w:t xml:space="preserve">Banskobystrického samosprávneho kraja, Bratislavského samosprávneho kraja, Košického samosprávneho kraja, Trnavského samosprávneho kraja, Žilinského samosprávneho kraja, Únie miest Slovenska, </w:t>
      </w:r>
      <w:r w:rsidR="00700F53">
        <w:t xml:space="preserve">Mesta Bratislava, </w:t>
      </w:r>
      <w:r w:rsidR="00FB48B0">
        <w:t>Zväzu múzeí na Slovensku a Rady galérií Slovenska</w:t>
      </w:r>
      <w:r w:rsidR="00700F53">
        <w:rPr>
          <w:bCs/>
        </w:rPr>
        <w:t xml:space="preserve"> </w:t>
      </w:r>
      <w:r w:rsidR="00B3493C">
        <w:rPr>
          <w:bCs/>
        </w:rPr>
        <w:t>neakceptovalo</w:t>
      </w:r>
      <w:r>
        <w:rPr>
          <w:bCs/>
        </w:rPr>
        <w:t xml:space="preserve"> z dôvodu, že sa stotožňuje s obsahom poslaneckého návrhu.  </w:t>
      </w:r>
    </w:p>
    <w:p w:rsidR="00700F53" w:rsidRDefault="00700F53" w:rsidP="00CD31B6">
      <w:pPr>
        <w:pStyle w:val="Normlnywebov"/>
        <w:spacing w:before="0" w:beforeAutospacing="0" w:after="160" w:afterAutospacing="0" w:line="288" w:lineRule="auto"/>
        <w:jc w:val="both"/>
      </w:pPr>
    </w:p>
    <w:p w:rsidR="004B2E1A" w:rsidRDefault="00B3493C" w:rsidP="00B3493C">
      <w:pPr>
        <w:pStyle w:val="Normlnywebov"/>
        <w:spacing w:before="0" w:beforeAutospacing="0" w:after="160" w:afterAutospacing="0" w:line="288" w:lineRule="auto"/>
        <w:jc w:val="both"/>
      </w:pPr>
      <w:r>
        <w:t xml:space="preserve">Po zohľadnení vyššie uvedenej pripomienky </w:t>
      </w:r>
      <w:r w:rsidR="004B2E1A" w:rsidRPr="008D33E5">
        <w:t xml:space="preserve">ministerstvo kultúry </w:t>
      </w:r>
      <w:r>
        <w:t xml:space="preserve">odporúča </w:t>
      </w:r>
      <w:r w:rsidR="004B2E1A" w:rsidRPr="008D33E5">
        <w:t xml:space="preserve">vláde Slovenskej republiky vysloviť </w:t>
      </w:r>
      <w:r w:rsidR="004B2E1A" w:rsidRPr="008D33E5">
        <w:rPr>
          <w:b/>
        </w:rPr>
        <w:t>súhlas s poslaneckým návrhom zákona</w:t>
      </w:r>
      <w:r w:rsidR="004B2E1A" w:rsidRPr="008D33E5">
        <w:t>.</w:t>
      </w:r>
    </w:p>
    <w:p w:rsidR="00CD31B6" w:rsidRDefault="00CD31B6" w:rsidP="00CD31B6">
      <w:pPr>
        <w:pStyle w:val="Normlnywebov"/>
        <w:spacing w:before="0" w:beforeAutospacing="0" w:after="160" w:afterAutospacing="0" w:line="288" w:lineRule="auto"/>
        <w:jc w:val="both"/>
      </w:pPr>
    </w:p>
    <w:p w:rsidR="00F11633" w:rsidRDefault="00327314" w:rsidP="00CD31B6">
      <w:pPr>
        <w:pStyle w:val="Normlnywebov"/>
        <w:spacing w:before="0" w:beforeAutospacing="0" w:after="160" w:afterAutospacing="0" w:line="288" w:lineRule="auto"/>
        <w:jc w:val="both"/>
      </w:pPr>
      <w:r>
        <w:t xml:space="preserve">   </w:t>
      </w:r>
      <w:r w:rsidR="00F11633">
        <w:t xml:space="preserve"> </w:t>
      </w:r>
    </w:p>
    <w:sectPr w:rsidR="00F1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F43"/>
    <w:multiLevelType w:val="hybridMultilevel"/>
    <w:tmpl w:val="4F024DFE"/>
    <w:lvl w:ilvl="0" w:tplc="D6226F6E">
      <w:start w:val="1"/>
      <w:numFmt w:val="decimal"/>
      <w:lvlText w:val="(%1)"/>
      <w:lvlJc w:val="left"/>
      <w:pPr>
        <w:ind w:left="1101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20836BC6"/>
    <w:multiLevelType w:val="hybridMultilevel"/>
    <w:tmpl w:val="C9486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367EE"/>
    <w:multiLevelType w:val="hybridMultilevel"/>
    <w:tmpl w:val="C18219EC"/>
    <w:lvl w:ilvl="0" w:tplc="8F8EDDD8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80260"/>
    <w:multiLevelType w:val="hybridMultilevel"/>
    <w:tmpl w:val="4C248ED2"/>
    <w:lvl w:ilvl="0" w:tplc="8F8EDDD8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43F08"/>
    <w:multiLevelType w:val="hybridMultilevel"/>
    <w:tmpl w:val="680055BA"/>
    <w:lvl w:ilvl="0" w:tplc="8F8EDDD8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55F55"/>
    <w:multiLevelType w:val="hybridMultilevel"/>
    <w:tmpl w:val="89A05B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11"/>
    <w:rsid w:val="000067CF"/>
    <w:rsid w:val="000A35E9"/>
    <w:rsid w:val="00151473"/>
    <w:rsid w:val="001B5A1E"/>
    <w:rsid w:val="001C0844"/>
    <w:rsid w:val="001D3883"/>
    <w:rsid w:val="002454EB"/>
    <w:rsid w:val="002817F1"/>
    <w:rsid w:val="002F24C4"/>
    <w:rsid w:val="00327314"/>
    <w:rsid w:val="00367D9B"/>
    <w:rsid w:val="0037180C"/>
    <w:rsid w:val="003E6BED"/>
    <w:rsid w:val="004B2E1A"/>
    <w:rsid w:val="004E189B"/>
    <w:rsid w:val="00504832"/>
    <w:rsid w:val="00595844"/>
    <w:rsid w:val="005C5FC3"/>
    <w:rsid w:val="006B4CF1"/>
    <w:rsid w:val="006C4608"/>
    <w:rsid w:val="006F25B4"/>
    <w:rsid w:val="00700F53"/>
    <w:rsid w:val="00765A10"/>
    <w:rsid w:val="007F1543"/>
    <w:rsid w:val="008364EC"/>
    <w:rsid w:val="00866650"/>
    <w:rsid w:val="00AA006C"/>
    <w:rsid w:val="00AA747A"/>
    <w:rsid w:val="00B02747"/>
    <w:rsid w:val="00B13EA9"/>
    <w:rsid w:val="00B3493C"/>
    <w:rsid w:val="00B6779F"/>
    <w:rsid w:val="00C76D30"/>
    <w:rsid w:val="00CD31B6"/>
    <w:rsid w:val="00CF54A3"/>
    <w:rsid w:val="00CF64C8"/>
    <w:rsid w:val="00EF3F11"/>
    <w:rsid w:val="00F11633"/>
    <w:rsid w:val="00F36B3D"/>
    <w:rsid w:val="00F46B6E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3F11"/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EF3F11"/>
    <w:rPr>
      <w:b/>
      <w:bCs/>
    </w:rPr>
  </w:style>
  <w:style w:type="character" w:customStyle="1" w:styleId="value">
    <w:name w:val="value"/>
    <w:basedOn w:val="Predvolenpsmoodseku"/>
    <w:rsid w:val="00EF3F11"/>
  </w:style>
  <w:style w:type="paragraph" w:styleId="Odsekzoznamu">
    <w:name w:val="List Paragraph"/>
    <w:basedOn w:val="Normlny"/>
    <w:uiPriority w:val="34"/>
    <w:qFormat/>
    <w:rsid w:val="001D3883"/>
    <w:pPr>
      <w:ind w:left="720"/>
      <w:contextualSpacing/>
    </w:pPr>
  </w:style>
  <w:style w:type="paragraph" w:customStyle="1" w:styleId="Odsekzoznamu1">
    <w:name w:val="Odsek zoznamu1"/>
    <w:basedOn w:val="Normlny"/>
    <w:rsid w:val="001B5A1E"/>
    <w:pPr>
      <w:suppressAutoHyphens/>
      <w:spacing w:after="0" w:line="100" w:lineRule="atLeast"/>
    </w:pPr>
    <w:rPr>
      <w:rFonts w:ascii="Times New Roman" w:eastAsia="Times New Roman" w:hAnsi="Times New Roman" w:cs="Times New Roman"/>
      <w:noProof w:val="0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F53"/>
    <w:rPr>
      <w:rFonts w:ascii="Tahoma" w:eastAsiaTheme="minorEastAsi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3F11"/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EF3F11"/>
    <w:rPr>
      <w:b/>
      <w:bCs/>
    </w:rPr>
  </w:style>
  <w:style w:type="character" w:customStyle="1" w:styleId="value">
    <w:name w:val="value"/>
    <w:basedOn w:val="Predvolenpsmoodseku"/>
    <w:rsid w:val="00EF3F11"/>
  </w:style>
  <w:style w:type="paragraph" w:styleId="Odsekzoznamu">
    <w:name w:val="List Paragraph"/>
    <w:basedOn w:val="Normlny"/>
    <w:uiPriority w:val="34"/>
    <w:qFormat/>
    <w:rsid w:val="001D3883"/>
    <w:pPr>
      <w:ind w:left="720"/>
      <w:contextualSpacing/>
    </w:pPr>
  </w:style>
  <w:style w:type="paragraph" w:customStyle="1" w:styleId="Odsekzoznamu1">
    <w:name w:val="Odsek zoznamu1"/>
    <w:basedOn w:val="Normlny"/>
    <w:rsid w:val="001B5A1E"/>
    <w:pPr>
      <w:suppressAutoHyphens/>
      <w:spacing w:after="0" w:line="100" w:lineRule="atLeast"/>
    </w:pPr>
    <w:rPr>
      <w:rFonts w:ascii="Times New Roman" w:eastAsia="Times New Roman" w:hAnsi="Times New Roman" w:cs="Times New Roman"/>
      <w:noProof w:val="0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F53"/>
    <w:rPr>
      <w:rFonts w:ascii="Tahoma" w:eastAsiaTheme="minorEastAsi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Vico, Lucia"/>
    <f:field ref="objcreatedat" par="" text="28.2.2024 10:42:51"/>
    <f:field ref="objchangedby" par="" text="Administrator, System"/>
    <f:field ref="objmodifiedat" par="" text="28.2.2024 10:42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Liszkaiová Lucia</dc:creator>
  <cp:lastModifiedBy>Liszkaiová Lucia</cp:lastModifiedBy>
  <cp:revision>2</cp:revision>
  <cp:lastPrinted>2024-02-28T09:30:00Z</cp:lastPrinted>
  <dcterms:created xsi:type="dcterms:W3CDTF">2024-03-22T11:11:00Z</dcterms:created>
  <dcterms:modified xsi:type="dcterms:W3CDTF">2024-03-22T11:11:00Z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&lt;p&gt;Nevypracúva sa.&lt;/p&gt;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Vico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5" name="FSC#SKEDITIONSLOVLEX@103.510:nazovpredpis1">
    <vt:lpwstr>stupkoch v znení neskorších predpisov v znení neskorších predpisov (tlač 154)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23" name="FSC#SKEDITIONSLOVLEX@103.510:plny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24" name="FSC#SKEDITIONSLOVLEX@103.510:plnynazovpredpis1">
    <vt:lpwstr>stupkoch v znení neskorších predpisov v znení neskorších predpisov (tlač 154)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MK-3867/2024-480/4149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LP/2024/79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28. 2. 2024</vt:lpwstr>
  </property>
  <property fmtid="{D5CDD505-2E9C-101B-9397-08002B2CF9AE}" pid="151" name="FSC#COOSYSTEM@1.1:Container">
    <vt:lpwstr>COO.2145.1000.3.6075263</vt:lpwstr>
  </property>
  <property fmtid="{D5CDD505-2E9C-101B-9397-08002B2CF9AE}" pid="152" name="FSC#FSCFOLIO@1.1001:docpropproject">
    <vt:lpwstr/>
  </property>
</Properties>
</file>