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E" w:rsidRPr="007A6FB9" w:rsidRDefault="00576EFE" w:rsidP="00576EFE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 w:rsidRPr="007A6FB9">
        <w:rPr>
          <w:b/>
          <w:bCs/>
          <w:color w:val="000000" w:themeColor="text1"/>
        </w:rPr>
        <w:t>NÁRODNÁ RADA SLOVENSKEJ REPUBLIKY</w:t>
      </w:r>
    </w:p>
    <w:bookmarkEnd w:id="0"/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</w:p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IX</w:t>
      </w:r>
      <w:r w:rsidRPr="007A6FB9">
        <w:rPr>
          <w:color w:val="000000" w:themeColor="text1"/>
          <w:spacing w:val="20"/>
        </w:rPr>
        <w:t>.  volebné obdobie</w:t>
      </w:r>
    </w:p>
    <w:p w:rsidR="00576EFE" w:rsidRPr="007A6FB9" w:rsidRDefault="00576EFE" w:rsidP="0019408C">
      <w:pPr>
        <w:pStyle w:val="Zkladntext"/>
        <w:spacing w:before="120" w:line="276" w:lineRule="auto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  <w:rPr>
          <w:b/>
        </w:rPr>
      </w:pPr>
      <w:r w:rsidRPr="00911C93">
        <w:rPr>
          <w:b/>
        </w:rPr>
        <w:t>ZÁKON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</w:pPr>
      <w:r>
        <w:t>z ...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B1627F">
      <w:pPr>
        <w:jc w:val="center"/>
        <w:rPr>
          <w:b/>
          <w:bCs/>
        </w:rPr>
      </w:pPr>
      <w:r>
        <w:rPr>
          <w:b/>
          <w:bCs/>
        </w:rPr>
        <w:t>ktorým sa mení</w:t>
      </w:r>
      <w:r w:rsidR="007562F9">
        <w:rPr>
          <w:b/>
          <w:bCs/>
        </w:rPr>
        <w:t xml:space="preserve"> a dopĺňa</w:t>
      </w:r>
      <w:r>
        <w:rPr>
          <w:b/>
          <w:bCs/>
        </w:rPr>
        <w:t xml:space="preserve"> </w:t>
      </w:r>
      <w:r w:rsidR="00B1627F">
        <w:rPr>
          <w:b/>
          <w:bCs/>
        </w:rPr>
        <w:t>zákon č. 206/2009</w:t>
      </w:r>
      <w:r w:rsidR="0019408C">
        <w:rPr>
          <w:b/>
          <w:bCs/>
        </w:rPr>
        <w:t xml:space="preserve"> Z. z. </w:t>
      </w:r>
      <w:r w:rsidR="00B1627F" w:rsidRPr="00B1627F">
        <w:rPr>
          <w:b/>
          <w:bCs/>
        </w:rPr>
        <w:t>o múzeách a o galériách a o ochrane predmetov kultúrnej hodnoty a o zmene zákona Slovenskej národnej rady č. 372/1990 Zb. o priestupkoch v znení neskorších predpisov</w:t>
      </w:r>
      <w:r w:rsidR="00B1627F">
        <w:rPr>
          <w:b/>
          <w:bCs/>
        </w:rPr>
        <w:t xml:space="preserve"> v 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59537E" w:rsidRDefault="0059537E" w:rsidP="00F437AE">
      <w:pPr>
        <w:pStyle w:val="Odsekzoznamu1"/>
        <w:jc w:val="both"/>
      </w:pPr>
      <w:r w:rsidRPr="0059537E">
        <w:t>Zákon č. 206/2009 Z.</w:t>
      </w:r>
      <w:r w:rsidR="00A34F95">
        <w:t xml:space="preserve"> </w:t>
      </w:r>
      <w:r w:rsidRPr="0059537E">
        <w:t>z. o múzeách a o galériách a o ochrane predmetov kultúrnej hodnoty a o zmene zákona Slovenskej národnej rady č. 372/1990 Zb. o priestupkoch v znení neskorších predpisov v znení zákona č. 38/2014 Z.</w:t>
      </w:r>
      <w:r w:rsidR="00A34F95">
        <w:t xml:space="preserve"> </w:t>
      </w:r>
      <w:r w:rsidRPr="0059537E">
        <w:t>z., zákona č. 126/2015 Z.</w:t>
      </w:r>
      <w:r w:rsidR="00A34F95">
        <w:t xml:space="preserve"> </w:t>
      </w:r>
      <w:r w:rsidRPr="0059537E">
        <w:t>z., zákona č. 376/2015 Z.</w:t>
      </w:r>
      <w:r w:rsidR="00A34F95">
        <w:t xml:space="preserve"> </w:t>
      </w:r>
      <w:r w:rsidRPr="0059537E">
        <w:t>z., zákona č. 160/2018 Z.</w:t>
      </w:r>
      <w:r w:rsidR="00A34F95">
        <w:t xml:space="preserve"> </w:t>
      </w:r>
      <w:r w:rsidRPr="0059537E">
        <w:t>z., nálezu Ústavného súdu Slovenskej republiky č. 34/2019 Z.</w:t>
      </w:r>
      <w:r w:rsidR="00A34F95">
        <w:t xml:space="preserve"> z.,</w:t>
      </w:r>
      <w:r w:rsidRPr="0059537E">
        <w:t xml:space="preserve"> zákona č. 505/2021 Z.</w:t>
      </w:r>
      <w:r w:rsidR="00A34F95">
        <w:t xml:space="preserve"> </w:t>
      </w:r>
      <w:r w:rsidRPr="0059537E">
        <w:t>z.</w:t>
      </w:r>
      <w:r w:rsidR="00A34F95">
        <w:t xml:space="preserve"> a zákona č. 92/2022 Z. z.</w:t>
      </w:r>
      <w:r w:rsidRPr="0059537E">
        <w:t xml:space="preserve"> sa </w:t>
      </w:r>
      <w:r w:rsidR="00A34F95">
        <w:t xml:space="preserve">mení a </w:t>
      </w:r>
      <w:r w:rsidRPr="0059537E">
        <w:t>dopĺňa takto:</w:t>
      </w:r>
    </w:p>
    <w:p w:rsidR="0059537E" w:rsidRDefault="0059537E" w:rsidP="00F437AE">
      <w:pPr>
        <w:pStyle w:val="Odsekzoznamu1"/>
        <w:jc w:val="both"/>
      </w:pPr>
    </w:p>
    <w:p w:rsidR="00A34F95" w:rsidRDefault="00D87A35" w:rsidP="00BF576D">
      <w:pPr>
        <w:pStyle w:val="Odsekzoznamu1"/>
        <w:numPr>
          <w:ilvl w:val="0"/>
          <w:numId w:val="3"/>
        </w:numPr>
        <w:ind w:left="426" w:hanging="426"/>
        <w:jc w:val="both"/>
      </w:pPr>
      <w:r>
        <w:t xml:space="preserve">§ 3a a 3b vrátane nadpisov znejú: </w:t>
      </w:r>
    </w:p>
    <w:p w:rsidR="00D87A35" w:rsidRDefault="00D87A35" w:rsidP="00D87A35">
      <w:pPr>
        <w:pStyle w:val="Odsekzoznamu1"/>
        <w:ind w:left="426"/>
        <w:jc w:val="both"/>
      </w:pPr>
    </w:p>
    <w:p w:rsidR="00D87A35" w:rsidRPr="00D87A35" w:rsidRDefault="00D87A35" w:rsidP="00D87A35">
      <w:pPr>
        <w:pStyle w:val="Odsekzoznamu1"/>
        <w:ind w:left="426"/>
        <w:jc w:val="center"/>
        <w:rPr>
          <w:b/>
        </w:rPr>
      </w:pPr>
      <w:r w:rsidRPr="00D87A35">
        <w:rPr>
          <w:b/>
        </w:rPr>
        <w:t>„§ 3a</w:t>
      </w:r>
    </w:p>
    <w:p w:rsidR="00D87A35" w:rsidRPr="00D87A35" w:rsidRDefault="00D87A35" w:rsidP="00D87A35">
      <w:pPr>
        <w:pStyle w:val="Odsekzoznamu1"/>
        <w:ind w:left="426"/>
        <w:jc w:val="center"/>
        <w:rPr>
          <w:b/>
        </w:rPr>
      </w:pPr>
      <w:r w:rsidRPr="00D87A35">
        <w:rPr>
          <w:b/>
        </w:rPr>
        <w:t>Vymenovanie a odvolanie štatutárneho orgánu múzea alebo galérie</w:t>
      </w:r>
    </w:p>
    <w:p w:rsidR="00D87A35" w:rsidRDefault="00D87A35" w:rsidP="00D87A35">
      <w:pPr>
        <w:pStyle w:val="Odsekzoznamu1"/>
        <w:ind w:left="426"/>
        <w:jc w:val="both"/>
      </w:pPr>
    </w:p>
    <w:p w:rsidR="00B92430" w:rsidRDefault="00D87A35" w:rsidP="00B92430">
      <w:pPr>
        <w:pStyle w:val="Odsekzoznamu1"/>
        <w:numPr>
          <w:ilvl w:val="0"/>
          <w:numId w:val="5"/>
        </w:numPr>
        <w:jc w:val="both"/>
      </w:pPr>
      <w:r>
        <w:t xml:space="preserve">Štatutárny orgán múzea alebo galérie podľa § 3 ods. 1 vymenúva a odvoláva štatutárny orgán zriaďovateľa tohto múzea alebo tejto galérie. </w:t>
      </w:r>
    </w:p>
    <w:p w:rsidR="00B92430" w:rsidRDefault="00B92430" w:rsidP="00B92430">
      <w:pPr>
        <w:pStyle w:val="Odsekzoznamu1"/>
        <w:ind w:left="1071"/>
        <w:jc w:val="both"/>
      </w:pPr>
    </w:p>
    <w:p w:rsidR="00D87A35" w:rsidRDefault="00D87A35" w:rsidP="00B92430">
      <w:pPr>
        <w:pStyle w:val="Odsekzoznamu1"/>
        <w:numPr>
          <w:ilvl w:val="0"/>
          <w:numId w:val="5"/>
        </w:numPr>
        <w:jc w:val="both"/>
      </w:pPr>
      <w:r>
        <w:t>Štatutárny or</w:t>
      </w:r>
      <w:r w:rsidR="00B92430">
        <w:t xml:space="preserve">gán vymenovaný podľa odseku 1 </w:t>
      </w:r>
      <w:r>
        <w:t xml:space="preserve">možno odvolať </w:t>
      </w:r>
      <w:r w:rsidR="00B92430">
        <w:t xml:space="preserve">aj </w:t>
      </w:r>
      <w:r>
        <w:t>bez uvedenia dôvodu.</w:t>
      </w:r>
    </w:p>
    <w:p w:rsidR="00B92430" w:rsidRDefault="00B92430" w:rsidP="00B92430">
      <w:pPr>
        <w:pStyle w:val="Odsekzoznamu1"/>
        <w:jc w:val="both"/>
      </w:pPr>
    </w:p>
    <w:p w:rsidR="00B92430" w:rsidRPr="00B92430" w:rsidRDefault="00B92430" w:rsidP="00B92430">
      <w:pPr>
        <w:pStyle w:val="Odsekzoznamu1"/>
        <w:ind w:left="426"/>
        <w:jc w:val="center"/>
        <w:rPr>
          <w:b/>
        </w:rPr>
      </w:pPr>
      <w:r w:rsidRPr="00B92430">
        <w:rPr>
          <w:b/>
        </w:rPr>
        <w:t>§ 3b</w:t>
      </w:r>
    </w:p>
    <w:p w:rsidR="00B92430" w:rsidRPr="00B92430" w:rsidRDefault="00B92430" w:rsidP="00B92430">
      <w:pPr>
        <w:pStyle w:val="Odsekzoznamu1"/>
        <w:ind w:left="426"/>
        <w:jc w:val="center"/>
        <w:rPr>
          <w:b/>
        </w:rPr>
      </w:pPr>
      <w:r w:rsidRPr="00B92430">
        <w:rPr>
          <w:b/>
        </w:rPr>
        <w:t>Vymenovanie a odvolanie vedúceho zamestnanca riadiaceho organizačnú zložku, ktorá je múzeom alebo galériou</w:t>
      </w:r>
    </w:p>
    <w:p w:rsidR="00B92430" w:rsidRDefault="00B92430" w:rsidP="00B92430">
      <w:pPr>
        <w:pStyle w:val="Odsekzoznamu1"/>
        <w:ind w:left="426"/>
        <w:jc w:val="both"/>
      </w:pPr>
    </w:p>
    <w:p w:rsidR="00B92430" w:rsidRDefault="00B92430" w:rsidP="00B92430">
      <w:pPr>
        <w:pStyle w:val="Odsekzoznamu1"/>
        <w:numPr>
          <w:ilvl w:val="0"/>
          <w:numId w:val="6"/>
        </w:numPr>
        <w:jc w:val="both"/>
      </w:pPr>
      <w:r>
        <w:t xml:space="preserve">Vedúceho zamestnanca riadiaceho múzeum, ktoré nie je právnickou osobou, alebo galériu, ktorá nie je právnickou osobou, vymenúva a odvoláva štatutárny orgán právnickej osoby, ktorej organizačnú zložku múzeum alebo galéria tvorí. </w:t>
      </w:r>
    </w:p>
    <w:p w:rsidR="00B92430" w:rsidRDefault="00B92430" w:rsidP="00B92430">
      <w:pPr>
        <w:pStyle w:val="Odsekzoznamu1"/>
        <w:ind w:left="1101"/>
        <w:jc w:val="both"/>
      </w:pPr>
    </w:p>
    <w:p w:rsidR="00B92430" w:rsidRDefault="00B92430" w:rsidP="00B92430">
      <w:pPr>
        <w:pStyle w:val="Odsekzoznamu1"/>
        <w:numPr>
          <w:ilvl w:val="0"/>
          <w:numId w:val="6"/>
        </w:numPr>
        <w:jc w:val="both"/>
      </w:pPr>
      <w:r>
        <w:lastRenderedPageBreak/>
        <w:t xml:space="preserve">Vedúceho zamestnanca vymenovaného podľa odseku 1 možno odvolať aj bez uvedenia dôvodu.“. </w:t>
      </w:r>
    </w:p>
    <w:p w:rsidR="00A34F95" w:rsidRDefault="00A34F95" w:rsidP="006A018B"/>
    <w:p w:rsidR="00BF576D" w:rsidRDefault="006A018B" w:rsidP="00BF576D">
      <w:pPr>
        <w:pStyle w:val="Odsekzoznamu1"/>
        <w:numPr>
          <w:ilvl w:val="0"/>
          <w:numId w:val="3"/>
        </w:numPr>
        <w:ind w:left="426" w:hanging="426"/>
        <w:jc w:val="both"/>
      </w:pPr>
      <w:r>
        <w:t>Za § 21b sa vkladá § 21c</w:t>
      </w:r>
      <w:r w:rsidR="00BF576D">
        <w:t>, ktorý vrátane nadpisu znie:</w:t>
      </w:r>
    </w:p>
    <w:p w:rsidR="00BF576D" w:rsidRDefault="00BF576D" w:rsidP="00BF576D">
      <w:pPr>
        <w:pStyle w:val="Odsekzoznamu1"/>
        <w:ind w:left="426"/>
        <w:jc w:val="both"/>
      </w:pPr>
    </w:p>
    <w:p w:rsidR="00BF576D" w:rsidRPr="00BF576D" w:rsidRDefault="006A018B" w:rsidP="00BF576D">
      <w:pPr>
        <w:pStyle w:val="Odsekzoznamu1"/>
        <w:ind w:left="426"/>
        <w:jc w:val="center"/>
        <w:rPr>
          <w:b/>
        </w:rPr>
      </w:pPr>
      <w:r>
        <w:rPr>
          <w:b/>
        </w:rPr>
        <w:t>„§ 21c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P</w:t>
      </w:r>
      <w:r>
        <w:rPr>
          <w:b/>
        </w:rPr>
        <w:t>rechodné ustanovenia</w:t>
      </w:r>
      <w:r w:rsidRPr="00BF576D">
        <w:rPr>
          <w:b/>
        </w:rPr>
        <w:t xml:space="preserve"> k úpra</w:t>
      </w:r>
      <w:r w:rsidR="006A018B">
        <w:rPr>
          <w:b/>
        </w:rPr>
        <w:t>vám účinným</w:t>
      </w:r>
      <w:r w:rsidRPr="00BF576D">
        <w:rPr>
          <w:b/>
        </w:rPr>
        <w:t xml:space="preserve"> od 1. júna 2024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</w:p>
    <w:p w:rsidR="00BF576D" w:rsidRDefault="00F811A4" w:rsidP="00BF576D">
      <w:pPr>
        <w:pStyle w:val="Odsekzoznamu1"/>
        <w:numPr>
          <w:ilvl w:val="0"/>
          <w:numId w:val="4"/>
        </w:numPr>
        <w:jc w:val="both"/>
      </w:pPr>
      <w:r>
        <w:t xml:space="preserve">Na </w:t>
      </w:r>
      <w:r w:rsidR="00423E63">
        <w:t>obsadenie funkcie</w:t>
      </w:r>
      <w:r w:rsidR="00FA652E">
        <w:t xml:space="preserve"> štatutárneho orgánu múzea alebo galérie podľa § 3 ods. 1</w:t>
      </w:r>
      <w:r w:rsidR="00423E63">
        <w:t>, na ktoré bolo</w:t>
      </w:r>
      <w:r w:rsidR="00FA652E">
        <w:t xml:space="preserve"> </w:t>
      </w:r>
      <w:r>
        <w:t>vyhlásené</w:t>
      </w:r>
      <w:r w:rsidR="00FA652E">
        <w:t xml:space="preserve"> </w:t>
      </w:r>
      <w:r w:rsidR="00423E63">
        <w:t xml:space="preserve">výberové konanie </w:t>
      </w:r>
      <w:r w:rsidR="00FA652E">
        <w:t>pred 1. júnom 2024</w:t>
      </w:r>
      <w:r>
        <w:t>, ktoré nebolo uskutočnené do 31. mája 2024, sa vzťahuje § 3a ods. 1 v znení účinnom od 1. júna 2024</w:t>
      </w:r>
      <w:r w:rsidR="00FA652E">
        <w:t xml:space="preserve">. </w:t>
      </w:r>
    </w:p>
    <w:p w:rsidR="008A2BD6" w:rsidRDefault="008A2BD6" w:rsidP="008A2BD6">
      <w:pPr>
        <w:pStyle w:val="Odsekzoznamu1"/>
        <w:ind w:left="786"/>
        <w:jc w:val="both"/>
      </w:pPr>
    </w:p>
    <w:p w:rsidR="00F811A4" w:rsidRDefault="00B92430" w:rsidP="00423E63">
      <w:pPr>
        <w:pStyle w:val="Odsekzoznamu1"/>
        <w:numPr>
          <w:ilvl w:val="0"/>
          <w:numId w:val="4"/>
        </w:numPr>
        <w:jc w:val="both"/>
      </w:pPr>
      <w:r>
        <w:t>Ustanovenie § 3a ods. 2</w:t>
      </w:r>
      <w:r w:rsidR="00F811A4">
        <w:t xml:space="preserve"> v znení účinnom od 1. júna 2024 sa vzťahuje aj na štatutárny orgán </w:t>
      </w:r>
      <w:r w:rsidR="00423E63" w:rsidRPr="00423E63">
        <w:t>múzea alebo galérie podľa § 3 ods. 1</w:t>
      </w:r>
      <w:r w:rsidR="00423E63">
        <w:t xml:space="preserve"> </w:t>
      </w:r>
      <w:r w:rsidR="00F811A4">
        <w:t>vymenovaný pred 1. júnom 2024.</w:t>
      </w:r>
    </w:p>
    <w:p w:rsidR="00F811A4" w:rsidRDefault="00F811A4" w:rsidP="00F811A4">
      <w:pPr>
        <w:pStyle w:val="Odsekzoznamu"/>
      </w:pPr>
    </w:p>
    <w:p w:rsidR="00423E63" w:rsidRDefault="00423E63" w:rsidP="00423E63">
      <w:pPr>
        <w:pStyle w:val="Odsekzoznamu"/>
        <w:numPr>
          <w:ilvl w:val="0"/>
          <w:numId w:val="4"/>
        </w:numPr>
        <w:jc w:val="both"/>
      </w:pPr>
      <w:r w:rsidRPr="00423E63">
        <w:t xml:space="preserve">Na obsadenie funkcie </w:t>
      </w:r>
      <w:r>
        <w:t>v</w:t>
      </w:r>
      <w:r w:rsidRPr="00423E63">
        <w:t>edúceho zamestnanca riadiaceho múzeum, ktoré nie je právnickou osobou, alebo galériu, ktorá nie je právnickou osobou,</w:t>
      </w:r>
      <w:r>
        <w:t xml:space="preserve"> na ktoré</w:t>
      </w:r>
      <w:r w:rsidRPr="00423E63">
        <w:t xml:space="preserve"> bolo vyhlásené výberové konanie pred 1. júnom 2024, ktoré nebolo uskutočnené do</w:t>
      </w:r>
      <w:r w:rsidR="00CF6764">
        <w:t xml:space="preserve"> 31. mája 2024, sa vzťahuje § 3b</w:t>
      </w:r>
      <w:r w:rsidRPr="00423E63">
        <w:t xml:space="preserve"> ods. 1 v znení účinnom od 1. júna 2024. </w:t>
      </w:r>
    </w:p>
    <w:p w:rsidR="00CF6764" w:rsidRPr="00423E63" w:rsidRDefault="00CF6764" w:rsidP="00CF6764">
      <w:pPr>
        <w:jc w:val="both"/>
      </w:pPr>
    </w:p>
    <w:p w:rsidR="00CF6764" w:rsidRDefault="00CF6764" w:rsidP="00CF6764">
      <w:pPr>
        <w:pStyle w:val="Odsekzoznamu"/>
        <w:numPr>
          <w:ilvl w:val="0"/>
          <w:numId w:val="4"/>
        </w:numPr>
        <w:jc w:val="both"/>
      </w:pPr>
      <w:r>
        <w:t>Ustanovenie § 3b ods. 2</w:t>
      </w:r>
      <w:r w:rsidRPr="00CF6764">
        <w:t xml:space="preserve"> v znení účinnom od 1. júna 2024 sa vzťahuje aj na </w:t>
      </w:r>
      <w:r>
        <w:t>vedúceho</w:t>
      </w:r>
      <w:r w:rsidR="00B92430">
        <w:t xml:space="preserve"> zamestnanca</w:t>
      </w:r>
      <w:r w:rsidRPr="00CF6764">
        <w:t xml:space="preserve"> riadiaceho múzeum, ktoré nie je právnickou osob</w:t>
      </w:r>
      <w:r>
        <w:t xml:space="preserve">ou, alebo galériu, ktorá nie je </w:t>
      </w:r>
      <w:r w:rsidRPr="00CF6764">
        <w:t>právnickou osobou</w:t>
      </w:r>
      <w:r>
        <w:t>, vymenovaného</w:t>
      </w:r>
      <w:r w:rsidRPr="00CF6764">
        <w:t xml:space="preserve"> pred 1. júnom 2024.</w:t>
      </w:r>
    </w:p>
    <w:p w:rsidR="00CF6764" w:rsidRPr="00CF6764" w:rsidRDefault="00CF6764" w:rsidP="00CF6764">
      <w:pPr>
        <w:jc w:val="both"/>
      </w:pPr>
    </w:p>
    <w:p w:rsidR="00BF576D" w:rsidRPr="00BF576D" w:rsidRDefault="00B92430" w:rsidP="00B92430">
      <w:pPr>
        <w:pStyle w:val="Odsekzoznamu1"/>
        <w:numPr>
          <w:ilvl w:val="0"/>
          <w:numId w:val="4"/>
        </w:numPr>
        <w:jc w:val="both"/>
      </w:pPr>
      <w:r>
        <w:t>Štatutárny orgán</w:t>
      </w:r>
      <w:r w:rsidRPr="00B92430">
        <w:t xml:space="preserve"> múzea alebo galérie podľa § 3 ods. 1</w:t>
      </w:r>
      <w:r>
        <w:t xml:space="preserve"> a v</w:t>
      </w:r>
      <w:r w:rsidR="00171B82">
        <w:t>edúci zamestnanec riadiaci</w:t>
      </w:r>
      <w:r w:rsidR="00171B82" w:rsidRPr="00171B82">
        <w:t xml:space="preserve"> múzeum, ktoré nie je právnickou osobou, alebo galériu, ktorá nie je právnickou osobou</w:t>
      </w:r>
      <w:r w:rsidR="006A6EB2">
        <w:t>,</w:t>
      </w:r>
      <w:r w:rsidR="00171B82">
        <w:t xml:space="preserve"> vymenovaný medzi 1. januárom 2022 a 31. májom 2024</w:t>
      </w:r>
      <w:r w:rsidR="006A6EB2">
        <w:t>,</w:t>
      </w:r>
      <w:r>
        <w:t xml:space="preserve"> </w:t>
      </w:r>
      <w:r w:rsidR="00171B82">
        <w:t xml:space="preserve">vykonáva </w:t>
      </w:r>
      <w:r w:rsidR="00E03122">
        <w:t>po</w:t>
      </w:r>
      <w:r w:rsidR="00A06EE0">
        <w:t xml:space="preserve"> </w:t>
      </w:r>
      <w:r w:rsidR="00E03122">
        <w:t>31. máji</w:t>
      </w:r>
      <w:bookmarkStart w:id="1" w:name="_GoBack"/>
      <w:bookmarkEnd w:id="1"/>
      <w:r w:rsidR="001C2F2B">
        <w:t xml:space="preserve"> 2024 svoju </w:t>
      </w:r>
      <w:r w:rsidR="00171B82">
        <w:t xml:space="preserve">funkciu </w:t>
      </w:r>
      <w:r w:rsidR="001C2F2B">
        <w:t>bez časového obmedzenia.“.</w:t>
      </w:r>
      <w:r w:rsidR="006A6EB2">
        <w:t xml:space="preserve"> </w:t>
      </w:r>
      <w:r w:rsidR="00171B82">
        <w:t xml:space="preserve"> </w:t>
      </w:r>
    </w:p>
    <w:p w:rsidR="00BC1A43" w:rsidRPr="00BE5211" w:rsidRDefault="00BC1A43" w:rsidP="00F437AE">
      <w:pPr>
        <w:pStyle w:val="Odsekzoznamu1"/>
        <w:jc w:val="both"/>
        <w:rPr>
          <w:highlight w:val="yellow"/>
        </w:rPr>
      </w:pPr>
    </w:p>
    <w:p w:rsidR="00F437AE" w:rsidRPr="00000637" w:rsidRDefault="00F437AE" w:rsidP="00F437AE">
      <w:pPr>
        <w:pStyle w:val="Bezriadkovania"/>
        <w:jc w:val="center"/>
        <w:rPr>
          <w:b/>
        </w:rPr>
      </w:pPr>
      <w:r w:rsidRPr="00000637">
        <w:rPr>
          <w:b/>
        </w:rPr>
        <w:t>Čl. II</w:t>
      </w:r>
    </w:p>
    <w:p w:rsidR="00F437AE" w:rsidRPr="00000637" w:rsidRDefault="00F437AE" w:rsidP="00F437AE">
      <w:pPr>
        <w:pStyle w:val="Bezriadkovania"/>
      </w:pPr>
    </w:p>
    <w:p w:rsidR="004723C3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D23AC2" w:rsidRPr="00D23AC2">
        <w:t>1. júna</w:t>
      </w:r>
      <w:r w:rsidR="00542B63" w:rsidRPr="00D23AC2">
        <w:t xml:space="preserve"> 2024</w:t>
      </w:r>
      <w:r w:rsidRPr="00D23AC2">
        <w:t>.</w:t>
      </w:r>
    </w:p>
    <w:sectPr w:rsidR="004723C3">
      <w:footerReference w:type="default" r:id="rId8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11" w:rsidRDefault="00DA2411">
      <w:pPr>
        <w:spacing w:line="240" w:lineRule="auto"/>
      </w:pPr>
      <w:r>
        <w:separator/>
      </w:r>
    </w:p>
  </w:endnote>
  <w:endnote w:type="continuationSeparator" w:id="0">
    <w:p w:rsidR="00DA2411" w:rsidRDefault="00DA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9A" w:rsidRDefault="00DA241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11" w:rsidRDefault="00DA2411">
      <w:pPr>
        <w:spacing w:line="240" w:lineRule="auto"/>
      </w:pPr>
      <w:r>
        <w:separator/>
      </w:r>
    </w:p>
  </w:footnote>
  <w:footnote w:type="continuationSeparator" w:id="0">
    <w:p w:rsidR="00DA2411" w:rsidRDefault="00DA24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F43"/>
    <w:multiLevelType w:val="hybridMultilevel"/>
    <w:tmpl w:val="4F024DFE"/>
    <w:lvl w:ilvl="0" w:tplc="D6226F6E">
      <w:start w:val="1"/>
      <w:numFmt w:val="decimal"/>
      <w:lvlText w:val="(%1)"/>
      <w:lvlJc w:val="left"/>
      <w:pPr>
        <w:ind w:left="1101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80033C"/>
    <w:multiLevelType w:val="hybridMultilevel"/>
    <w:tmpl w:val="6C00C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24297"/>
    <w:multiLevelType w:val="hybridMultilevel"/>
    <w:tmpl w:val="CA467F14"/>
    <w:lvl w:ilvl="0" w:tplc="D6C4CA2E">
      <w:start w:val="1"/>
      <w:numFmt w:val="decimal"/>
      <w:lvlText w:val="(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E"/>
    <w:rsid w:val="000368A8"/>
    <w:rsid w:val="000A41A4"/>
    <w:rsid w:val="00101B92"/>
    <w:rsid w:val="00171B82"/>
    <w:rsid w:val="0017385D"/>
    <w:rsid w:val="0017635D"/>
    <w:rsid w:val="00177950"/>
    <w:rsid w:val="00192137"/>
    <w:rsid w:val="0019408C"/>
    <w:rsid w:val="001C2E89"/>
    <w:rsid w:val="001C2F2B"/>
    <w:rsid w:val="00234B67"/>
    <w:rsid w:val="00234EE8"/>
    <w:rsid w:val="0027059C"/>
    <w:rsid w:val="00303D22"/>
    <w:rsid w:val="00355EE5"/>
    <w:rsid w:val="003A0FE8"/>
    <w:rsid w:val="00423E63"/>
    <w:rsid w:val="004723C3"/>
    <w:rsid w:val="004B169E"/>
    <w:rsid w:val="004B75B2"/>
    <w:rsid w:val="004C7A0A"/>
    <w:rsid w:val="0050784B"/>
    <w:rsid w:val="00542B63"/>
    <w:rsid w:val="00576EFE"/>
    <w:rsid w:val="00591217"/>
    <w:rsid w:val="0059537E"/>
    <w:rsid w:val="005E032F"/>
    <w:rsid w:val="005F33AC"/>
    <w:rsid w:val="00623105"/>
    <w:rsid w:val="0065301B"/>
    <w:rsid w:val="006A018B"/>
    <w:rsid w:val="006A5FF6"/>
    <w:rsid w:val="006A6EB2"/>
    <w:rsid w:val="006D1670"/>
    <w:rsid w:val="006F6820"/>
    <w:rsid w:val="00736194"/>
    <w:rsid w:val="007562F9"/>
    <w:rsid w:val="0080466A"/>
    <w:rsid w:val="0081229E"/>
    <w:rsid w:val="0084322E"/>
    <w:rsid w:val="0087456A"/>
    <w:rsid w:val="00883F03"/>
    <w:rsid w:val="008A2BD6"/>
    <w:rsid w:val="008C1766"/>
    <w:rsid w:val="009B0996"/>
    <w:rsid w:val="009D153B"/>
    <w:rsid w:val="009D2596"/>
    <w:rsid w:val="009D2999"/>
    <w:rsid w:val="00A06EE0"/>
    <w:rsid w:val="00A34F95"/>
    <w:rsid w:val="00AD41BE"/>
    <w:rsid w:val="00AE3103"/>
    <w:rsid w:val="00B1627F"/>
    <w:rsid w:val="00B92430"/>
    <w:rsid w:val="00B95947"/>
    <w:rsid w:val="00BB3B0C"/>
    <w:rsid w:val="00BC1A43"/>
    <w:rsid w:val="00BF1AE0"/>
    <w:rsid w:val="00BF576D"/>
    <w:rsid w:val="00C11CD6"/>
    <w:rsid w:val="00C3009B"/>
    <w:rsid w:val="00C85D2B"/>
    <w:rsid w:val="00C9573B"/>
    <w:rsid w:val="00CE089B"/>
    <w:rsid w:val="00CE644D"/>
    <w:rsid w:val="00CF6764"/>
    <w:rsid w:val="00D23AC2"/>
    <w:rsid w:val="00D87A35"/>
    <w:rsid w:val="00D95D79"/>
    <w:rsid w:val="00DA2411"/>
    <w:rsid w:val="00DB1DD9"/>
    <w:rsid w:val="00E03122"/>
    <w:rsid w:val="00E0329F"/>
    <w:rsid w:val="00E42DCA"/>
    <w:rsid w:val="00EC51FE"/>
    <w:rsid w:val="00F06F5A"/>
    <w:rsid w:val="00F32ACA"/>
    <w:rsid w:val="00F437AE"/>
    <w:rsid w:val="00F811A4"/>
    <w:rsid w:val="00FA652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2024-01-09T13:35:00Z</cp:lastPrinted>
  <dcterms:created xsi:type="dcterms:W3CDTF">2024-01-10T07:00:00Z</dcterms:created>
  <dcterms:modified xsi:type="dcterms:W3CDTF">2024-01-10T07:00:00Z</dcterms:modified>
</cp:coreProperties>
</file>