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B2" w:rsidRDefault="001B05BF" w:rsidP="001B05BF">
      <w:pPr>
        <w:spacing w:after="0" w:line="240" w:lineRule="auto"/>
        <w:jc w:val="center"/>
        <w:rPr>
          <w:rFonts w:ascii="Times New Roman" w:eastAsia="Times New Roman" w:hAnsi="Times New Roman" w:cs="Times New Roman"/>
          <w:b/>
          <w:sz w:val="28"/>
          <w:szCs w:val="28"/>
          <w:lang w:eastAsia="sk-SK"/>
        </w:rPr>
      </w:pPr>
      <w:r>
        <w:rPr>
          <w:rFonts w:ascii="Times New Roman" w:eastAsia="Times New Roman" w:hAnsi="Times New Roman" w:cs="Times New Roman"/>
          <w:b/>
          <w:sz w:val="28"/>
          <w:szCs w:val="28"/>
          <w:lang w:eastAsia="sk-SK"/>
        </w:rPr>
        <w:t>Doložka vybraných vplyvov</w:t>
      </w:r>
      <w:bookmarkStart w:id="0" w:name="_GoBack"/>
      <w:bookmarkEnd w:id="0"/>
    </w:p>
    <w:p w:rsidR="004422B2" w:rsidRDefault="004422B2" w:rsidP="004422B2">
      <w:pPr>
        <w:spacing w:after="200" w:line="276" w:lineRule="auto"/>
        <w:ind w:left="426"/>
        <w:contextualSpacing/>
        <w:rPr>
          <w:rFonts w:ascii="Calibri" w:eastAsia="Calibri" w:hAnsi="Calibri" w:cs="Times New Roman"/>
          <w:b/>
        </w:rPr>
      </w:pPr>
    </w:p>
    <w:tbl>
      <w:tblPr>
        <w:tblStyle w:val="Mriekatabuky1"/>
        <w:tblW w:w="0" w:type="dxa"/>
        <w:tblInd w:w="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4422B2"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Základné údaje</w:t>
            </w:r>
          </w:p>
        </w:tc>
      </w:tr>
      <w:tr w:rsidR="004422B2"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Názov materiálu</w:t>
            </w:r>
          </w:p>
        </w:tc>
      </w:tr>
      <w:tr w:rsidR="004422B2" w:rsidTr="004422B2">
        <w:tc>
          <w:tcPr>
            <w:tcW w:w="9180" w:type="dxa"/>
            <w:gridSpan w:val="11"/>
            <w:tcBorders>
              <w:top w:val="single" w:sz="4" w:space="0" w:color="FFFFFF"/>
              <w:left w:val="single" w:sz="4" w:space="0" w:color="auto"/>
              <w:bottom w:val="single" w:sz="4" w:space="0" w:color="auto"/>
              <w:right w:val="single" w:sz="4" w:space="0" w:color="auto"/>
            </w:tcBorders>
          </w:tcPr>
          <w:p w:rsidR="00E833B8" w:rsidRPr="00BF0FE0" w:rsidRDefault="00E833B8" w:rsidP="00E833B8">
            <w:pPr>
              <w:rPr>
                <w:rFonts w:ascii="Times New Roman" w:eastAsia="Times New Roman" w:hAnsi="Times New Roman"/>
                <w:sz w:val="24"/>
                <w:szCs w:val="24"/>
              </w:rPr>
            </w:pPr>
            <w:r w:rsidRPr="00BF0FE0">
              <w:rPr>
                <w:rFonts w:ascii="Times New Roman" w:eastAsia="Times New Roman" w:hAnsi="Times New Roman"/>
                <w:sz w:val="24"/>
                <w:szCs w:val="24"/>
              </w:rPr>
              <w:t>Návrh nariadenia vlády Slovenskej republiky, ktorým sa ustanovuje výška finančného príspevku na poskytovanie sociálnej služby v niektorých druhoch zariadení sociálnych služieb na rok 2025</w:t>
            </w:r>
          </w:p>
          <w:p w:rsidR="004422B2" w:rsidRPr="00BF0FE0" w:rsidRDefault="004422B2">
            <w:pPr>
              <w:spacing w:line="240" w:lineRule="auto"/>
              <w:rPr>
                <w:rFonts w:ascii="Times New Roman" w:eastAsia="Times New Roman" w:hAnsi="Times New Roman" w:cs="Times New Roman"/>
                <w:sz w:val="24"/>
                <w:szCs w:val="24"/>
                <w:lang w:eastAsia="sk-SK"/>
              </w:rPr>
            </w:pPr>
          </w:p>
          <w:p w:rsidR="004422B2" w:rsidRDefault="004422B2">
            <w:pPr>
              <w:spacing w:line="240" w:lineRule="auto"/>
              <w:rPr>
                <w:rFonts w:ascii="Times New Roman" w:eastAsia="Times New Roman" w:hAnsi="Times New Roman" w:cs="Times New Roman"/>
                <w:sz w:val="20"/>
                <w:szCs w:val="20"/>
                <w:lang w:eastAsia="sk-SK"/>
              </w:rPr>
            </w:pPr>
          </w:p>
        </w:tc>
      </w:tr>
      <w:tr w:rsidR="004422B2"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Predkladateľ (a spolupredkladateľ)</w:t>
            </w:r>
          </w:p>
        </w:tc>
      </w:tr>
      <w:tr w:rsidR="004422B2" w:rsidTr="004422B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422B2" w:rsidRPr="00BF0FE0" w:rsidRDefault="00E833B8">
            <w:pPr>
              <w:spacing w:line="240" w:lineRule="auto"/>
              <w:rPr>
                <w:rFonts w:ascii="Times New Roman" w:eastAsia="Times New Roman" w:hAnsi="Times New Roman" w:cs="Times New Roman"/>
                <w:sz w:val="24"/>
                <w:szCs w:val="24"/>
                <w:lang w:eastAsia="sk-SK"/>
              </w:rPr>
            </w:pPr>
            <w:r w:rsidRPr="00BF0FE0">
              <w:rPr>
                <w:rFonts w:ascii="Times New Roman" w:eastAsia="Times New Roman" w:hAnsi="Times New Roman" w:cs="Times New Roman"/>
                <w:sz w:val="24"/>
                <w:szCs w:val="24"/>
                <w:lang w:eastAsia="sk-SK"/>
              </w:rPr>
              <w:t>Ministerstvo práce, sociálnych vecí a rodiny Slovenskej republiky</w:t>
            </w:r>
          </w:p>
          <w:p w:rsidR="00E833B8" w:rsidRPr="00E833B8" w:rsidRDefault="00E833B8">
            <w:pPr>
              <w:spacing w:line="240" w:lineRule="auto"/>
              <w:rPr>
                <w:rFonts w:ascii="Times New Roman" w:eastAsia="Times New Roman" w:hAnsi="Times New Roman" w:cs="Times New Roman"/>
                <w:sz w:val="24"/>
                <w:szCs w:val="24"/>
                <w:lang w:eastAsia="sk-SK"/>
              </w:rPr>
            </w:pPr>
          </w:p>
        </w:tc>
      </w:tr>
      <w:tr w:rsidR="004422B2" w:rsidTr="004422B2">
        <w:tc>
          <w:tcPr>
            <w:tcW w:w="4212" w:type="dxa"/>
            <w:gridSpan w:val="2"/>
            <w:vMerge w:val="restart"/>
            <w:tcBorders>
              <w:top w:val="single" w:sz="4" w:space="0" w:color="auto"/>
              <w:left w:val="single" w:sz="4" w:space="0" w:color="auto"/>
              <w:bottom w:val="single" w:sz="4" w:space="0" w:color="auto"/>
              <w:right w:val="single" w:sz="4" w:space="0" w:color="auto"/>
            </w:tcBorders>
            <w:shd w:val="clear" w:color="auto" w:fill="E2E2E2"/>
            <w:vAlign w:val="center"/>
            <w:hideMark/>
          </w:tcPr>
          <w:p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nelegislatívnej povahy</w:t>
            </w:r>
          </w:p>
        </w:tc>
      </w:tr>
      <w:tr w:rsidR="004422B2" w:rsidTr="004422B2">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4422B2" w:rsidRDefault="004422B2">
            <w:pPr>
              <w:spacing w:line="240" w:lineRule="auto"/>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4422B2" w:rsidRDefault="00E833B8">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4422B2" w:rsidRDefault="004422B2">
            <w:pPr>
              <w:spacing w:line="240" w:lineRule="auto"/>
              <w:ind w:left="175" w:hanging="175"/>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Materiál legislatívnej povahy</w:t>
            </w:r>
          </w:p>
        </w:tc>
      </w:tr>
      <w:tr w:rsidR="004422B2" w:rsidTr="004422B2">
        <w:tc>
          <w:tcPr>
            <w:tcW w:w="9721" w:type="dxa"/>
            <w:gridSpan w:val="2"/>
            <w:vMerge/>
            <w:tcBorders>
              <w:top w:val="single" w:sz="4" w:space="0" w:color="auto"/>
              <w:left w:val="single" w:sz="4" w:space="0" w:color="auto"/>
              <w:bottom w:val="single" w:sz="4" w:space="0" w:color="auto"/>
              <w:right w:val="single" w:sz="4" w:space="0" w:color="auto"/>
            </w:tcBorders>
            <w:vAlign w:val="center"/>
            <w:hideMark/>
          </w:tcPr>
          <w:p w:rsidR="004422B2" w:rsidRDefault="004422B2">
            <w:pPr>
              <w:spacing w:line="240" w:lineRule="auto"/>
              <w:rPr>
                <w:rFonts w:ascii="Times New Roman" w:eastAsia="Calibri" w:hAnsi="Times New Roman" w:cs="Times New Roman"/>
                <w:b/>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hideMark/>
              </w:tcPr>
              <w:p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Transpozícia/ implementácia práva EÚ</w:t>
            </w:r>
          </w:p>
        </w:tc>
      </w:tr>
      <w:tr w:rsidR="004422B2"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FFFFFF"/>
          </w:tcPr>
          <w:p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V prípade transpozície/implementácie uveďte zoznam transponovaných/implementovaných predpisov:</w:t>
            </w:r>
          </w:p>
          <w:p w:rsidR="004422B2" w:rsidRDefault="004422B2">
            <w:pPr>
              <w:spacing w:line="240" w:lineRule="auto"/>
              <w:rPr>
                <w:rFonts w:ascii="Times New Roman" w:eastAsia="Times New Roman" w:hAnsi="Times New Roman" w:cs="Times New Roman"/>
                <w:sz w:val="20"/>
                <w:szCs w:val="20"/>
                <w:lang w:eastAsia="sk-SK"/>
              </w:rPr>
            </w:pPr>
          </w:p>
        </w:tc>
      </w:tr>
      <w:tr w:rsidR="004422B2" w:rsidTr="004422B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hideMark/>
          </w:tcPr>
          <w:p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4422B2" w:rsidRDefault="004422B2">
            <w:pPr>
              <w:spacing w:line="240" w:lineRule="auto"/>
              <w:rPr>
                <w:rFonts w:ascii="Times New Roman" w:eastAsia="Times New Roman" w:hAnsi="Times New Roman" w:cs="Times New Roman"/>
                <w:i/>
                <w:sz w:val="20"/>
                <w:szCs w:val="20"/>
                <w:lang w:eastAsia="sk-SK"/>
              </w:rPr>
            </w:pPr>
          </w:p>
        </w:tc>
      </w:tr>
      <w:tr w:rsidR="004422B2" w:rsidTr="004422B2">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pPr>
              <w:spacing w:after="200" w:line="276" w:lineRule="auto"/>
              <w:ind w:left="142"/>
              <w:contextualSpacing/>
              <w:rPr>
                <w:rFonts w:ascii="Times New Roman" w:eastAsia="Calibri" w:hAnsi="Times New Roman" w:cs="Times New Roman"/>
                <w:b/>
              </w:rPr>
            </w:pPr>
            <w:r>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4422B2" w:rsidRDefault="004422B2">
            <w:pPr>
              <w:spacing w:line="240" w:lineRule="auto"/>
              <w:rPr>
                <w:rFonts w:ascii="Times New Roman" w:eastAsia="Times New Roman" w:hAnsi="Times New Roman" w:cs="Times New Roman"/>
                <w:i/>
                <w:sz w:val="20"/>
                <w:szCs w:val="20"/>
                <w:lang w:eastAsia="sk-SK"/>
              </w:rPr>
            </w:pPr>
          </w:p>
        </w:tc>
      </w:tr>
      <w:tr w:rsidR="004422B2" w:rsidTr="004422B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pPr>
              <w:spacing w:line="276" w:lineRule="auto"/>
              <w:ind w:left="142"/>
              <w:contextualSpacing/>
              <w:rPr>
                <w:rFonts w:ascii="Calibri" w:eastAsia="Calibri" w:hAnsi="Calibri" w:cs="Times New Roman"/>
                <w:b/>
              </w:rPr>
            </w:pPr>
            <w:r>
              <w:rPr>
                <w:rFonts w:ascii="Times New Roman" w:eastAsia="Calibri" w:hAnsi="Times New Roman" w:cs="Times New Roman"/>
                <w:b/>
              </w:rPr>
              <w:t>Predpokladaný termín začiatku a ukončenia ZP**</w:t>
            </w:r>
            <w:r>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4422B2" w:rsidRDefault="004422B2">
            <w:pPr>
              <w:spacing w:line="240" w:lineRule="auto"/>
              <w:rPr>
                <w:rFonts w:ascii="Times New Roman" w:eastAsia="Times New Roman" w:hAnsi="Times New Roman" w:cs="Times New Roman"/>
                <w:i/>
                <w:sz w:val="20"/>
                <w:szCs w:val="20"/>
                <w:lang w:eastAsia="sk-SK"/>
              </w:rPr>
            </w:pPr>
          </w:p>
        </w:tc>
      </w:tr>
      <w:tr w:rsidR="004422B2" w:rsidTr="004422B2">
        <w:tc>
          <w:tcPr>
            <w:tcW w:w="5949" w:type="dxa"/>
            <w:gridSpan w:val="6"/>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pPr>
              <w:spacing w:after="200" w:line="276" w:lineRule="auto"/>
              <w:ind w:left="142"/>
              <w:contextualSpacing/>
              <w:jc w:val="both"/>
              <w:rPr>
                <w:rFonts w:ascii="Times New Roman" w:eastAsia="Calibri" w:hAnsi="Times New Roman" w:cs="Times New Roman"/>
                <w:b/>
              </w:rPr>
            </w:pPr>
            <w:r>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4422B2" w:rsidRPr="00E833B8" w:rsidRDefault="00E833B8">
            <w:pPr>
              <w:spacing w:line="240" w:lineRule="auto"/>
              <w:rPr>
                <w:rFonts w:ascii="Times New Roman" w:eastAsia="Times New Roman" w:hAnsi="Times New Roman" w:cs="Times New Roman"/>
                <w:sz w:val="20"/>
                <w:szCs w:val="20"/>
                <w:lang w:eastAsia="sk-SK"/>
              </w:rPr>
            </w:pPr>
            <w:r w:rsidRPr="00E833B8">
              <w:rPr>
                <w:rFonts w:ascii="Times New Roman" w:eastAsia="Times New Roman" w:hAnsi="Times New Roman" w:cs="Times New Roman"/>
                <w:sz w:val="20"/>
                <w:szCs w:val="20"/>
                <w:lang w:eastAsia="sk-SK"/>
              </w:rPr>
              <w:t>máj 2024</w:t>
            </w:r>
          </w:p>
        </w:tc>
      </w:tr>
      <w:tr w:rsidR="004422B2" w:rsidTr="004422B2">
        <w:tc>
          <w:tcPr>
            <w:tcW w:w="9180" w:type="dxa"/>
            <w:gridSpan w:val="11"/>
            <w:tcBorders>
              <w:top w:val="single" w:sz="4" w:space="0" w:color="auto"/>
              <w:left w:val="nil"/>
              <w:bottom w:val="single" w:sz="4" w:space="0" w:color="auto"/>
              <w:right w:val="nil"/>
            </w:tcBorders>
            <w:shd w:val="clear" w:color="auto" w:fill="FFFFFF"/>
          </w:tcPr>
          <w:p w:rsidR="004422B2" w:rsidRDefault="004422B2">
            <w:pPr>
              <w:spacing w:line="240" w:lineRule="auto"/>
              <w:rPr>
                <w:rFonts w:ascii="Times New Roman" w:eastAsia="Times New Roman" w:hAnsi="Times New Roman" w:cs="Times New Roman"/>
                <w:sz w:val="20"/>
                <w:szCs w:val="20"/>
                <w:lang w:eastAsia="sk-SK"/>
              </w:rPr>
            </w:pPr>
          </w:p>
        </w:tc>
      </w:tr>
      <w:tr w:rsidR="004422B2"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Definovanie problému</w:t>
            </w:r>
          </w:p>
        </w:tc>
      </w:tr>
      <w:tr w:rsidR="004422B2" w:rsidTr="004422B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422B2" w:rsidRDefault="004422B2">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BF0FE0" w:rsidRDefault="00BF0FE0">
            <w:pPr>
              <w:spacing w:line="240" w:lineRule="auto"/>
              <w:jc w:val="both"/>
              <w:rPr>
                <w:rFonts w:ascii="Times New Roman" w:eastAsia="Times New Roman" w:hAnsi="Times New Roman" w:cs="Times New Roman"/>
                <w:i/>
                <w:sz w:val="20"/>
                <w:szCs w:val="20"/>
                <w:lang w:eastAsia="sk-SK"/>
              </w:rPr>
            </w:pPr>
          </w:p>
          <w:p w:rsidR="00BF0FE0" w:rsidRPr="00BF0FE0" w:rsidRDefault="00BF0FE0" w:rsidP="00BF0FE0">
            <w:pPr>
              <w:jc w:val="both"/>
              <w:rPr>
                <w:rFonts w:ascii="Times New Roman" w:eastAsia="Times New Roman" w:hAnsi="Times New Roman"/>
                <w:sz w:val="24"/>
                <w:szCs w:val="24"/>
              </w:rPr>
            </w:pPr>
            <w:r w:rsidRPr="00BF0FE0">
              <w:rPr>
                <w:rFonts w:ascii="Times New Roman" w:hAnsi="Times New Roman"/>
                <w:sz w:val="24"/>
                <w:szCs w:val="24"/>
              </w:rPr>
              <w:t>Návrh nariadenia vlády Slovenskej republiky, ktorým sa ustanovuje výška finančného príspevku na poskytovanie sociálnej služby v niektorých druhoch zariadení sociálnych služieb na rok 2025 sa predkladá podľa § 78b ods. 4 zákona č. 448/2008 Z. z. o sociálnych službách a o zmene a doplnení zákona č. 455/1991 Zb. o živnostenskom podnikaní (živnostenský zákon) v znení neskorších predpisov v znení zákona č. 484/2021 Z. z.  (ďalej len „zákon o sociálnych službách“).</w:t>
            </w:r>
          </w:p>
          <w:p w:rsidR="00E833B8" w:rsidRDefault="00E833B8">
            <w:pPr>
              <w:spacing w:line="240" w:lineRule="auto"/>
              <w:jc w:val="both"/>
              <w:rPr>
                <w:rFonts w:ascii="Times New Roman" w:eastAsia="Times New Roman" w:hAnsi="Times New Roman" w:cs="Times New Roman"/>
                <w:i/>
                <w:sz w:val="20"/>
                <w:szCs w:val="20"/>
                <w:lang w:eastAsia="sk-SK"/>
              </w:rPr>
            </w:pPr>
          </w:p>
          <w:p w:rsidR="00500BA0" w:rsidRPr="00500BA0" w:rsidRDefault="00500BA0" w:rsidP="00500BA0">
            <w:pPr>
              <w:jc w:val="both"/>
              <w:rPr>
                <w:rFonts w:ascii="Times New Roman" w:hAnsi="Times New Roman" w:cs="Times New Roman"/>
                <w:color w:val="000000"/>
                <w:sz w:val="24"/>
                <w:szCs w:val="24"/>
              </w:rPr>
            </w:pPr>
            <w:r w:rsidRPr="00500BA0">
              <w:rPr>
                <w:rFonts w:ascii="Times New Roman" w:hAnsi="Times New Roman" w:cs="Times New Roman"/>
                <w:color w:val="000000"/>
                <w:sz w:val="24"/>
                <w:szCs w:val="24"/>
              </w:rPr>
              <w:t xml:space="preserve">V roku 2024 je výška finančného príspevku na mesiac na miesto v zariadení pri pobytových službách v zariadeniach </w:t>
            </w:r>
            <w:r w:rsidR="00FC097D">
              <w:rPr>
                <w:rFonts w:ascii="Times New Roman" w:hAnsi="Times New Roman" w:cs="Times New Roman"/>
                <w:color w:val="000000"/>
                <w:sz w:val="24"/>
                <w:szCs w:val="24"/>
              </w:rPr>
              <w:t xml:space="preserve">ustanovená </w:t>
            </w:r>
            <w:r w:rsidRPr="00500BA0">
              <w:rPr>
                <w:rFonts w:ascii="Times New Roman" w:hAnsi="Times New Roman" w:cs="Times New Roman"/>
                <w:color w:val="000000"/>
                <w:sz w:val="24"/>
                <w:szCs w:val="24"/>
              </w:rPr>
              <w:t>ako násob</w:t>
            </w:r>
            <w:r w:rsidR="00FC097D">
              <w:rPr>
                <w:rFonts w:ascii="Times New Roman" w:hAnsi="Times New Roman" w:cs="Times New Roman"/>
                <w:color w:val="000000"/>
                <w:sz w:val="24"/>
                <w:szCs w:val="24"/>
              </w:rPr>
              <w:t>o</w:t>
            </w:r>
            <w:r w:rsidRPr="00500BA0">
              <w:rPr>
                <w:rFonts w:ascii="Times New Roman" w:hAnsi="Times New Roman" w:cs="Times New Roman"/>
                <w:color w:val="000000"/>
                <w:sz w:val="24"/>
                <w:szCs w:val="24"/>
              </w:rPr>
              <w:t>k mesačnej minimálnej mzdy (700 eur v roku 2023) pri jednotlivých stupňoch odkázanosti, a to konkrétne 0,25 násobku minimálnej mzdy pri II. stupni odkázanosti, 0,5 násobku minimálnej mzdy pri III. stupni odkázanosti, 0,65 násobku minimálnej mzdy pri IV. stupni odkázanosti, 0,9 pri V. stupni odkázanosti a 1,1 násobku minimálnej mzdy pri VI. stupni odkázanosti. Výška finančného príspevku pri poskytovaní ambulantnej sociálnej služby v zariadení podmienenom odkázanosťou/mesiac/miesto tvorí 66,67% (2/3) z výšky finančného príspevku pri poskytovaní pobytovej služby v tomto zariadení/mesiac/miesto.</w:t>
            </w:r>
          </w:p>
          <w:p w:rsidR="00500BA0" w:rsidRPr="00500BA0" w:rsidRDefault="00500BA0" w:rsidP="00500BA0">
            <w:pPr>
              <w:jc w:val="both"/>
              <w:rPr>
                <w:rFonts w:ascii="Times New Roman" w:eastAsia="Times New Roman" w:hAnsi="Times New Roman" w:cs="Times New Roman"/>
                <w:sz w:val="24"/>
                <w:szCs w:val="24"/>
              </w:rPr>
            </w:pPr>
            <w:r w:rsidRPr="00500BA0">
              <w:rPr>
                <w:rFonts w:ascii="Times New Roman" w:hAnsi="Times New Roman" w:cs="Times New Roman"/>
                <w:sz w:val="24"/>
                <w:szCs w:val="24"/>
              </w:rPr>
              <w:t>Výška finančného príspevku na poskytovanie sociálnej služby v zariadeniach krízovej intervencie a výška finančného príspevku na poskytovanie sociálnej služby v nocľahárni na mesiac a na miesto na rozpočtový rok</w:t>
            </w:r>
            <w:r w:rsidRPr="00500BA0">
              <w:rPr>
                <w:rFonts w:ascii="Times New Roman" w:hAnsi="Times New Roman" w:cs="Times New Roman"/>
                <w:color w:val="000000"/>
                <w:sz w:val="24"/>
                <w:szCs w:val="24"/>
              </w:rPr>
              <w:t xml:space="preserve"> 2024 je 0,5 násobku minimálnej mzdy</w:t>
            </w:r>
            <w:r w:rsidRPr="00500BA0">
              <w:rPr>
                <w:rFonts w:ascii="Times New Roman" w:hAnsi="Times New Roman" w:cs="Times New Roman"/>
                <w:sz w:val="24"/>
                <w:szCs w:val="24"/>
              </w:rPr>
              <w:t xml:space="preserve"> v roku 2023 (350 eur).</w:t>
            </w:r>
          </w:p>
          <w:p w:rsidR="004422B2" w:rsidRDefault="004422B2">
            <w:pPr>
              <w:spacing w:line="240" w:lineRule="auto"/>
              <w:rPr>
                <w:rFonts w:ascii="Times New Roman" w:eastAsia="Times New Roman" w:hAnsi="Times New Roman" w:cs="Times New Roman"/>
                <w:b/>
                <w:sz w:val="20"/>
                <w:szCs w:val="20"/>
                <w:lang w:eastAsia="sk-SK"/>
              </w:rPr>
            </w:pPr>
          </w:p>
        </w:tc>
      </w:tr>
      <w:tr w:rsidR="004422B2" w:rsidTr="004422B2">
        <w:tc>
          <w:tcPr>
            <w:tcW w:w="9180" w:type="dxa"/>
            <w:gridSpan w:val="11"/>
            <w:tcBorders>
              <w:top w:val="single" w:sz="4" w:space="0" w:color="auto"/>
              <w:left w:val="single" w:sz="4" w:space="0" w:color="auto"/>
              <w:bottom w:val="nil"/>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Ciele a výsledný stav</w:t>
            </w:r>
          </w:p>
        </w:tc>
      </w:tr>
      <w:tr w:rsidR="004422B2" w:rsidTr="004422B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lastRenderedPageBreak/>
              <w:t xml:space="preserve">Uveďte hlavné ciele predkladaného materiálu (aký výsledný stav má byť prijatím materiálu dosiahnutý, pričom dosiahnutý stav musí byť odlišný od stavu popísaného v bode 2. Definovanie problému). </w:t>
            </w:r>
          </w:p>
          <w:p w:rsidR="00BF0FE0" w:rsidRDefault="00BF0FE0">
            <w:pPr>
              <w:spacing w:line="240" w:lineRule="auto"/>
              <w:rPr>
                <w:rFonts w:ascii="Times New Roman" w:eastAsia="Times New Roman" w:hAnsi="Times New Roman" w:cs="Times New Roman"/>
                <w:i/>
                <w:sz w:val="20"/>
                <w:szCs w:val="20"/>
                <w:lang w:eastAsia="sk-SK"/>
              </w:rPr>
            </w:pPr>
          </w:p>
          <w:p w:rsidR="002E38A0" w:rsidRDefault="002E38A0" w:rsidP="002E38A0">
            <w:pPr>
              <w:pStyle w:val="default0"/>
              <w:spacing w:line="276" w:lineRule="auto"/>
              <w:jc w:val="both"/>
              <w:rPr>
                <w:color w:val="000000"/>
                <w:sz w:val="22"/>
                <w:szCs w:val="22"/>
              </w:rPr>
            </w:pPr>
            <w:r>
              <w:rPr>
                <w:color w:val="000000"/>
                <w:sz w:val="22"/>
                <w:szCs w:val="22"/>
              </w:rPr>
              <w:t xml:space="preserve">Úprava výšky finančného príspevku na spolufinancovanie poskytovania sociálnej služby v zariadeniach </w:t>
            </w:r>
            <w:r>
              <w:rPr>
                <w:sz w:val="22"/>
                <w:szCs w:val="22"/>
              </w:rPr>
              <w:t>sociálnych služieb</w:t>
            </w:r>
            <w:r>
              <w:rPr>
                <w:color w:val="000000"/>
                <w:sz w:val="22"/>
                <w:szCs w:val="22"/>
              </w:rPr>
              <w:t xml:space="preserve"> pre fyzické osoby, ktoré sú odkázané na pomoc inej fyzickej osoby, a pre fyzické osoby, ktoré dovŕšili vek </w:t>
            </w:r>
            <w:r>
              <w:rPr>
                <w:sz w:val="22"/>
                <w:szCs w:val="22"/>
              </w:rPr>
              <w:t xml:space="preserve">potrebný na nárok na starobný dôchodok </w:t>
            </w:r>
            <w:r>
              <w:rPr>
                <w:color w:val="000000"/>
                <w:sz w:val="22"/>
                <w:szCs w:val="22"/>
              </w:rPr>
              <w:t xml:space="preserve">vychádza zo zvýšenia nákladovosti sociálnych služieb v nadväznosti na spôsob jeho  určenia a účelové určenie tohto finančného príspevku na spolufinancovanie ekonomicky oprávnených nákladov  na mzdy a odvody zamestnancov poskytovateľa sociálnej služby v zariadení a  potrebu zohľadnenia vývoja zvyšovania miezd zamestnancov v zariadeniach sociálnych služieb vzhľadom na medziročný vývoj minimálnej mzdy a jej výšku. </w:t>
            </w:r>
            <w:r>
              <w:rPr>
                <w:bCs/>
                <w:color w:val="000000"/>
                <w:sz w:val="22"/>
                <w:szCs w:val="22"/>
              </w:rPr>
              <w:t>Účelom zvýšenia finančného príspevku na poskytovanie sociálnej služby v zariadeniach sociálnych služieb krízovej intervencie obciam a poskytovania finančného príspevku  na poskytovanie sociálnej služby v nocľahárni neverejným poskytovateľom tejto sociálnej služby je spolufinancovanie bežných výdavkov na poskytovanie tejto sociálnej služby, pričom medziročné udržanie miery spolufinancovania nákladovosti  týchto sociálnych služieb zo štátneho rozpočtu v záujme ich dostupnosti a udržateľnosti je naplnením garancie štátu pri zabezpečení ústavného práva každého v systéme sociálnych služieb na pomoc v hmotnej núdzi potrebnú na zabezpečenie základných životných podmienok.</w:t>
            </w:r>
          </w:p>
          <w:p w:rsidR="00500BA0" w:rsidRDefault="00500BA0">
            <w:pPr>
              <w:spacing w:line="240" w:lineRule="auto"/>
              <w:rPr>
                <w:rFonts w:ascii="Times New Roman" w:hAnsi="Times New Roman" w:cs="Times New Roman"/>
                <w:sz w:val="24"/>
                <w:szCs w:val="24"/>
              </w:rPr>
            </w:pPr>
          </w:p>
          <w:p w:rsidR="0003661C" w:rsidRDefault="0003661C" w:rsidP="0003661C">
            <w:pPr>
              <w:jc w:val="both"/>
              <w:rPr>
                <w:rFonts w:ascii="Times New Roman" w:hAnsi="Times New Roman"/>
                <w:color w:val="000000"/>
                <w:sz w:val="24"/>
                <w:szCs w:val="24"/>
              </w:rPr>
            </w:pPr>
            <w:r>
              <w:rPr>
                <w:rFonts w:ascii="Times New Roman" w:hAnsi="Times New Roman"/>
                <w:color w:val="000000"/>
                <w:sz w:val="24"/>
                <w:szCs w:val="24"/>
              </w:rPr>
              <w:t>Navrhuje sa  výška finančného príspevku na mesiac na miesto v zariadení podľa navrhnutého valorizačného mechanizmu pri pobytových službách v zariadeniach ako určeného násobku mesačnej minimálnej mzdy (750 eur v roku 2024) pri jednotlivých stupňoch odkázanosti, a to konkrétne 0,25 násobku minimálnej mzdy pri II. stupni odkázanosti, 0,5 násobku minimálnej mzdy pri III. stupni odkázanosti, 0,65 násobku minimálnej mzdy pri IV. stupni odkázanosti, 0,9 pri V. stupni odkázanosti a 1,1 násobku minimálnej mzdy pri VI. stupni odkázanosti. Výška finančného príspevku pri poskytovaní ambulantnej sociálnej služby v zariadení podmienenom odkázanosťou/mesiac/miesto tvorí 66,67% (2/3) z výšky finančného príspevku pri poskytovaní pobytovej služby v tomto zariadení/mesiac/miesto.</w:t>
            </w:r>
          </w:p>
          <w:p w:rsidR="0003661C" w:rsidRDefault="0003661C" w:rsidP="0003661C">
            <w:pPr>
              <w:jc w:val="both"/>
              <w:rPr>
                <w:rFonts w:ascii="Times New Roman" w:hAnsi="Times New Roman"/>
                <w:color w:val="000000"/>
                <w:sz w:val="24"/>
                <w:szCs w:val="24"/>
              </w:rPr>
            </w:pPr>
          </w:p>
          <w:p w:rsidR="0003661C" w:rsidRDefault="0003661C" w:rsidP="0003661C">
            <w:pPr>
              <w:jc w:val="both"/>
              <w:rPr>
                <w:rFonts w:ascii="Times New Roman" w:eastAsia="Times New Roman" w:hAnsi="Times New Roman"/>
                <w:sz w:val="24"/>
                <w:szCs w:val="24"/>
              </w:rPr>
            </w:pPr>
            <w:r>
              <w:rPr>
                <w:rFonts w:ascii="Times New Roman" w:hAnsi="Times New Roman"/>
                <w:sz w:val="24"/>
                <w:szCs w:val="24"/>
              </w:rPr>
              <w:t>Navrhuje sa aj valorizácia výšky finančného príspevku na poskytovanie sociálnej služby v zariadeniach krízovej intervencie a výška finančného príspevku na poskytovanie sociálnej služby v nocľahárni na mesiac a na miesto na rozpočtový rok</w:t>
            </w:r>
            <w:r>
              <w:rPr>
                <w:rFonts w:ascii="Times New Roman" w:hAnsi="Times New Roman"/>
                <w:color w:val="000000"/>
                <w:sz w:val="24"/>
                <w:szCs w:val="24"/>
              </w:rPr>
              <w:t xml:space="preserve"> a to konkrétne 0,5 násobku minimálnej mzdy</w:t>
            </w:r>
            <w:r>
              <w:rPr>
                <w:rFonts w:ascii="Times New Roman" w:hAnsi="Times New Roman"/>
                <w:sz w:val="24"/>
                <w:szCs w:val="24"/>
              </w:rPr>
              <w:t xml:space="preserve"> v roku 2024 (375 eur).</w:t>
            </w:r>
          </w:p>
          <w:p w:rsidR="00500BA0" w:rsidRDefault="00500BA0">
            <w:pPr>
              <w:spacing w:line="240" w:lineRule="auto"/>
              <w:rPr>
                <w:rFonts w:ascii="Times New Roman" w:eastAsia="Times New Roman" w:hAnsi="Times New Roman" w:cs="Times New Roman"/>
                <w:sz w:val="20"/>
                <w:szCs w:val="20"/>
                <w:lang w:eastAsia="sk-SK"/>
              </w:rPr>
            </w:pPr>
          </w:p>
        </w:tc>
      </w:tr>
      <w:tr w:rsidR="004422B2" w:rsidTr="004422B2">
        <w:tc>
          <w:tcPr>
            <w:tcW w:w="9180" w:type="dxa"/>
            <w:gridSpan w:val="11"/>
            <w:tcBorders>
              <w:top w:val="single" w:sz="4" w:space="0" w:color="auto"/>
              <w:left w:val="single" w:sz="4" w:space="0" w:color="auto"/>
              <w:bottom w:val="nil"/>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Dotknuté subjekty</w:t>
            </w:r>
          </w:p>
        </w:tc>
      </w:tr>
      <w:tr w:rsidR="004422B2" w:rsidTr="004422B2">
        <w:tc>
          <w:tcPr>
            <w:tcW w:w="9180" w:type="dxa"/>
            <w:gridSpan w:val="11"/>
            <w:tcBorders>
              <w:top w:val="nil"/>
              <w:left w:val="single" w:sz="4" w:space="0" w:color="auto"/>
              <w:bottom w:val="single" w:sz="4" w:space="0" w:color="auto"/>
              <w:right w:val="single" w:sz="4" w:space="0" w:color="auto"/>
            </w:tcBorders>
            <w:shd w:val="clear" w:color="auto" w:fill="FFFFFF"/>
          </w:tcPr>
          <w:p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892DB9" w:rsidRDefault="00892DB9">
            <w:pPr>
              <w:spacing w:line="240" w:lineRule="auto"/>
              <w:rPr>
                <w:rFonts w:ascii="Times New Roman" w:eastAsia="Times New Roman" w:hAnsi="Times New Roman" w:cs="Times New Roman"/>
                <w:i/>
                <w:sz w:val="20"/>
                <w:szCs w:val="20"/>
                <w:lang w:eastAsia="sk-SK"/>
              </w:rPr>
            </w:pPr>
          </w:p>
          <w:p w:rsidR="00892DB9" w:rsidRDefault="00892DB9" w:rsidP="00892DB9">
            <w:pPr>
              <w:jc w:val="both"/>
              <w:rPr>
                <w:rFonts w:ascii="Times New Roman" w:eastAsia="Times New Roman" w:hAnsi="Times New Roman"/>
                <w:b/>
                <w:sz w:val="24"/>
                <w:szCs w:val="24"/>
              </w:rPr>
            </w:pPr>
            <w:r>
              <w:rPr>
                <w:rFonts w:ascii="Times New Roman" w:hAnsi="Times New Roman"/>
                <w:color w:val="000000"/>
                <w:sz w:val="24"/>
                <w:szCs w:val="24"/>
              </w:rPr>
              <w:t>Ministerstvo práce, sociálnych vecí a rodiny Slovenskej republiky, obce, resp. verejní poskytovatelia sociálnych služieb v zariadeniach podmienených odkázanosťou na lokálnej úrovni a neverejní poskytovatelia sociálnych</w:t>
            </w:r>
            <w:r>
              <w:rPr>
                <w:rFonts w:ascii="Times New Roman" w:hAnsi="Times New Roman"/>
                <w:color w:val="000000"/>
              </w:rPr>
              <w:t xml:space="preserve"> </w:t>
            </w:r>
            <w:r>
              <w:rPr>
                <w:rFonts w:ascii="Times New Roman" w:hAnsi="Times New Roman"/>
                <w:color w:val="000000"/>
                <w:sz w:val="24"/>
                <w:szCs w:val="24"/>
              </w:rPr>
              <w:t>služieb v zariadeniach podmienených odkázanosťou na lokálnej i regionálnej úrovni. Tiež obce, resp. verejní poskytovatelia sociálnych služieb v zariadeniach krízovej intervencie na lokálnej úrovni i regionálnej úrovni a neverejní poskytovatelia sociálnych služieb v nocľahárni</w:t>
            </w:r>
            <w:r>
              <w:rPr>
                <w:rFonts w:ascii="Times New Roman" w:hAnsi="Times New Roman"/>
                <w:color w:val="000000"/>
              </w:rPr>
              <w:t>.</w:t>
            </w:r>
          </w:p>
          <w:p w:rsidR="00892DB9" w:rsidRDefault="00892DB9">
            <w:pPr>
              <w:spacing w:line="240" w:lineRule="auto"/>
              <w:rPr>
                <w:rFonts w:ascii="Times New Roman" w:eastAsia="Times New Roman" w:hAnsi="Times New Roman" w:cs="Times New Roman"/>
                <w:i/>
                <w:sz w:val="20"/>
                <w:szCs w:val="20"/>
                <w:lang w:eastAsia="sk-SK"/>
              </w:rPr>
            </w:pPr>
          </w:p>
        </w:tc>
      </w:tr>
      <w:tr w:rsidR="004422B2" w:rsidTr="004422B2">
        <w:tc>
          <w:tcPr>
            <w:tcW w:w="9180" w:type="dxa"/>
            <w:gridSpan w:val="11"/>
            <w:tcBorders>
              <w:top w:val="single" w:sz="4" w:space="0" w:color="auto"/>
              <w:left w:val="single" w:sz="4" w:space="0" w:color="auto"/>
              <w:bottom w:val="nil"/>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Alternatívne riešenia</w:t>
            </w:r>
          </w:p>
        </w:tc>
      </w:tr>
      <w:tr w:rsidR="004422B2" w:rsidTr="004422B2">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4422B2" w:rsidRDefault="004422B2">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rsidR="004422B2" w:rsidRDefault="004422B2">
            <w:pPr>
              <w:spacing w:line="240" w:lineRule="auto"/>
              <w:rPr>
                <w:rFonts w:ascii="Times New Roman" w:eastAsia="Times New Roman" w:hAnsi="Times New Roman" w:cs="Times New Roman"/>
                <w:i/>
                <w:sz w:val="20"/>
                <w:szCs w:val="20"/>
                <w:lang w:eastAsia="sk-SK"/>
              </w:rPr>
            </w:pPr>
          </w:p>
          <w:p w:rsidR="004422B2" w:rsidRDefault="004422B2">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202C91" w:rsidRDefault="00202C91" w:rsidP="00202C91">
            <w:pPr>
              <w:jc w:val="both"/>
              <w:rPr>
                <w:rFonts w:ascii="Times New Roman" w:eastAsia="Times New Roman" w:hAnsi="Times New Roman" w:cs="Times New Roman"/>
                <w:i/>
                <w:sz w:val="20"/>
                <w:szCs w:val="20"/>
                <w:lang w:eastAsia="sk-SK"/>
              </w:rPr>
            </w:pPr>
          </w:p>
          <w:p w:rsidR="009D36B8" w:rsidRDefault="009D36B8" w:rsidP="009D36B8">
            <w:pPr>
              <w:jc w:val="both"/>
              <w:rPr>
                <w:rFonts w:ascii="Times New Roman" w:hAnsi="Times New Roman"/>
                <w:sz w:val="24"/>
                <w:szCs w:val="24"/>
                <w:lang w:eastAsia="ar-SA"/>
              </w:rPr>
            </w:pPr>
            <w:r>
              <w:rPr>
                <w:rFonts w:ascii="Times New Roman" w:hAnsi="Times New Roman"/>
                <w:color w:val="000000"/>
                <w:sz w:val="24"/>
                <w:szCs w:val="24"/>
              </w:rPr>
              <w:t xml:space="preserve">Alternatívne riešenia neboli posudzované.  </w:t>
            </w:r>
            <w:r>
              <w:rPr>
                <w:rFonts w:ascii="Times New Roman" w:hAnsi="Times New Roman"/>
                <w:sz w:val="24"/>
                <w:szCs w:val="24"/>
                <w:lang w:eastAsia="ar-SA"/>
              </w:rPr>
              <w:t xml:space="preserve">Nevykonanie úpravy výšky finančného príspevku </w:t>
            </w:r>
          </w:p>
          <w:p w:rsidR="009D36B8" w:rsidRDefault="009D36B8" w:rsidP="009D36B8">
            <w:pPr>
              <w:jc w:val="both"/>
              <w:rPr>
                <w:rFonts w:ascii="Times New Roman" w:eastAsia="Calibri" w:hAnsi="Times New Roman"/>
                <w:kern w:val="3"/>
                <w:sz w:val="24"/>
                <w:szCs w:val="24"/>
                <w:lang w:eastAsia="ar-SA"/>
              </w:rPr>
            </w:pPr>
            <w:r>
              <w:rPr>
                <w:rFonts w:ascii="Times New Roman" w:hAnsi="Times New Roman"/>
                <w:sz w:val="24"/>
                <w:szCs w:val="24"/>
              </w:rPr>
              <w:t>na poskytovanie sociálnej služby v niektorých druhoch zariadení sociálnych služieb</w:t>
            </w:r>
            <w:r>
              <w:rPr>
                <w:rFonts w:ascii="Times New Roman" w:hAnsi="Times New Roman"/>
                <w:sz w:val="24"/>
                <w:szCs w:val="24"/>
                <w:lang w:eastAsia="ar-SA"/>
              </w:rPr>
              <w:t xml:space="preserve"> na rozpočtový rok 2025 by vzhľadom na medziročný nárast výšky minimálnej mzdy, ako aj záväzky zamestnávateľov súvisiacich so zvyšovaním príplatkov za prácu podľa novely Zákonníka práce,  vyvolalo riziko nezabezpečenia udržateľnosti poskytovania sociálnych služieb dlhodobej starostlivosti v zariadeniach sociálnych služieb podmienených odkázanosťou a vo vybraných zariadeniach krízovej intervencie, a to v dôsledku nespolufinancovaného nárastu mzdových a ostatných osobných nákladov poskytovateľa sociálnych služieb, a to aj pri zohľadnení viaczdrojového financovania sociálnych služieb podľa § 71 zákona o sociálnych službách. </w:t>
            </w:r>
          </w:p>
          <w:p w:rsidR="00202C91" w:rsidRDefault="00202C91" w:rsidP="00202C91">
            <w:pPr>
              <w:jc w:val="both"/>
              <w:rPr>
                <w:rFonts w:ascii="Times New Roman" w:eastAsia="Times New Roman" w:hAnsi="Times New Roman" w:cs="Times New Roman"/>
                <w:i/>
                <w:sz w:val="20"/>
                <w:szCs w:val="20"/>
                <w:lang w:eastAsia="sk-SK"/>
              </w:rPr>
            </w:pPr>
          </w:p>
        </w:tc>
      </w:tr>
      <w:tr w:rsidR="004422B2"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Vykonávacie predpisy</w:t>
            </w:r>
          </w:p>
        </w:tc>
      </w:tr>
      <w:tr w:rsidR="004422B2" w:rsidTr="004422B2">
        <w:tc>
          <w:tcPr>
            <w:tcW w:w="6203" w:type="dxa"/>
            <w:gridSpan w:val="7"/>
            <w:tcBorders>
              <w:top w:val="single" w:sz="4" w:space="0" w:color="FFFFFF"/>
              <w:left w:val="single" w:sz="4" w:space="0" w:color="auto"/>
              <w:bottom w:val="nil"/>
              <w:right w:val="nil"/>
            </w:tcBorders>
            <w:shd w:val="clear" w:color="auto" w:fill="FFFFFF"/>
            <w:hideMark/>
          </w:tcPr>
          <w:p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hideMark/>
          </w:tcPr>
          <w:p w:rsidR="004422B2" w:rsidRDefault="001B05BF">
            <w:pPr>
              <w:spacing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4422B2">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hideMark/>
          </w:tcPr>
          <w:p w:rsidR="004422B2" w:rsidRDefault="001B05BF">
            <w:pPr>
              <w:spacing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9D36B8">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Nie</w:t>
            </w:r>
          </w:p>
        </w:tc>
      </w:tr>
      <w:tr w:rsidR="004422B2" w:rsidTr="004422B2">
        <w:tc>
          <w:tcPr>
            <w:tcW w:w="9180" w:type="dxa"/>
            <w:gridSpan w:val="11"/>
            <w:tcBorders>
              <w:top w:val="nil"/>
              <w:left w:val="single" w:sz="4" w:space="0" w:color="auto"/>
              <w:bottom w:val="single" w:sz="4" w:space="0" w:color="auto"/>
              <w:right w:val="single" w:sz="4" w:space="0" w:color="auto"/>
            </w:tcBorders>
            <w:shd w:val="clear" w:color="auto" w:fill="FFFFFF"/>
          </w:tcPr>
          <w:p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4422B2" w:rsidRDefault="004422B2">
            <w:pPr>
              <w:spacing w:line="240" w:lineRule="auto"/>
              <w:rPr>
                <w:rFonts w:ascii="Times New Roman" w:eastAsia="Times New Roman" w:hAnsi="Times New Roman" w:cs="Times New Roman"/>
                <w:sz w:val="20"/>
                <w:szCs w:val="20"/>
                <w:lang w:eastAsia="sk-SK"/>
              </w:rPr>
            </w:pPr>
          </w:p>
        </w:tc>
      </w:tr>
      <w:tr w:rsidR="004422B2"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 xml:space="preserve">Transpozícia/implementácia práva EÚ </w:t>
            </w:r>
          </w:p>
        </w:tc>
      </w:tr>
      <w:tr w:rsidR="004422B2" w:rsidTr="004422B2">
        <w:trPr>
          <w:trHeight w:val="157"/>
        </w:trPr>
        <w:tc>
          <w:tcPr>
            <w:tcW w:w="9180" w:type="dxa"/>
            <w:gridSpan w:val="11"/>
            <w:tcBorders>
              <w:top w:val="nil"/>
              <w:left w:val="single" w:sz="4" w:space="0" w:color="000000"/>
              <w:bottom w:val="nil"/>
              <w:right w:val="single" w:sz="4" w:space="0" w:color="auto"/>
            </w:tcBorders>
            <w:shd w:val="clear" w:color="auto" w:fill="FFFFFF"/>
            <w:hideMark/>
          </w:tcPr>
          <w:tbl>
            <w:tblPr>
              <w:tblW w:w="0" w:type="auto"/>
              <w:tblLayout w:type="fixed"/>
              <w:tblLook w:val="04A0" w:firstRow="1" w:lastRow="0" w:firstColumn="1" w:lastColumn="0" w:noHBand="0" w:noVBand="1"/>
            </w:tblPr>
            <w:tblGrid>
              <w:gridCol w:w="8643"/>
            </w:tblGrid>
            <w:tr w:rsidR="004422B2">
              <w:trPr>
                <w:trHeight w:val="90"/>
              </w:trPr>
              <w:tc>
                <w:tcPr>
                  <w:tcW w:w="8643" w:type="dxa"/>
                  <w:tcBorders>
                    <w:top w:val="nil"/>
                    <w:left w:val="nil"/>
                    <w:bottom w:val="nil"/>
                    <w:right w:val="nil"/>
                  </w:tcBorders>
                  <w:hideMark/>
                </w:tcPr>
                <w:p w:rsidR="004422B2" w:rsidRDefault="004422B2">
                  <w:pPr>
                    <w:pStyle w:val="Default"/>
                    <w:spacing w:line="256" w:lineRule="auto"/>
                    <w:rPr>
                      <w:color w:val="auto"/>
                      <w:sz w:val="20"/>
                      <w:szCs w:val="20"/>
                    </w:rPr>
                  </w:pPr>
                  <w:r>
                    <w:rPr>
                      <w:i/>
                      <w:iCs/>
                      <w:color w:val="auto"/>
                      <w:sz w:val="20"/>
                      <w:szCs w:val="20"/>
                    </w:rPr>
                    <w:t xml:space="preserve">Uveďte, či v predkladanom návrhu právneho predpisu dochádza ku goldplatingu podľa tabuľky zhody, resp. či ku goldplatingu dochádza pri implementácii práva EÚ. </w:t>
                  </w:r>
                </w:p>
              </w:tc>
            </w:tr>
            <w:tr w:rsidR="004422B2">
              <w:trPr>
                <w:trHeight w:val="296"/>
              </w:trPr>
              <w:tc>
                <w:tcPr>
                  <w:tcW w:w="8643" w:type="dxa"/>
                  <w:tcBorders>
                    <w:top w:val="nil"/>
                    <w:left w:val="nil"/>
                    <w:bottom w:val="nil"/>
                    <w:right w:val="nil"/>
                  </w:tcBorders>
                </w:tcPr>
                <w:p w:rsidR="004422B2" w:rsidRDefault="004422B2">
                  <w:pPr>
                    <w:pStyle w:val="Default"/>
                    <w:spacing w:line="256" w:lineRule="auto"/>
                    <w:rPr>
                      <w:b/>
                      <w:iCs/>
                      <w:color w:val="auto"/>
                      <w:sz w:val="20"/>
                      <w:szCs w:val="20"/>
                    </w:rPr>
                  </w:pPr>
                  <w:r>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lang w:val="en-US"/>
                        </w:rPr>
                        <w:t>☐</w:t>
                      </w:r>
                    </w:sdtContent>
                  </w:sdt>
                  <w:r>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9D36B8">
                        <w:rPr>
                          <w:rFonts w:ascii="MS Gothic" w:eastAsia="MS Gothic" w:hAnsi="MS Gothic" w:hint="eastAsia"/>
                          <w:b/>
                          <w:iCs/>
                          <w:color w:val="auto"/>
                          <w:sz w:val="20"/>
                          <w:szCs w:val="20"/>
                        </w:rPr>
                        <w:t>☒</w:t>
                      </w:r>
                    </w:sdtContent>
                  </w:sdt>
                  <w:r>
                    <w:rPr>
                      <w:b/>
                      <w:iCs/>
                      <w:color w:val="auto"/>
                      <w:sz w:val="20"/>
                      <w:szCs w:val="20"/>
                    </w:rPr>
                    <w:t xml:space="preserve"> Nie</w:t>
                  </w:r>
                </w:p>
                <w:p w:rsidR="004422B2" w:rsidRDefault="004422B2">
                  <w:pPr>
                    <w:pStyle w:val="Default"/>
                    <w:spacing w:line="256" w:lineRule="auto"/>
                    <w:rPr>
                      <w:i/>
                      <w:iCs/>
                      <w:color w:val="auto"/>
                      <w:sz w:val="20"/>
                      <w:szCs w:val="20"/>
                    </w:rPr>
                  </w:pPr>
                </w:p>
                <w:p w:rsidR="004422B2" w:rsidRDefault="004422B2">
                  <w:pPr>
                    <w:pStyle w:val="Default"/>
                    <w:spacing w:line="256" w:lineRule="auto"/>
                    <w:rPr>
                      <w:color w:val="auto"/>
                      <w:sz w:val="20"/>
                      <w:szCs w:val="20"/>
                    </w:rPr>
                  </w:pPr>
                  <w:r>
                    <w:rPr>
                      <w:i/>
                      <w:iCs/>
                      <w:color w:val="auto"/>
                      <w:sz w:val="20"/>
                      <w:szCs w:val="20"/>
                    </w:rPr>
                    <w:t xml:space="preserve">Ak áno, uveďte, ktorých vplyvov podľa bodu 9 sa goldplating týka: </w:t>
                  </w:r>
                </w:p>
              </w:tc>
            </w:tr>
            <w:tr w:rsidR="004422B2">
              <w:trPr>
                <w:trHeight w:val="296"/>
              </w:trPr>
              <w:tc>
                <w:tcPr>
                  <w:tcW w:w="8643" w:type="dxa"/>
                  <w:tcBorders>
                    <w:top w:val="nil"/>
                    <w:left w:val="nil"/>
                    <w:bottom w:val="nil"/>
                    <w:right w:val="nil"/>
                  </w:tcBorders>
                </w:tcPr>
                <w:p w:rsidR="004422B2" w:rsidRDefault="004422B2">
                  <w:pPr>
                    <w:pStyle w:val="Default"/>
                    <w:spacing w:line="256" w:lineRule="auto"/>
                    <w:rPr>
                      <w:rFonts w:ascii="Segoe UI Symbol" w:hAnsi="Segoe UI Symbol" w:cs="Segoe UI Symbol"/>
                      <w:color w:val="auto"/>
                      <w:sz w:val="20"/>
                      <w:szCs w:val="20"/>
                    </w:rPr>
                  </w:pPr>
                </w:p>
              </w:tc>
            </w:tr>
          </w:tbl>
          <w:p w:rsidR="004422B2" w:rsidRDefault="004422B2">
            <w:pPr>
              <w:spacing w:line="240" w:lineRule="auto"/>
              <w:jc w:val="both"/>
              <w:rPr>
                <w:rFonts w:ascii="Times New Roman" w:eastAsia="Times New Roman" w:hAnsi="Times New Roman" w:cs="Times New Roman"/>
                <w:i/>
                <w:sz w:val="20"/>
                <w:szCs w:val="20"/>
                <w:lang w:eastAsia="sk-SK"/>
              </w:rPr>
            </w:pPr>
          </w:p>
        </w:tc>
      </w:tr>
      <w:tr w:rsidR="004422B2" w:rsidTr="004422B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4422B2" w:rsidRDefault="004422B2">
            <w:pPr>
              <w:spacing w:line="240" w:lineRule="auto"/>
              <w:jc w:val="center"/>
              <w:rPr>
                <w:rFonts w:ascii="Times New Roman" w:eastAsia="Times New Roman" w:hAnsi="Times New Roman" w:cs="Times New Roman"/>
                <w:sz w:val="20"/>
                <w:szCs w:val="20"/>
                <w:lang w:eastAsia="sk-SK"/>
              </w:rPr>
            </w:pPr>
          </w:p>
        </w:tc>
      </w:tr>
      <w:tr w:rsidR="004422B2" w:rsidTr="004422B2">
        <w:tc>
          <w:tcPr>
            <w:tcW w:w="9180" w:type="dxa"/>
            <w:gridSpan w:val="11"/>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Preskúmanie účelnosti</w:t>
            </w:r>
          </w:p>
        </w:tc>
      </w:tr>
      <w:tr w:rsidR="004422B2" w:rsidTr="004422B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termín, kedy by malo dôjsť k preskúmaniu účinnosti a účelnosti predkladaného materiálu.</w:t>
            </w:r>
          </w:p>
          <w:p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kritériá, na základe ktorých bude preskúmanie vykonané.</w:t>
            </w:r>
          </w:p>
          <w:p w:rsidR="004422B2" w:rsidRDefault="004422B2">
            <w:pPr>
              <w:spacing w:line="240" w:lineRule="auto"/>
              <w:rPr>
                <w:rFonts w:ascii="Times New Roman" w:eastAsia="Times New Roman" w:hAnsi="Times New Roman" w:cs="Times New Roman"/>
                <w:i/>
                <w:sz w:val="20"/>
                <w:szCs w:val="20"/>
                <w:lang w:eastAsia="sk-SK"/>
              </w:rPr>
            </w:pPr>
          </w:p>
          <w:p w:rsidR="009D36B8" w:rsidRPr="009D36B8" w:rsidRDefault="009D36B8">
            <w:pPr>
              <w:spacing w:line="240" w:lineRule="auto"/>
              <w:rPr>
                <w:rFonts w:ascii="Times New Roman" w:eastAsia="Times New Roman" w:hAnsi="Times New Roman" w:cs="Times New Roman"/>
                <w:sz w:val="24"/>
                <w:szCs w:val="24"/>
                <w:lang w:eastAsia="sk-SK"/>
              </w:rPr>
            </w:pPr>
            <w:r w:rsidRPr="009D36B8">
              <w:rPr>
                <w:rFonts w:ascii="Times New Roman" w:eastAsia="Times New Roman" w:hAnsi="Times New Roman" w:cs="Times New Roman"/>
                <w:sz w:val="24"/>
                <w:szCs w:val="24"/>
                <w:lang w:eastAsia="sk-SK"/>
              </w:rPr>
              <w:t>Bez skúmania.</w:t>
            </w:r>
          </w:p>
        </w:tc>
      </w:tr>
      <w:tr w:rsidR="004422B2" w:rsidTr="004422B2">
        <w:tc>
          <w:tcPr>
            <w:tcW w:w="9180" w:type="dxa"/>
            <w:gridSpan w:val="11"/>
            <w:tcBorders>
              <w:top w:val="nil"/>
              <w:left w:val="nil"/>
              <w:bottom w:val="single" w:sz="4" w:space="0" w:color="auto"/>
              <w:right w:val="nil"/>
            </w:tcBorders>
            <w:shd w:val="clear" w:color="auto" w:fill="FFFFFF"/>
          </w:tcPr>
          <w:p w:rsidR="004422B2" w:rsidRDefault="004422B2">
            <w:pPr>
              <w:spacing w:line="240" w:lineRule="auto"/>
              <w:jc w:val="both"/>
              <w:rPr>
                <w:rFonts w:ascii="Times New Roman" w:eastAsia="Times New Roman" w:hAnsi="Times New Roman" w:cs="Times New Roman"/>
                <w:b/>
                <w:sz w:val="20"/>
                <w:szCs w:val="20"/>
                <w:lang w:eastAsia="sk-SK"/>
              </w:rPr>
            </w:pPr>
          </w:p>
          <w:p w:rsidR="004422B2" w:rsidRDefault="004422B2">
            <w:pPr>
              <w:spacing w:line="240" w:lineRule="auto"/>
              <w:jc w:val="both"/>
              <w:rPr>
                <w:rFonts w:ascii="Times New Roman" w:eastAsia="Times New Roman" w:hAnsi="Times New Roman" w:cs="Times New Roman"/>
                <w:b/>
                <w:sz w:val="20"/>
                <w:szCs w:val="20"/>
                <w:lang w:eastAsia="sk-SK"/>
              </w:rPr>
            </w:pPr>
          </w:p>
          <w:p w:rsidR="004422B2" w:rsidRDefault="004422B2">
            <w:pPr>
              <w:spacing w:line="240" w:lineRule="auto"/>
              <w:ind w:left="142" w:hanging="142"/>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4422B2" w:rsidRDefault="004422B2">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4422B2" w:rsidRDefault="004422B2">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422B2" w:rsidRDefault="004422B2">
            <w:pPr>
              <w:spacing w:line="240" w:lineRule="auto"/>
              <w:jc w:val="both"/>
              <w:rPr>
                <w:rFonts w:ascii="Times New Roman" w:eastAsia="Times New Roman" w:hAnsi="Times New Roman" w:cs="Times New Roman"/>
                <w:sz w:val="20"/>
                <w:szCs w:val="20"/>
                <w:lang w:eastAsia="sk-SK"/>
              </w:rPr>
            </w:pPr>
          </w:p>
          <w:p w:rsidR="004422B2" w:rsidRDefault="004422B2">
            <w:pPr>
              <w:spacing w:line="240" w:lineRule="auto"/>
              <w:jc w:val="both"/>
              <w:rPr>
                <w:rFonts w:ascii="Times New Roman" w:eastAsia="Times New Roman" w:hAnsi="Times New Roman" w:cs="Times New Roman"/>
                <w:b/>
                <w:sz w:val="20"/>
                <w:szCs w:val="20"/>
                <w:lang w:eastAsia="sk-SK"/>
              </w:rPr>
            </w:pPr>
          </w:p>
        </w:tc>
      </w:tr>
      <w:tr w:rsidR="004422B2" w:rsidTr="004422B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Vybrané vplyvy  materiálu</w:t>
            </w:r>
          </w:p>
        </w:tc>
      </w:tr>
      <w:tr w:rsidR="004422B2" w:rsidTr="004422B2">
        <w:tc>
          <w:tcPr>
            <w:tcW w:w="3812" w:type="dxa"/>
            <w:tcBorders>
              <w:top w:val="single" w:sz="4" w:space="0" w:color="auto"/>
              <w:left w:val="single" w:sz="4" w:space="0" w:color="auto"/>
              <w:bottom w:val="nil"/>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hideMark/>
              </w:tcPr>
              <w:p w:rsidR="004422B2" w:rsidRDefault="009D36B8">
                <w:pPr>
                  <w:spacing w:line="240" w:lineRule="auto"/>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hideMark/>
          </w:tcPr>
          <w:p w:rsidR="004422B2" w:rsidRDefault="004422B2">
            <w:pPr>
              <w:spacing w:line="240" w:lineRule="auto"/>
              <w:ind w:left="3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rsidTr="004422B2">
        <w:tc>
          <w:tcPr>
            <w:tcW w:w="3812" w:type="dxa"/>
            <w:tcBorders>
              <w:top w:val="nil"/>
              <w:left w:val="single" w:sz="4" w:space="0" w:color="auto"/>
              <w:bottom w:val="nil"/>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rozpočtovo zabezpečené vplyvy,         </w:t>
            </w:r>
          </w:p>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 prípade identifikovaného negatívneho </w:t>
            </w:r>
          </w:p>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4422B2" w:rsidRDefault="009D36B8">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4422B2" w:rsidRDefault="004422B2">
                <w:pPr>
                  <w:spacing w:line="240"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4422B2" w:rsidRDefault="004422B2">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Čiastočne</w:t>
            </w:r>
          </w:p>
        </w:tc>
      </w:tr>
      <w:tr w:rsidR="004422B2" w:rsidTr="004422B2">
        <w:tc>
          <w:tcPr>
            <w:tcW w:w="3812" w:type="dxa"/>
            <w:tcBorders>
              <w:top w:val="nil"/>
              <w:left w:val="single" w:sz="4" w:space="0" w:color="auto"/>
              <w:bottom w:val="nil"/>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hideMark/>
              </w:tcPr>
              <w:p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hideMark/>
              </w:tcPr>
              <w:p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hideMark/>
              </w:tcPr>
              <w:p w:rsidR="004422B2" w:rsidRDefault="004422B2">
                <w:pPr>
                  <w:spacing w:line="240" w:lineRule="auto"/>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hideMark/>
          </w:tcPr>
          <w:p w:rsidR="004422B2" w:rsidRDefault="004422B2">
            <w:pPr>
              <w:spacing w:line="240" w:lineRule="auto"/>
              <w:ind w:left="3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rsidTr="004422B2">
        <w:tc>
          <w:tcPr>
            <w:tcW w:w="3812" w:type="dxa"/>
            <w:tcBorders>
              <w:top w:val="nil"/>
              <w:left w:val="single" w:sz="4" w:space="0" w:color="auto"/>
              <w:bottom w:val="single" w:sz="4" w:space="0" w:color="auto"/>
              <w:right w:val="single" w:sz="4" w:space="0" w:color="auto"/>
            </w:tcBorders>
            <w:shd w:val="clear" w:color="auto" w:fill="E2E2E2"/>
            <w:hideMark/>
          </w:tcPr>
          <w:p w:rsidR="004422B2" w:rsidRDefault="004422B2">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 toho rozpočtovo zabezpečené vplyvy,</w:t>
            </w:r>
          </w:p>
          <w:p w:rsidR="004422B2" w:rsidRDefault="004422B2">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hideMark/>
              </w:tcPr>
              <w:p w:rsidR="004422B2" w:rsidRDefault="00CF130F">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4422B2" w:rsidRDefault="004422B2">
                <w:pPr>
                  <w:spacing w:line="240"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4422B2" w:rsidRDefault="004422B2">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Čiastočne</w:t>
            </w:r>
          </w:p>
        </w:tc>
      </w:tr>
      <w:tr w:rsidR="004422B2" w:rsidTr="004422B2">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4422B2" w:rsidRDefault="004422B2">
            <w:pPr>
              <w:spacing w:line="240" w:lineRule="auto"/>
              <w:ind w:left="171"/>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4422B2" w:rsidRDefault="004422B2">
            <w:pPr>
              <w:spacing w:line="240" w:lineRule="auto"/>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4422B2" w:rsidRDefault="004422B2">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rsidR="004422B2" w:rsidRDefault="004422B2">
                <w:pPr>
                  <w:spacing w:line="240" w:lineRule="auto"/>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4422B2" w:rsidRDefault="004422B2">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Nie</w:t>
            </w:r>
          </w:p>
        </w:tc>
      </w:tr>
      <w:tr w:rsidR="004422B2" w:rsidTr="004422B2">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rsidR="004422B2" w:rsidRDefault="004422B2">
                <w:pPr>
                  <w:spacing w:line="240" w:lineRule="auto"/>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4422B2" w:rsidRDefault="004422B2">
            <w:pPr>
              <w:spacing w:line="240" w:lineRule="auto"/>
              <w:ind w:left="34"/>
              <w:rPr>
                <w:rFonts w:ascii="Times New Roman" w:eastAsia="Times New Roman" w:hAnsi="Times New Roman" w:cs="Times New Roman"/>
                <w:sz w:val="20"/>
                <w:szCs w:val="20"/>
                <w:lang w:eastAsia="sk-SK"/>
              </w:rPr>
            </w:pPr>
            <w:r>
              <w:rPr>
                <w:rFonts w:ascii="Times New Roman" w:eastAsia="Times New Roman" w:hAnsi="Times New Roman" w:cs="Times New Roman"/>
                <w:b/>
                <w:sz w:val="20"/>
                <w:szCs w:val="20"/>
                <w:lang w:eastAsia="sk-SK"/>
              </w:rPr>
              <w:t>Negatívne</w:t>
            </w:r>
          </w:p>
        </w:tc>
      </w:tr>
      <w:tr w:rsidR="004422B2" w:rsidTr="004422B2">
        <w:tc>
          <w:tcPr>
            <w:tcW w:w="3812" w:type="dxa"/>
            <w:tcBorders>
              <w:top w:val="single" w:sz="4" w:space="0" w:color="auto"/>
              <w:left w:val="single" w:sz="4" w:space="0" w:color="auto"/>
              <w:bottom w:val="nil"/>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hideMark/>
          </w:tcPr>
          <w:p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hideMark/>
              </w:tcPr>
              <w:p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hideMark/>
          </w:tcPr>
          <w:p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rsidTr="004422B2">
        <w:tc>
          <w:tcPr>
            <w:tcW w:w="3812" w:type="dxa"/>
            <w:tcBorders>
              <w:top w:val="nil"/>
              <w:left w:val="single" w:sz="4" w:space="0" w:color="000000"/>
              <w:bottom w:val="nil"/>
              <w:right w:val="single" w:sz="4" w:space="0" w:color="000000"/>
            </w:tcBorders>
            <w:shd w:val="clear" w:color="auto" w:fill="E2E2E2"/>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z toho vplyvy na MSP</w:t>
            </w:r>
          </w:p>
          <w:p w:rsidR="004422B2" w:rsidRDefault="004422B2">
            <w:pPr>
              <w:spacing w:line="240" w:lineRule="auto"/>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4422B2" w:rsidRDefault="004422B2">
            <w:pPr>
              <w:spacing w:line="240" w:lineRule="auto"/>
              <w:ind w:right="-108"/>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hideMark/>
              </w:tcPr>
              <w:p w:rsidR="004422B2" w:rsidRDefault="00CF130F">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4422B2" w:rsidRDefault="004422B2">
            <w:pPr>
              <w:spacing w:line="240" w:lineRule="auto"/>
              <w:ind w:left="54"/>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Negatívne</w:t>
            </w:r>
          </w:p>
        </w:tc>
      </w:tr>
      <w:tr w:rsidR="004422B2" w:rsidTr="004422B2">
        <w:tc>
          <w:tcPr>
            <w:tcW w:w="3812" w:type="dxa"/>
            <w:tcBorders>
              <w:top w:val="nil"/>
              <w:left w:val="single" w:sz="4" w:space="0" w:color="auto"/>
              <w:bottom w:val="single" w:sz="4" w:space="0" w:color="auto"/>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Mechanizmus znižovania byrokracie    </w:t>
            </w:r>
          </w:p>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hideMark/>
          </w:tcPr>
          <w:p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4422B2" w:rsidRDefault="004422B2">
            <w:pPr>
              <w:spacing w:line="240" w:lineRule="auto"/>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4422B2" w:rsidRDefault="004422B2">
            <w:pPr>
              <w:spacing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hideMark/>
          </w:tcPr>
          <w:p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Nie</w:t>
            </w:r>
          </w:p>
        </w:tc>
      </w:tr>
      <w:tr w:rsidR="004422B2" w:rsidTr="004422B2">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rsidTr="004422B2">
        <w:tc>
          <w:tcPr>
            <w:tcW w:w="3812" w:type="dxa"/>
            <w:tcBorders>
              <w:top w:val="single" w:sz="4" w:space="0" w:color="auto"/>
              <w:left w:val="single" w:sz="4" w:space="0" w:color="auto"/>
              <w:bottom w:val="nil"/>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rsidTr="004422B2">
        <w:tc>
          <w:tcPr>
            <w:tcW w:w="3812" w:type="dxa"/>
            <w:tcBorders>
              <w:top w:val="nil"/>
              <w:left w:val="single" w:sz="4" w:space="0" w:color="auto"/>
              <w:bottom w:val="single" w:sz="4" w:space="0" w:color="auto"/>
              <w:right w:val="single" w:sz="4" w:space="0" w:color="auto"/>
            </w:tcBorders>
            <w:shd w:val="clear" w:color="auto" w:fill="E2E2E2"/>
          </w:tcPr>
          <w:p w:rsidR="004422B2" w:rsidRDefault="004422B2">
            <w:pPr>
              <w:spacing w:line="240" w:lineRule="auto"/>
              <w:rPr>
                <w:rFonts w:ascii="Times New Roman" w:eastAsia="Times New Roman" w:hAnsi="Times New Roman" w:cs="Times New Roman"/>
                <w:sz w:val="20"/>
                <w:szCs w:val="20"/>
                <w:lang w:eastAsia="sk-SK"/>
              </w:rPr>
            </w:pPr>
          </w:p>
          <w:p w:rsidR="004422B2" w:rsidRDefault="004422B2">
            <w:pPr>
              <w:spacing w:line="240" w:lineRule="auto"/>
              <w:ind w:left="16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hideMark/>
          </w:tcPr>
          <w:p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4422B2" w:rsidRDefault="004422B2">
            <w:pPr>
              <w:spacing w:line="240" w:lineRule="auto"/>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4422B2" w:rsidRDefault="004422B2">
            <w:pPr>
              <w:spacing w:line="240" w:lineRule="auto"/>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hideMark/>
              </w:tcPr>
              <w:p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Nie</w:t>
            </w:r>
          </w:p>
        </w:tc>
      </w:tr>
      <w:tr w:rsidR="004422B2" w:rsidTr="004422B2">
        <w:tc>
          <w:tcPr>
            <w:tcW w:w="3812" w:type="dxa"/>
            <w:tcBorders>
              <w:top w:val="single" w:sz="4" w:space="0" w:color="auto"/>
              <w:left w:val="single" w:sz="4" w:space="0" w:color="auto"/>
              <w:bottom w:val="single" w:sz="4" w:space="0" w:color="auto"/>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hideMark/>
          </w:tcPr>
          <w:p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hideMark/>
              </w:tcPr>
              <w:p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hideMark/>
          </w:tcPr>
          <w:p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4422B2" w:rsidTr="004422B2">
        <w:tc>
          <w:tcPr>
            <w:tcW w:w="3812" w:type="dxa"/>
            <w:tcBorders>
              <w:top w:val="single" w:sz="4" w:space="0" w:color="auto"/>
              <w:left w:val="single" w:sz="4" w:space="0" w:color="auto"/>
              <w:bottom w:val="nil"/>
              <w:right w:val="single" w:sz="4" w:space="0" w:color="auto"/>
            </w:tcBorders>
            <w:shd w:val="clear" w:color="auto" w:fill="E2E2E2"/>
            <w:hideMark/>
          </w:tcPr>
          <w:p w:rsidR="004422B2" w:rsidRDefault="004422B2">
            <w:pPr>
              <w:spacing w:after="0" w:line="240" w:lineRule="auto"/>
              <w:rPr>
                <w:rFonts w:ascii="Times New Roman" w:eastAsia="Times New Roman" w:hAnsi="Times New Roman" w:cs="Times New Roman"/>
                <w:b/>
                <w:sz w:val="20"/>
                <w:szCs w:val="20"/>
                <w:lang w:eastAsia="sk-SK"/>
              </w:rPr>
            </w:pPr>
            <w:r>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tcPr>
          <w:p w:rsidR="004422B2" w:rsidRDefault="004422B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tcPr>
          <w:p w:rsidR="004422B2" w:rsidRDefault="004422B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tcPr>
          <w:p w:rsidR="004422B2" w:rsidRDefault="004422B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tcPr>
          <w:p w:rsidR="004422B2" w:rsidRDefault="004422B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tcPr>
          <w:p w:rsidR="004422B2" w:rsidRDefault="004422B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tcPr>
          <w:p w:rsidR="004422B2" w:rsidRDefault="004422B2">
            <w:pPr>
              <w:spacing w:after="0" w:line="240" w:lineRule="auto"/>
              <w:ind w:left="54"/>
              <w:rPr>
                <w:rFonts w:ascii="Times New Roman" w:eastAsia="Times New Roman" w:hAnsi="Times New Roman" w:cs="Times New Roman"/>
                <w:b/>
                <w:sz w:val="20"/>
                <w:szCs w:val="20"/>
                <w:lang w:eastAsia="sk-SK"/>
              </w:rPr>
            </w:pPr>
          </w:p>
        </w:tc>
      </w:tr>
      <w:tr w:rsidR="004422B2" w:rsidTr="004422B2">
        <w:tc>
          <w:tcPr>
            <w:tcW w:w="3812" w:type="dxa"/>
            <w:tcBorders>
              <w:top w:val="nil"/>
              <w:left w:val="single" w:sz="4" w:space="0" w:color="auto"/>
              <w:bottom w:val="nil"/>
              <w:right w:val="single" w:sz="4" w:space="0" w:color="auto"/>
            </w:tcBorders>
            <w:shd w:val="clear" w:color="auto" w:fill="E2E2E2"/>
            <w:hideMark/>
          </w:tcPr>
          <w:p w:rsidR="004422B2" w:rsidRDefault="004422B2">
            <w:pPr>
              <w:spacing w:after="0" w:line="240" w:lineRule="auto"/>
              <w:ind w:left="196" w:hanging="196"/>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hideMark/>
              </w:tcPr>
              <w:p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hideMark/>
          </w:tcPr>
          <w:p w:rsidR="004422B2" w:rsidRDefault="004422B2">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hideMark/>
              </w:tcPr>
              <w:p w:rsidR="004422B2" w:rsidRDefault="00CF130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hideMark/>
          </w:tcPr>
          <w:p w:rsidR="004422B2" w:rsidRDefault="004422B2">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hideMark/>
              </w:tcPr>
              <w:p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hideMark/>
          </w:tcPr>
          <w:p w:rsidR="004422B2" w:rsidRDefault="004422B2">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r w:rsidR="004422B2" w:rsidTr="004422B2">
        <w:tc>
          <w:tcPr>
            <w:tcW w:w="3812" w:type="dxa"/>
            <w:tcBorders>
              <w:top w:val="nil"/>
              <w:left w:val="single" w:sz="4" w:space="0" w:color="auto"/>
              <w:bottom w:val="nil"/>
              <w:right w:val="single" w:sz="4" w:space="0" w:color="auto"/>
            </w:tcBorders>
            <w:shd w:val="clear" w:color="auto" w:fill="E2E2E2"/>
            <w:hideMark/>
          </w:tcPr>
          <w:p w:rsidR="004422B2" w:rsidRDefault="004422B2">
            <w:pPr>
              <w:spacing w:after="0" w:line="240" w:lineRule="auto"/>
              <w:ind w:left="168" w:hanging="168"/>
              <w:rPr>
                <w:rFonts w:ascii="Times New Roman" w:eastAsia="Calibri" w:hAnsi="Times New Roman" w:cs="Times New Roman"/>
                <w:b/>
                <w:sz w:val="20"/>
                <w:szCs w:val="20"/>
              </w:rPr>
            </w:pPr>
            <w:r>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vAlign w:val="center"/>
                <w:hideMark/>
              </w:tcPr>
              <w:p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hideMark/>
          </w:tcPr>
          <w:p w:rsidR="004422B2" w:rsidRDefault="004422B2">
            <w:pPr>
              <w:spacing w:after="0"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hideMark/>
              </w:tcPr>
              <w:p w:rsidR="004422B2" w:rsidRDefault="00CF130F">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vAlign w:val="center"/>
            <w:hideMark/>
          </w:tcPr>
          <w:p w:rsidR="004422B2" w:rsidRDefault="004422B2">
            <w:pPr>
              <w:spacing w:after="0"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vAlign w:val="center"/>
                <w:hideMark/>
              </w:tcPr>
              <w:p w:rsidR="004422B2" w:rsidRDefault="004422B2">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hideMark/>
          </w:tcPr>
          <w:p w:rsidR="004422B2" w:rsidRDefault="004422B2">
            <w:pPr>
              <w:spacing w:after="0"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tbl>
      <w:tblPr>
        <w:tblStyle w:val="Mriekatabuky1"/>
        <w:tblW w:w="0" w:type="dxa"/>
        <w:tblInd w:w="0" w:type="dxa"/>
        <w:tblLayout w:type="fixed"/>
        <w:tblLook w:val="04A0" w:firstRow="1" w:lastRow="0" w:firstColumn="1" w:lastColumn="0" w:noHBand="0" w:noVBand="1"/>
      </w:tblPr>
      <w:tblGrid>
        <w:gridCol w:w="3812"/>
        <w:gridCol w:w="541"/>
        <w:gridCol w:w="1312"/>
        <w:gridCol w:w="538"/>
        <w:gridCol w:w="1133"/>
        <w:gridCol w:w="547"/>
        <w:gridCol w:w="1297"/>
      </w:tblGrid>
      <w:tr w:rsidR="004422B2" w:rsidTr="004422B2">
        <w:tc>
          <w:tcPr>
            <w:tcW w:w="3812" w:type="dxa"/>
            <w:tcBorders>
              <w:top w:val="single" w:sz="4" w:space="0" w:color="000000"/>
              <w:left w:val="single" w:sz="4" w:space="0" w:color="auto"/>
              <w:bottom w:val="single" w:sz="4" w:space="0" w:color="auto"/>
              <w:right w:val="single" w:sz="4" w:space="0" w:color="auto"/>
            </w:tcBorders>
            <w:shd w:val="clear" w:color="auto" w:fill="E2E2E2"/>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hideMark/>
          </w:tcPr>
          <w:p w:rsidR="004422B2" w:rsidRDefault="004422B2">
            <w:pPr>
              <w:spacing w:line="240" w:lineRule="auto"/>
              <w:ind w:right="-108"/>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hideMark/>
              </w:tcPr>
              <w:p w:rsidR="004422B2" w:rsidRDefault="00CF130F">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hideMark/>
          </w:tcPr>
          <w:p w:rsidR="004422B2" w:rsidRDefault="004422B2">
            <w:pPr>
              <w:spacing w:line="240" w:lineRule="auto"/>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hideMark/>
              </w:tcPr>
              <w:p w:rsidR="004422B2" w:rsidRDefault="004422B2">
                <w:pPr>
                  <w:spacing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hideMark/>
          </w:tcPr>
          <w:p w:rsidR="004422B2" w:rsidRDefault="004422B2">
            <w:pPr>
              <w:spacing w:line="240" w:lineRule="auto"/>
              <w:ind w:left="54"/>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Negatívne</w:t>
            </w:r>
          </w:p>
        </w:tc>
      </w:tr>
    </w:tbl>
    <w:p w:rsidR="004422B2" w:rsidRDefault="004422B2" w:rsidP="004422B2">
      <w:pPr>
        <w:spacing w:after="0" w:line="240" w:lineRule="auto"/>
        <w:ind w:right="141"/>
        <w:rPr>
          <w:rFonts w:ascii="Times New Roman" w:eastAsia="Times New Roman" w:hAnsi="Times New Roman" w:cs="Times New Roman"/>
          <w:b/>
          <w:sz w:val="20"/>
          <w:szCs w:val="20"/>
          <w:lang w:eastAsia="sk-SK"/>
        </w:rPr>
      </w:pPr>
    </w:p>
    <w:tbl>
      <w:tblPr>
        <w:tblStyle w:val="Mriekatabuky1"/>
        <w:tblW w:w="0" w:type="dxa"/>
        <w:tblInd w:w="0" w:type="dxa"/>
        <w:tblLayout w:type="fixed"/>
        <w:tblLook w:val="04A0" w:firstRow="1" w:lastRow="0" w:firstColumn="1" w:lastColumn="0" w:noHBand="0" w:noVBand="1"/>
      </w:tblPr>
      <w:tblGrid>
        <w:gridCol w:w="9176"/>
      </w:tblGrid>
      <w:tr w:rsidR="004422B2" w:rsidTr="004422B2">
        <w:tc>
          <w:tcPr>
            <w:tcW w:w="9176" w:type="dxa"/>
            <w:tcBorders>
              <w:top w:val="single" w:sz="4" w:space="0" w:color="auto"/>
              <w:left w:val="single" w:sz="4" w:space="0" w:color="auto"/>
              <w:bottom w:val="nil"/>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t>Poznámky</w:t>
            </w:r>
          </w:p>
        </w:tc>
      </w:tr>
      <w:tr w:rsidR="004422B2" w:rsidTr="004422B2">
        <w:trPr>
          <w:trHeight w:val="713"/>
        </w:trPr>
        <w:tc>
          <w:tcPr>
            <w:tcW w:w="9176" w:type="dxa"/>
            <w:tcBorders>
              <w:top w:val="nil"/>
              <w:left w:val="single" w:sz="4" w:space="0" w:color="auto"/>
              <w:bottom w:val="single" w:sz="4" w:space="0" w:color="FFFFFF"/>
              <w:right w:val="single" w:sz="4" w:space="0" w:color="auto"/>
            </w:tcBorders>
          </w:tcPr>
          <w:p w:rsidR="004422B2" w:rsidRDefault="004422B2">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rsidR="004422B2" w:rsidRDefault="004422B2">
            <w:pPr>
              <w:spacing w:line="240" w:lineRule="auto"/>
              <w:jc w:val="both"/>
              <w:rPr>
                <w:rFonts w:ascii="Times New Roman" w:eastAsia="Times New Roman" w:hAnsi="Times New Roman" w:cs="Times New Roman"/>
                <w:i/>
                <w:sz w:val="20"/>
                <w:szCs w:val="20"/>
                <w:lang w:eastAsia="sk-SK"/>
              </w:rPr>
            </w:pPr>
          </w:p>
          <w:p w:rsidR="004422B2" w:rsidRDefault="004422B2">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rsidR="004422B2" w:rsidRDefault="004422B2">
            <w:pPr>
              <w:spacing w:line="240" w:lineRule="auto"/>
              <w:jc w:val="both"/>
              <w:rPr>
                <w:rFonts w:ascii="Times New Roman" w:eastAsia="Times New Roman" w:hAnsi="Times New Roman" w:cs="Times New Roman"/>
                <w:i/>
                <w:sz w:val="20"/>
                <w:szCs w:val="20"/>
                <w:lang w:eastAsia="sk-SK"/>
              </w:rPr>
            </w:pPr>
          </w:p>
          <w:p w:rsidR="004422B2" w:rsidRDefault="004422B2">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rsidR="004422B2" w:rsidRDefault="004422B2">
            <w:pPr>
              <w:spacing w:line="240" w:lineRule="auto"/>
              <w:jc w:val="both"/>
              <w:rPr>
                <w:rFonts w:ascii="Times New Roman" w:eastAsia="Times New Roman" w:hAnsi="Times New Roman" w:cs="Times New Roman"/>
                <w:i/>
                <w:sz w:val="20"/>
                <w:szCs w:val="20"/>
                <w:lang w:eastAsia="sk-SK"/>
              </w:rPr>
            </w:pPr>
          </w:p>
          <w:p w:rsidR="00CF130F" w:rsidRDefault="004422B2">
            <w:pPr>
              <w:spacing w:line="240" w:lineRule="auto"/>
              <w:jc w:val="both"/>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rsidR="00CF130F" w:rsidRDefault="00CF130F">
            <w:pPr>
              <w:spacing w:line="240" w:lineRule="auto"/>
              <w:jc w:val="both"/>
              <w:rPr>
                <w:rFonts w:ascii="Times New Roman" w:eastAsia="Times New Roman" w:hAnsi="Times New Roman" w:cs="Times New Roman"/>
                <w:i/>
                <w:sz w:val="20"/>
                <w:szCs w:val="20"/>
                <w:lang w:eastAsia="sk-SK"/>
              </w:rPr>
            </w:pPr>
          </w:p>
          <w:p w:rsidR="0038076A" w:rsidRDefault="004422B2" w:rsidP="0038076A">
            <w:pPr>
              <w:pStyle w:val="Default"/>
              <w:ind w:firstLine="708"/>
              <w:jc w:val="both"/>
              <w:rPr>
                <w:sz w:val="22"/>
                <w:szCs w:val="22"/>
              </w:rPr>
            </w:pPr>
            <w:r>
              <w:rPr>
                <w:rFonts w:eastAsia="Times New Roman"/>
                <w:i/>
                <w:sz w:val="20"/>
                <w:szCs w:val="20"/>
                <w:lang w:eastAsia="sk-SK"/>
              </w:rPr>
              <w:t>.</w:t>
            </w:r>
            <w:r w:rsidR="0038076A">
              <w:t xml:space="preserve"> </w:t>
            </w:r>
            <w:r w:rsidR="0038076A">
              <w:rPr>
                <w:sz w:val="22"/>
                <w:szCs w:val="22"/>
              </w:rPr>
              <w:t>Návrhom nariadenia vlády sa ustanovuje na rok 2025 výška finančného príspevku na poskytovanie sociálnej služby v</w:t>
            </w:r>
          </w:p>
          <w:p w:rsidR="0038076A" w:rsidRDefault="0038076A" w:rsidP="0038076A">
            <w:pPr>
              <w:pStyle w:val="Default"/>
              <w:numPr>
                <w:ilvl w:val="0"/>
                <w:numId w:val="4"/>
              </w:numPr>
              <w:jc w:val="both"/>
              <w:rPr>
                <w:sz w:val="22"/>
                <w:szCs w:val="22"/>
              </w:rPr>
            </w:pPr>
            <w:r>
              <w:rPr>
                <w:sz w:val="22"/>
                <w:szCs w:val="22"/>
              </w:rPr>
              <w:t>zariadeniach sociálnych služieb pre fyzické osoby, ktoré sú odkázané na pomoc inej fyzickej osoby, a pre fyzické osoby, ktoré dovŕšili vek potrebný na nárok na starobný dôchodok (ďalej len „zariadenia podmienené odkázanosťou“)  - zariadenie podporovaného bývania, zariadenie pre seniorov, zariadenie opatrovateľskej služby, rehabilitačné stredisko, domov sociálnych služieb, špecializované zariadenie, denný stacionár – ak je poskytovateľom tejto sociálnej služby v týchto zariadeniach obec alebo obcou zriadená alebo založená právnická osoba alebo neverejný poskytovateľ tejto sociálnej služby v týchto zariadeniach),</w:t>
            </w:r>
          </w:p>
          <w:p w:rsidR="0038076A" w:rsidRDefault="0038076A" w:rsidP="0038076A">
            <w:pPr>
              <w:pStyle w:val="Default"/>
              <w:numPr>
                <w:ilvl w:val="0"/>
                <w:numId w:val="4"/>
              </w:numPr>
              <w:jc w:val="both"/>
              <w:rPr>
                <w:sz w:val="22"/>
                <w:szCs w:val="22"/>
              </w:rPr>
            </w:pPr>
            <w:r>
              <w:rPr>
                <w:sz w:val="22"/>
                <w:szCs w:val="22"/>
              </w:rPr>
              <w:t xml:space="preserve">zariadeniach krízovej intervencie (nocľaháreň, útulok, domov na polceste, zariadenie núdzového bývania, ak je poskytovateľom tejto sociálnej služby v týchto zariadeniach obec lebo obcou zriadená alebo založená právnická osoba), </w:t>
            </w:r>
          </w:p>
          <w:p w:rsidR="0038076A" w:rsidRDefault="0038076A" w:rsidP="0038076A">
            <w:pPr>
              <w:pStyle w:val="Default"/>
              <w:numPr>
                <w:ilvl w:val="0"/>
                <w:numId w:val="4"/>
              </w:numPr>
              <w:jc w:val="both"/>
              <w:rPr>
                <w:sz w:val="22"/>
                <w:szCs w:val="22"/>
              </w:rPr>
            </w:pPr>
            <w:r>
              <w:rPr>
                <w:sz w:val="22"/>
                <w:szCs w:val="22"/>
              </w:rPr>
              <w:t xml:space="preserve">nocľahárni, ak je poskytovateľom sociálnej služby v nocľahárni neverejný poskytovateľ tejto sociálnej služby. </w:t>
            </w:r>
          </w:p>
          <w:p w:rsidR="004422B2" w:rsidRDefault="004422B2">
            <w:pPr>
              <w:spacing w:line="240" w:lineRule="auto"/>
              <w:jc w:val="both"/>
              <w:rPr>
                <w:rFonts w:ascii="Times New Roman" w:eastAsia="Times New Roman" w:hAnsi="Times New Roman" w:cs="Times New Roman"/>
                <w:i/>
                <w:sz w:val="20"/>
                <w:szCs w:val="20"/>
                <w:lang w:eastAsia="sk-SK"/>
              </w:rPr>
            </w:pPr>
          </w:p>
          <w:p w:rsidR="004422B2" w:rsidRDefault="004422B2">
            <w:pPr>
              <w:spacing w:line="240" w:lineRule="auto"/>
              <w:jc w:val="both"/>
              <w:rPr>
                <w:rFonts w:ascii="Times New Roman" w:eastAsia="Times New Roman" w:hAnsi="Times New Roman" w:cs="Times New Roman"/>
                <w:i/>
                <w:sz w:val="20"/>
                <w:szCs w:val="20"/>
                <w:lang w:eastAsia="sk-SK"/>
              </w:rPr>
            </w:pPr>
          </w:p>
          <w:p w:rsidR="00B945F3" w:rsidRDefault="00B945F3" w:rsidP="00B945F3">
            <w:pPr>
              <w:jc w:val="both"/>
              <w:rPr>
                <w:rFonts w:ascii="Times New Roman" w:hAnsi="Times New Roman"/>
                <w:sz w:val="24"/>
                <w:szCs w:val="24"/>
              </w:rPr>
            </w:pPr>
            <w:r>
              <w:rPr>
                <w:rFonts w:ascii="Times New Roman" w:hAnsi="Times New Roman"/>
                <w:sz w:val="24"/>
                <w:szCs w:val="24"/>
              </w:rPr>
              <w:lastRenderedPageBreak/>
              <w:t>Vplyv na výdavkovú časť štátneho rozpočtu  sa očakáva v dôsledku zvýšenia finančného príspevku na  poskytovanie sociálnej služby v zariadeniach podmienených odkázanosťou, ktorého výška je odvodená od medziročného navýšenia minimálnej mzdy v spojitosti so súvisiacou nákladovosťou služby a účelovým určením finančného príspevku na pokrytie časti nákladov na mzdy, platy a ostatné osobné vyrovnania zamestnancov poskytovateľa sociálnych služieb  najviac vo výške, ktorá zodpovedá výške platu a ostatných osobných vyrovnaní podľa osobitného predpisu a poistnému na</w:t>
            </w:r>
            <w:r>
              <w:rPr>
                <w:sz w:val="24"/>
                <w:szCs w:val="24"/>
              </w:rPr>
              <w:t xml:space="preserve"> </w:t>
            </w:r>
            <w:r>
              <w:rPr>
                <w:rFonts w:ascii="Times New Roman" w:hAnsi="Times New Roman"/>
                <w:sz w:val="24"/>
                <w:szCs w:val="24"/>
              </w:rPr>
              <w:t xml:space="preserve">verejné zdravotné poistenie, poistnému na sociálne poistenie a povinným príspevkom na starobné dôchodkové sporenie platené zamestnávateľom v rozsahu týchto miezd, platov v konkrétnom zariadení sociálnych služieb. </w:t>
            </w:r>
          </w:p>
          <w:p w:rsidR="00B945F3" w:rsidRDefault="00B945F3" w:rsidP="00B945F3">
            <w:pPr>
              <w:jc w:val="both"/>
              <w:rPr>
                <w:rFonts w:ascii="Times New Roman" w:eastAsia="Calibri" w:hAnsi="Times New Roman"/>
                <w:i/>
                <w:kern w:val="3"/>
                <w:sz w:val="24"/>
                <w:szCs w:val="24"/>
              </w:rPr>
            </w:pPr>
          </w:p>
          <w:p w:rsidR="00B945F3" w:rsidRDefault="00B945F3" w:rsidP="00B945F3">
            <w:pPr>
              <w:jc w:val="both"/>
              <w:rPr>
                <w:rFonts w:ascii="Times New Roman" w:hAnsi="Times New Roman" w:cs="Times New Roman"/>
                <w:color w:val="000000"/>
                <w:sz w:val="24"/>
                <w:szCs w:val="24"/>
              </w:rPr>
            </w:pPr>
            <w:r>
              <w:rPr>
                <w:rFonts w:ascii="Times New Roman" w:hAnsi="Times New Roman"/>
                <w:color w:val="000000"/>
                <w:sz w:val="24"/>
                <w:szCs w:val="24"/>
              </w:rPr>
              <w:t>Navrhuje sa  výška finančného príspevku na mesiac na miesto v zariadení ako násobok mesačnej minimálnej mzdy (750 eur v roku 2024) pri jednotlivých stupňoch odkázanosti, a to konkrétne 0,25 násobku minimálnej mzdy pri II. stupni odkázanosti, 0,5 násobku minimálnej mzdy pri III. stupni odkázanosti, 0,65 násobku minimálnej mzdy pri IV. stupni odkázanosti, 0,9 pri V. stupni odkázanosti a 1,1 násobku minimálnej mzdy pri VI. stupni odkázanosti. Výška finančného príspevku pri poskytovaní ambulantnej sociálnej služby v zariadení podmienenom odkázanosťou/mesiac/miesto tvorí 66,67 % (2/3) z výšky finančného príspevku pri poskytovaní pobytovej služby v tomto zariadení/mesiac/miesto.</w:t>
            </w:r>
          </w:p>
          <w:p w:rsidR="00B945F3" w:rsidRDefault="00B945F3" w:rsidP="00B945F3">
            <w:pPr>
              <w:jc w:val="both"/>
              <w:rPr>
                <w:rFonts w:ascii="Times New Roman" w:hAnsi="Times New Roman"/>
                <w:color w:val="000000"/>
                <w:sz w:val="24"/>
                <w:szCs w:val="24"/>
              </w:rPr>
            </w:pPr>
          </w:p>
          <w:p w:rsidR="00B945F3" w:rsidRDefault="00B945F3" w:rsidP="00B945F3">
            <w:pPr>
              <w:jc w:val="both"/>
              <w:rPr>
                <w:rFonts w:ascii="Times New Roman" w:hAnsi="Times New Roman"/>
                <w:sz w:val="24"/>
                <w:szCs w:val="24"/>
              </w:rPr>
            </w:pPr>
            <w:r>
              <w:rPr>
                <w:rFonts w:ascii="Times New Roman" w:hAnsi="Times New Roman"/>
                <w:sz w:val="24"/>
                <w:szCs w:val="24"/>
              </w:rPr>
              <w:t xml:space="preserve">Návrhom nariadenia vlády bude realizovaná aj valorizácia výšky finančného príspevku zo štátneho rozpočtu poskytovaného podľa zákona o sociálnych službách prostredníctvom kapitoly Ministerstva práce, sociálnych vecí a rodiny Slovenskej republiky k vybraným druhom zariadení krízovej intervencie. Dôvodom je najmä skutočnosť, že aj pri výške finančného príspevku poskytovaného vybraným zariadeniam krízovej intervencie zriadeným alebo založeným obcou a nocľahárňam neverejných poskytovateľov sociálnych služieb je potrebné zohľadniť medziročný vývoj prevádzkových nákladov na poskytovanú sociálnu službu. Vzhľadom na skutočnosť, že aj pri týchto druhoch zariadení sociálnych služieb najmä náklady na mzdy a ostatné osobné náklady tvoria najvyšší podiel nákladov, konkrétne výška finančného príspevku na rok 2025 je určená ako 0,5 násobok minimálnej mzdy v roku 2024. </w:t>
            </w:r>
          </w:p>
          <w:p w:rsidR="00B945F3" w:rsidRDefault="00B945F3" w:rsidP="00B945F3">
            <w:pPr>
              <w:jc w:val="both"/>
              <w:rPr>
                <w:rFonts w:ascii="Times New Roman" w:hAnsi="Times New Roman"/>
                <w:sz w:val="24"/>
                <w:szCs w:val="24"/>
              </w:rPr>
            </w:pPr>
          </w:p>
          <w:p w:rsidR="00B945F3" w:rsidRDefault="00B945F3" w:rsidP="00B945F3">
            <w:pPr>
              <w:jc w:val="both"/>
              <w:rPr>
                <w:rFonts w:ascii="Times New Roman" w:hAnsi="Times New Roman"/>
                <w:sz w:val="24"/>
                <w:szCs w:val="24"/>
              </w:rPr>
            </w:pPr>
            <w:r>
              <w:rPr>
                <w:rFonts w:ascii="Times New Roman" w:hAnsi="Times New Roman"/>
                <w:sz w:val="24"/>
                <w:szCs w:val="24"/>
              </w:rPr>
              <w:t>Napriek tomu, že ide len o vyhlásenie sumy, zvyšovanie príspevku na spolufinancovanie poskytovania sociálnych služieb bude mať pozitívny vplyv aj na neverejných poskytovateľov sociálnych služieb, najčastejšie ide o občianske združenia, prípadne neziskové organizácie.</w:t>
            </w:r>
          </w:p>
          <w:p w:rsidR="00B945F3" w:rsidRDefault="00B945F3" w:rsidP="00B945F3">
            <w:pPr>
              <w:jc w:val="both"/>
              <w:rPr>
                <w:rFonts w:ascii="Times New Roman" w:hAnsi="Times New Roman"/>
                <w:sz w:val="24"/>
                <w:szCs w:val="24"/>
              </w:rPr>
            </w:pPr>
            <w:r>
              <w:rPr>
                <w:rFonts w:ascii="Times New Roman" w:hAnsi="Times New Roman"/>
                <w:sz w:val="24"/>
                <w:szCs w:val="24"/>
              </w:rPr>
              <w:t xml:space="preserve"> </w:t>
            </w:r>
          </w:p>
          <w:p w:rsidR="00B945F3" w:rsidRDefault="00B945F3" w:rsidP="00B945F3">
            <w:pPr>
              <w:jc w:val="both"/>
              <w:rPr>
                <w:rFonts w:ascii="Times New Roman" w:hAnsi="Times New Roman"/>
                <w:sz w:val="24"/>
                <w:szCs w:val="24"/>
              </w:rPr>
            </w:pPr>
            <w:r>
              <w:rPr>
                <w:rFonts w:ascii="Times New Roman" w:hAnsi="Times New Roman"/>
                <w:sz w:val="24"/>
                <w:szCs w:val="24"/>
              </w:rPr>
              <w:t>Konkrétne  výšky príspevkov sú obsiahnuté v analýze vplyvov na rozpočet verejnej správy.</w:t>
            </w:r>
          </w:p>
          <w:p w:rsidR="00B945F3" w:rsidRDefault="00B945F3" w:rsidP="00B945F3">
            <w:pPr>
              <w:jc w:val="both"/>
              <w:rPr>
                <w:rFonts w:ascii="Times New Roman" w:hAnsi="Times New Roman"/>
                <w:sz w:val="24"/>
                <w:szCs w:val="24"/>
              </w:rPr>
            </w:pPr>
          </w:p>
          <w:p w:rsidR="00B945F3" w:rsidRDefault="00B945F3" w:rsidP="00B945F3">
            <w:pPr>
              <w:jc w:val="both"/>
              <w:rPr>
                <w:rFonts w:ascii="Times New Roman" w:hAnsi="Times New Roman"/>
                <w:i/>
                <w:sz w:val="24"/>
                <w:szCs w:val="24"/>
              </w:rPr>
            </w:pPr>
            <w:r>
              <w:rPr>
                <w:rFonts w:ascii="Times New Roman" w:hAnsi="Times New Roman"/>
                <w:sz w:val="24"/>
                <w:szCs w:val="24"/>
              </w:rPr>
              <w:t xml:space="preserve">Pozitívne sociálne vplyvy sa očakávajú v oblasti zvyšovania dostupnosti a udržateľnosti sociálnych služieb v zariadeniach podmienených odkázanosťou.  </w:t>
            </w:r>
          </w:p>
          <w:p w:rsidR="00B945F3" w:rsidRDefault="00B945F3" w:rsidP="00B945F3">
            <w:pPr>
              <w:jc w:val="both"/>
              <w:rPr>
                <w:rFonts w:ascii="Times New Roman" w:hAnsi="Times New Roman"/>
                <w:sz w:val="24"/>
                <w:szCs w:val="24"/>
              </w:rPr>
            </w:pPr>
          </w:p>
          <w:p w:rsidR="00B945F3" w:rsidRDefault="00B945F3" w:rsidP="00B945F3">
            <w:pPr>
              <w:jc w:val="both"/>
              <w:rPr>
                <w:rFonts w:ascii="Times New Roman" w:hAnsi="Times New Roman"/>
                <w:sz w:val="24"/>
                <w:szCs w:val="24"/>
              </w:rPr>
            </w:pPr>
            <w:r>
              <w:rPr>
                <w:rFonts w:ascii="Times New Roman" w:hAnsi="Times New Roman"/>
                <w:sz w:val="24"/>
                <w:szCs w:val="24"/>
              </w:rPr>
              <w:t xml:space="preserve">Návrh nebude mať vplyv na životné prostredie, vplyv na informatizáciu, podnikateľské prostredie,   na manželstvo, rodičovstvo a rodinu, ani vplyv na služby verejnej správy pre občana. </w:t>
            </w:r>
          </w:p>
          <w:p w:rsidR="00B945F3" w:rsidRDefault="00B945F3" w:rsidP="00B945F3">
            <w:pPr>
              <w:jc w:val="both"/>
              <w:rPr>
                <w:rFonts w:ascii="Times New Roman" w:eastAsia="Times New Roman" w:hAnsi="Times New Roman"/>
                <w:color w:val="FF0000"/>
                <w:sz w:val="20"/>
                <w:szCs w:val="20"/>
              </w:rPr>
            </w:pPr>
          </w:p>
          <w:p w:rsidR="004422B2" w:rsidRDefault="004422B2">
            <w:pPr>
              <w:spacing w:line="240" w:lineRule="auto"/>
              <w:ind w:left="426"/>
              <w:contextualSpacing/>
              <w:rPr>
                <w:rFonts w:ascii="Times New Roman" w:eastAsia="Calibri" w:hAnsi="Times New Roman" w:cs="Times New Roman"/>
                <w:b/>
              </w:rPr>
            </w:pPr>
          </w:p>
        </w:tc>
      </w:tr>
      <w:tr w:rsidR="004422B2"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lastRenderedPageBreak/>
              <w:t>Kontakt na spracovateľa</w:t>
            </w:r>
          </w:p>
        </w:tc>
      </w:tr>
      <w:tr w:rsidR="004422B2" w:rsidTr="004422B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hideMark/>
          </w:tcPr>
          <w:p w:rsidR="004422B2" w:rsidRDefault="004422B2">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B945F3" w:rsidRDefault="00B945F3">
            <w:pPr>
              <w:spacing w:line="240" w:lineRule="auto"/>
              <w:rPr>
                <w:rFonts w:ascii="Times New Roman" w:eastAsia="Times New Roman" w:hAnsi="Times New Roman" w:cs="Times New Roman"/>
                <w:i/>
                <w:sz w:val="20"/>
                <w:szCs w:val="20"/>
                <w:lang w:eastAsia="sk-SK"/>
              </w:rPr>
            </w:pPr>
          </w:p>
          <w:p w:rsidR="00B945F3" w:rsidRDefault="00B945F3" w:rsidP="00B945F3">
            <w:pPr>
              <w:spacing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Mgr. Mária Machajdíková, riaditeľka odboru sociálnych služieb</w:t>
            </w:r>
          </w:p>
          <w:p w:rsidR="00B945F3" w:rsidRDefault="00B945F3" w:rsidP="00B945F3">
            <w:pPr>
              <w:spacing w:line="240" w:lineRule="auto"/>
              <w:rPr>
                <w:rFonts w:ascii="Times New Roman" w:eastAsia="Times New Roman" w:hAnsi="Times New Roman" w:cs="Times New Roman"/>
                <w:i/>
                <w:sz w:val="20"/>
                <w:szCs w:val="20"/>
                <w:lang w:eastAsia="sk-SK"/>
              </w:rPr>
            </w:pPr>
            <w:r>
              <w:rPr>
                <w:rFonts w:ascii="Times New Roman" w:eastAsia="Times New Roman" w:hAnsi="Times New Roman" w:cs="Times New Roman"/>
                <w:sz w:val="24"/>
                <w:szCs w:val="24"/>
                <w:lang w:eastAsia="sk-SK"/>
              </w:rPr>
              <w:lastRenderedPageBreak/>
              <w:t>maria.machajdikova@employment.gov.sk</w:t>
            </w:r>
            <w:r>
              <w:rPr>
                <w:rFonts w:ascii="Times New Roman" w:eastAsia="Times New Roman" w:hAnsi="Times New Roman" w:cs="Times New Roman"/>
                <w:i/>
                <w:sz w:val="20"/>
                <w:szCs w:val="20"/>
                <w:lang w:eastAsia="sk-SK"/>
              </w:rPr>
              <w:t xml:space="preserve"> </w:t>
            </w:r>
          </w:p>
        </w:tc>
      </w:tr>
      <w:tr w:rsidR="004422B2"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rsidP="004422B2">
            <w:pPr>
              <w:numPr>
                <w:ilvl w:val="0"/>
                <w:numId w:val="3"/>
              </w:numPr>
              <w:spacing w:line="240" w:lineRule="auto"/>
              <w:ind w:left="426"/>
              <w:contextualSpacing/>
              <w:rPr>
                <w:rFonts w:ascii="Times New Roman" w:eastAsia="Calibri" w:hAnsi="Times New Roman" w:cs="Times New Roman"/>
                <w:b/>
              </w:rPr>
            </w:pPr>
            <w:r>
              <w:rPr>
                <w:rFonts w:ascii="Times New Roman" w:eastAsia="Calibri" w:hAnsi="Times New Roman" w:cs="Times New Roman"/>
                <w:b/>
              </w:rPr>
              <w:lastRenderedPageBreak/>
              <w:t>Zdroje</w:t>
            </w:r>
          </w:p>
        </w:tc>
      </w:tr>
      <w:tr w:rsidR="004422B2" w:rsidTr="004422B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422B2" w:rsidRDefault="004422B2">
            <w:pPr>
              <w:spacing w:line="240" w:lineRule="auto"/>
              <w:jc w:val="both"/>
              <w:rPr>
                <w:rFonts w:ascii="Times New Roman" w:eastAsia="Calibri" w:hAnsi="Times New Roman" w:cs="Times New Roman"/>
                <w:sz w:val="24"/>
                <w:szCs w:val="24"/>
              </w:rPr>
            </w:pPr>
            <w:r>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Pr>
                <w:rFonts w:ascii="Times New Roman" w:eastAsia="Calibri" w:hAnsi="Times New Roman" w:cs="Times New Roman"/>
                <w:sz w:val="24"/>
                <w:szCs w:val="24"/>
              </w:rPr>
              <w:t xml:space="preserve"> </w:t>
            </w:r>
          </w:p>
          <w:p w:rsidR="00B945F3" w:rsidRDefault="00B945F3">
            <w:pPr>
              <w:spacing w:line="240" w:lineRule="auto"/>
              <w:jc w:val="both"/>
              <w:rPr>
                <w:rFonts w:ascii="Times New Roman" w:eastAsia="Calibri" w:hAnsi="Times New Roman" w:cs="Times New Roman"/>
                <w:sz w:val="24"/>
                <w:szCs w:val="24"/>
              </w:rPr>
            </w:pPr>
          </w:p>
          <w:p w:rsidR="00B945F3" w:rsidRDefault="00B945F3">
            <w:pPr>
              <w:spacing w:line="240" w:lineRule="auto"/>
              <w:jc w:val="both"/>
              <w:rPr>
                <w:rFonts w:ascii="Times New Roman" w:eastAsia="Times New Roman" w:hAnsi="Times New Roman" w:cs="Times New Roman"/>
                <w:i/>
                <w:sz w:val="20"/>
                <w:szCs w:val="20"/>
                <w:lang w:eastAsia="sk-SK"/>
              </w:rPr>
            </w:pPr>
            <w:r>
              <w:rPr>
                <w:rFonts w:ascii="Times New Roman" w:eastAsia="Calibri" w:hAnsi="Times New Roman" w:cs="Times New Roman"/>
                <w:sz w:val="24"/>
                <w:szCs w:val="24"/>
              </w:rPr>
              <w:t>Informačný systém sociálnych služieb</w:t>
            </w:r>
          </w:p>
          <w:p w:rsidR="004422B2" w:rsidRDefault="004422B2">
            <w:pPr>
              <w:spacing w:line="240" w:lineRule="auto"/>
              <w:rPr>
                <w:rFonts w:ascii="Times New Roman" w:eastAsia="Times New Roman" w:hAnsi="Times New Roman" w:cs="Times New Roman"/>
                <w:i/>
                <w:sz w:val="20"/>
                <w:szCs w:val="20"/>
                <w:lang w:eastAsia="sk-SK"/>
              </w:rPr>
            </w:pPr>
          </w:p>
          <w:p w:rsidR="004422B2" w:rsidRDefault="004422B2">
            <w:pPr>
              <w:spacing w:line="240" w:lineRule="auto"/>
              <w:rPr>
                <w:rFonts w:ascii="Times New Roman" w:eastAsia="Times New Roman" w:hAnsi="Times New Roman" w:cs="Times New Roman"/>
                <w:b/>
                <w:sz w:val="20"/>
                <w:szCs w:val="20"/>
                <w:lang w:eastAsia="sk-SK"/>
              </w:rPr>
            </w:pPr>
          </w:p>
        </w:tc>
      </w:tr>
      <w:tr w:rsidR="004422B2"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rsidP="004422B2">
            <w:pPr>
              <w:numPr>
                <w:ilvl w:val="0"/>
                <w:numId w:val="3"/>
              </w:numPr>
              <w:spacing w:line="240" w:lineRule="auto"/>
              <w:ind w:left="447" w:hanging="425"/>
              <w:contextualSpacing/>
              <w:rPr>
                <w:rFonts w:ascii="Times New Roman" w:eastAsia="Calibri" w:hAnsi="Times New Roman" w:cs="Times New Roman"/>
                <w:b/>
              </w:rPr>
            </w:pPr>
            <w:r>
              <w:rPr>
                <w:rFonts w:ascii="Times New Roman" w:eastAsia="Calibri" w:hAnsi="Times New Roman" w:cs="Times New Roman"/>
                <w:b/>
              </w:rPr>
              <w:t>Stanovisko Komisie na posudzovanie vybraných vplyvov z PPK č. ..........</w:t>
            </w:r>
            <w:r>
              <w:rPr>
                <w:rFonts w:ascii="Calibri" w:eastAsia="Calibri" w:hAnsi="Calibri" w:cs="Times New Roman"/>
              </w:rPr>
              <w:t xml:space="preserve"> </w:t>
            </w:r>
          </w:p>
          <w:p w:rsidR="004422B2" w:rsidRDefault="004422B2">
            <w:pPr>
              <w:spacing w:line="240" w:lineRule="auto"/>
              <w:ind w:left="502"/>
              <w:rPr>
                <w:rFonts w:ascii="Times New Roman" w:eastAsia="Times New Roman" w:hAnsi="Times New Roman" w:cs="Times New Roman"/>
                <w:b/>
                <w:sz w:val="20"/>
                <w:szCs w:val="20"/>
                <w:lang w:eastAsia="sk-SK"/>
              </w:rPr>
            </w:pPr>
            <w:r>
              <w:rPr>
                <w:rFonts w:ascii="Times New Roman" w:eastAsia="Calibri" w:hAnsi="Times New Roman" w:cs="Times New Roman"/>
              </w:rPr>
              <w:t>(v prípade, ak sa uskutočnilo v zmysle bodu 8.1 Jednotnej metodiky)</w:t>
            </w:r>
          </w:p>
        </w:tc>
      </w:tr>
      <w:tr w:rsidR="004422B2" w:rsidTr="004422B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4422B2" w:rsidRDefault="004422B2">
            <w:pPr>
              <w:spacing w:line="240" w:lineRule="auto"/>
              <w:rPr>
                <w:rFonts w:ascii="Times New Roman" w:eastAsia="Times New Roman" w:hAnsi="Times New Roman" w:cs="Times New Roman"/>
                <w:b/>
                <w:sz w:val="20"/>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422B2">
              <w:trPr>
                <w:trHeight w:val="396"/>
              </w:trPr>
              <w:tc>
                <w:tcPr>
                  <w:tcW w:w="2552" w:type="dxa"/>
                  <w:hideMark/>
                </w:tcPr>
                <w:p w:rsidR="004422B2" w:rsidRDefault="001B05BF">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1"/>
                        <w14:checkedState w14:val="2612" w14:font="MS Gothic"/>
                        <w14:uncheckedState w14:val="2610" w14:font="MS Gothic"/>
                      </w14:checkbox>
                    </w:sdtPr>
                    <w:sdtEndPr/>
                    <w:sdtContent>
                      <w:r w:rsidR="00B945F3">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Súhlasné </w:t>
                  </w:r>
                </w:p>
              </w:tc>
              <w:tc>
                <w:tcPr>
                  <w:tcW w:w="3827" w:type="dxa"/>
                  <w:hideMark/>
                </w:tcPr>
                <w:p w:rsidR="004422B2" w:rsidRDefault="001B05BF">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4422B2">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Súhlasné s návrhom na dopracovanie</w:t>
                  </w:r>
                </w:p>
              </w:tc>
              <w:tc>
                <w:tcPr>
                  <w:tcW w:w="2534" w:type="dxa"/>
                  <w:hideMark/>
                </w:tcPr>
                <w:p w:rsidR="004422B2" w:rsidRDefault="001B05BF">
                  <w:pPr>
                    <w:spacing w:line="240"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4422B2">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Nesúhlasné</w:t>
                  </w:r>
                </w:p>
              </w:tc>
            </w:tr>
          </w:tbl>
          <w:p w:rsidR="004422B2" w:rsidRDefault="004422B2">
            <w:pPr>
              <w:spacing w:line="240" w:lineRule="auto"/>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Uveďte pripomienky zo stanoviska Komisie z časti II. spolu s Vaším vyhodnotením:</w:t>
            </w:r>
          </w:p>
          <w:p w:rsidR="004422B2" w:rsidRDefault="004422B2">
            <w:pPr>
              <w:spacing w:line="240" w:lineRule="auto"/>
              <w:rPr>
                <w:rFonts w:ascii="Times New Roman" w:eastAsia="Times New Roman" w:hAnsi="Times New Roman" w:cs="Times New Roman"/>
                <w:b/>
                <w:sz w:val="20"/>
                <w:szCs w:val="20"/>
                <w:lang w:eastAsia="sk-SK"/>
              </w:rPr>
            </w:pPr>
          </w:p>
          <w:p w:rsidR="00B945F3" w:rsidRDefault="00B945F3">
            <w:pPr>
              <w:spacing w:line="240" w:lineRule="auto"/>
              <w:rPr>
                <w:rFonts w:ascii="Times New Roman" w:eastAsia="Times New Roman" w:hAnsi="Times New Roman" w:cs="Times New Roman"/>
                <w:b/>
                <w:sz w:val="20"/>
                <w:szCs w:val="20"/>
                <w:lang w:eastAsia="sk-SK"/>
              </w:rPr>
            </w:pPr>
          </w:p>
          <w:p w:rsidR="00DD71BB" w:rsidRDefault="00DD71BB" w:rsidP="00DD71BB">
            <w:pPr>
              <w:pStyle w:val="Nadpis4"/>
              <w:tabs>
                <w:tab w:val="left" w:pos="708"/>
              </w:tabs>
              <w:ind w:left="2124" w:firstLine="708"/>
              <w:outlineLvl w:val="3"/>
            </w:pPr>
            <w:r>
              <w:rPr>
                <w:spacing w:val="20"/>
              </w:rPr>
              <w:t>stanovisko komisie</w:t>
            </w:r>
            <w:r>
              <w:t xml:space="preserve"> </w:t>
            </w:r>
          </w:p>
          <w:p w:rsidR="00DD71BB" w:rsidRDefault="00DD71BB" w:rsidP="00DD71BB">
            <w:pPr>
              <w:ind w:right="-2"/>
              <w:jc w:val="center"/>
              <w:rPr>
                <w:rFonts w:ascii="Times New Roman" w:hAnsi="Times New Roman" w:cs="Times New Roman"/>
                <w:b/>
                <w:smallCaps/>
              </w:rPr>
            </w:pPr>
          </w:p>
          <w:p w:rsidR="00DD71BB" w:rsidRDefault="00DD71BB" w:rsidP="00DD71BB">
            <w:pPr>
              <w:ind w:right="-2"/>
              <w:jc w:val="center"/>
              <w:rPr>
                <w:rFonts w:ascii="Times New Roman" w:hAnsi="Times New Roman"/>
                <w:b/>
                <w:smallCaps/>
              </w:rPr>
            </w:pPr>
            <w:r>
              <w:rPr>
                <w:rFonts w:ascii="Times New Roman" w:hAnsi="Times New Roman"/>
                <w:b/>
                <w:smallCaps/>
              </w:rPr>
              <w:t>(K udeleniu výnimky z procesu)</w:t>
            </w:r>
          </w:p>
          <w:p w:rsidR="00DD71BB" w:rsidRDefault="00DD71BB" w:rsidP="00DD71BB">
            <w:pPr>
              <w:ind w:right="-2"/>
              <w:jc w:val="center"/>
              <w:rPr>
                <w:rFonts w:ascii="Times New Roman" w:hAnsi="Times New Roman"/>
                <w:b/>
                <w:smallCaps/>
              </w:rPr>
            </w:pPr>
          </w:p>
          <w:p w:rsidR="00DD71BB" w:rsidRDefault="00DD71BB" w:rsidP="00DD71BB">
            <w:pPr>
              <w:ind w:right="-2"/>
              <w:jc w:val="center"/>
              <w:rPr>
                <w:rFonts w:ascii="Times New Roman" w:hAnsi="Times New Roman"/>
                <w:b/>
                <w:smallCaps/>
              </w:rPr>
            </w:pPr>
            <w:r>
              <w:rPr>
                <w:rFonts w:ascii="Times New Roman" w:hAnsi="Times New Roman"/>
                <w:b/>
                <w:smallCaps/>
              </w:rPr>
              <w:t>k materiálu</w:t>
            </w:r>
          </w:p>
          <w:p w:rsidR="00DD71BB" w:rsidRDefault="00DD71BB" w:rsidP="00DD71BB">
            <w:pPr>
              <w:ind w:right="-2"/>
              <w:jc w:val="center"/>
              <w:rPr>
                <w:rFonts w:ascii="Times New Roman" w:hAnsi="Times New Roman"/>
                <w:b/>
                <w:smallCaps/>
              </w:rPr>
            </w:pPr>
          </w:p>
          <w:p w:rsidR="00DD71BB" w:rsidRDefault="00DD71BB" w:rsidP="00DD71BB">
            <w:pPr>
              <w:pBdr>
                <w:bottom w:val="single" w:sz="4" w:space="1" w:color="auto"/>
              </w:pBdr>
              <w:jc w:val="center"/>
              <w:rPr>
                <w:rStyle w:val="Jemnodkaz"/>
              </w:rPr>
            </w:pPr>
            <w:r>
              <w:rPr>
                <w:rStyle w:val="Jemnodkaz"/>
                <w:rFonts w:ascii="Times New Roman" w:hAnsi="Times New Roman"/>
                <w:b/>
              </w:rPr>
              <w:t>Návrh nariadenia vlády Slovenskej republiky, ktorým sa ustanovuje výška finančného príspevku na poskytovanie sociálnej služby v niektorých druhoch zariadení sociálnych služieb na rok 2025</w:t>
            </w:r>
          </w:p>
          <w:p w:rsidR="00DD71BB" w:rsidRDefault="00DD71BB" w:rsidP="00DD71BB">
            <w:pPr>
              <w:jc w:val="both"/>
              <w:rPr>
                <w:bCs/>
              </w:rPr>
            </w:pPr>
          </w:p>
          <w:p w:rsidR="00DD71BB" w:rsidRDefault="00DD71BB" w:rsidP="00DD71BB">
            <w:pPr>
              <w:jc w:val="both"/>
              <w:rPr>
                <w:rFonts w:ascii="Times New Roman" w:hAnsi="Times New Roman"/>
                <w:i/>
              </w:rPr>
            </w:pPr>
            <w:r>
              <w:rPr>
                <w:rFonts w:ascii="Times New Roman" w:hAnsi="Times New Roman"/>
                <w:b/>
                <w:bCs/>
              </w:rPr>
              <w:t xml:space="preserve">I. Úvod: </w:t>
            </w:r>
            <w:r>
              <w:rPr>
                <w:rFonts w:ascii="Times New Roman" w:hAnsi="Times New Roman"/>
                <w:bCs/>
              </w:rPr>
              <w:t>Ministerstvo práce, sociálnych vecí a rodiny Slovenskej republiky dňa 16. apríla 2024 predložilo Stálej pracovnej komisii na posudzovanie vybraných vplyvov (ďalej len „Komisia“) materiál: „</w:t>
            </w:r>
            <w:r>
              <w:rPr>
                <w:rFonts w:ascii="Times New Roman" w:hAnsi="Times New Roman"/>
                <w:i/>
                <w:color w:val="000000"/>
              </w:rPr>
              <w:t xml:space="preserve">Návrh nariadenia vlády Slovenskej republiky, ktorým sa ustanovuje výška finančného príspevku na poskytovanie sociálnej služby v niektorých druhoch zariadení sociálnych služieb na rok 2025 </w:t>
            </w:r>
            <w:r>
              <w:rPr>
                <w:rFonts w:ascii="Times New Roman" w:hAnsi="Times New Roman"/>
                <w:bCs/>
                <w:i/>
              </w:rPr>
              <w:t>"</w:t>
            </w:r>
            <w:r>
              <w:rPr>
                <w:rFonts w:ascii="Times New Roman" w:hAnsi="Times New Roman"/>
                <w:bCs/>
              </w:rPr>
              <w:t>,</w:t>
            </w:r>
            <w:r>
              <w:rPr>
                <w:rFonts w:ascii="Times New Roman" w:hAnsi="Times New Roman"/>
                <w:bCs/>
                <w:i/>
              </w:rPr>
              <w:t xml:space="preserve"> </w:t>
            </w:r>
            <w:r>
              <w:rPr>
                <w:rFonts w:ascii="Times New Roman" w:hAnsi="Times New Roman"/>
                <w:iCs/>
              </w:rPr>
              <w:t>spolu so žiadosťou o udelenie výnimky z procesu podľa bodu 2.6. Jednotnej metodiky na posudzovanie vybraných vplyvov. Materiál predpokladá negatívne vplyvy na rozpočet verejnej správy, ktoré nie sú rozpočtovo zabezpečené, negatívne vplyvy na limit verejných výdavkov a pozitívne sociálne vplyvy.</w:t>
            </w:r>
          </w:p>
          <w:p w:rsidR="00DD71BB" w:rsidRDefault="00DD71BB" w:rsidP="00DD71BB">
            <w:pPr>
              <w:jc w:val="both"/>
              <w:rPr>
                <w:rFonts w:ascii="Times New Roman" w:hAnsi="Times New Roman"/>
                <w:b/>
                <w:bCs/>
                <w:lang w:eastAsia="ar-SA"/>
              </w:rPr>
            </w:pPr>
          </w:p>
          <w:p w:rsidR="00DD71BB" w:rsidRDefault="00DD71BB" w:rsidP="00DD71BB">
            <w:pPr>
              <w:jc w:val="both"/>
              <w:rPr>
                <w:rFonts w:ascii="Times New Roman" w:hAnsi="Times New Roman"/>
                <w:bCs/>
                <w:lang w:eastAsia="sk-SK"/>
              </w:rPr>
            </w:pPr>
            <w:r>
              <w:rPr>
                <w:rFonts w:ascii="Times New Roman" w:hAnsi="Times New Roman"/>
                <w:b/>
                <w:bCs/>
              </w:rPr>
              <w:t>II. P</w:t>
            </w:r>
            <w:r>
              <w:rPr>
                <w:rFonts w:ascii="Times New Roman" w:hAnsi="Times New Roman"/>
                <w:b/>
              </w:rPr>
              <w:t>r</w:t>
            </w:r>
            <w:r>
              <w:rPr>
                <w:rFonts w:ascii="Times New Roman" w:hAnsi="Times New Roman"/>
                <w:b/>
                <w:bCs/>
              </w:rPr>
              <w:t>ipomienky a návrhy zm</w:t>
            </w:r>
            <w:r>
              <w:rPr>
                <w:rFonts w:ascii="Times New Roman" w:hAnsi="Times New Roman"/>
                <w:b/>
              </w:rPr>
              <w:t>ie</w:t>
            </w:r>
            <w:r>
              <w:rPr>
                <w:rFonts w:ascii="Times New Roman" w:hAnsi="Times New Roman"/>
                <w:b/>
                <w:bCs/>
              </w:rPr>
              <w:t xml:space="preserve">n: </w:t>
            </w:r>
            <w:r>
              <w:rPr>
                <w:rFonts w:ascii="Times New Roman" w:hAnsi="Times New Roman"/>
                <w:bCs/>
              </w:rPr>
              <w:t>Komisia neuplatňuje k materiálu žiadne pripomienky a odporúčania</w:t>
            </w:r>
          </w:p>
          <w:p w:rsidR="00DD71BB" w:rsidRDefault="00DD71BB" w:rsidP="00DD71BB">
            <w:pPr>
              <w:jc w:val="both"/>
              <w:rPr>
                <w:rFonts w:ascii="Times New Roman" w:hAnsi="Times New Roman"/>
                <w:bCs/>
              </w:rPr>
            </w:pPr>
          </w:p>
          <w:p w:rsidR="00DD71BB" w:rsidRDefault="00DD71BB" w:rsidP="00DD71BB">
            <w:pPr>
              <w:pStyle w:val="xxmsonormal"/>
              <w:rPr>
                <w:sz w:val="20"/>
                <w:szCs w:val="20"/>
              </w:rPr>
            </w:pPr>
            <w:r>
              <w:rPr>
                <w:b/>
                <w:bCs/>
                <w:sz w:val="20"/>
                <w:szCs w:val="20"/>
              </w:rPr>
              <w:t xml:space="preserve">III. Záver: </w:t>
            </w:r>
            <w:r>
              <w:rPr>
                <w:bCs/>
                <w:sz w:val="20"/>
                <w:szCs w:val="20"/>
              </w:rPr>
              <w:t xml:space="preserve">Stála pracovná komisia na posudzovanie vybraných vplyvov vyjadruje </w:t>
            </w:r>
          </w:p>
          <w:p w:rsidR="00DD71BB" w:rsidRDefault="00DD71BB" w:rsidP="00DD71BB">
            <w:pPr>
              <w:tabs>
                <w:tab w:val="center" w:pos="6379"/>
              </w:tabs>
              <w:ind w:right="-2"/>
              <w:jc w:val="center"/>
              <w:rPr>
                <w:rFonts w:ascii="Times New Roman" w:hAnsi="Times New Roman"/>
                <w:b/>
                <w:bCs/>
                <w:sz w:val="20"/>
                <w:szCs w:val="20"/>
              </w:rPr>
            </w:pPr>
          </w:p>
          <w:p w:rsidR="00DD71BB" w:rsidRDefault="00DD71BB" w:rsidP="00DD71BB">
            <w:pPr>
              <w:tabs>
                <w:tab w:val="center" w:pos="6379"/>
              </w:tabs>
              <w:ind w:right="-2"/>
              <w:jc w:val="center"/>
              <w:rPr>
                <w:rFonts w:ascii="Times New Roman" w:hAnsi="Times New Roman"/>
                <w:bCs/>
              </w:rPr>
            </w:pPr>
            <w:r>
              <w:rPr>
                <w:rFonts w:ascii="Times New Roman" w:hAnsi="Times New Roman"/>
                <w:b/>
                <w:bCs/>
              </w:rPr>
              <w:t>súhlasné stanovisko</w:t>
            </w:r>
          </w:p>
          <w:p w:rsidR="00DD71BB" w:rsidRDefault="00DD71BB" w:rsidP="00DD71BB">
            <w:pPr>
              <w:tabs>
                <w:tab w:val="center" w:pos="6379"/>
              </w:tabs>
              <w:ind w:right="-2"/>
              <w:jc w:val="both"/>
              <w:rPr>
                <w:rFonts w:ascii="Times New Roman" w:hAnsi="Times New Roman"/>
                <w:bCs/>
              </w:rPr>
            </w:pPr>
          </w:p>
          <w:p w:rsidR="00DD71BB" w:rsidRDefault="00DD71BB" w:rsidP="00DD71BB">
            <w:pPr>
              <w:tabs>
                <w:tab w:val="center" w:pos="6379"/>
              </w:tabs>
              <w:ind w:right="-2"/>
              <w:jc w:val="both"/>
              <w:rPr>
                <w:rFonts w:ascii="Times New Roman" w:hAnsi="Times New Roman"/>
                <w:b/>
                <w:bCs/>
              </w:rPr>
            </w:pPr>
            <w:r>
              <w:rPr>
                <w:rFonts w:ascii="Times New Roman" w:hAnsi="Times New Roman"/>
                <w:bCs/>
                <w:u w:val="single"/>
              </w:rPr>
              <w:t>k udeleniu výnimky pri uplatňovaní postupu podľa Jednotnej metodiky na posudzovanie vybraných vplyvov predmetnému materiálu</w:t>
            </w:r>
            <w:r>
              <w:rPr>
                <w:rFonts w:ascii="Times New Roman" w:hAnsi="Times New Roman"/>
                <w:bCs/>
              </w:rPr>
              <w:t xml:space="preserve">. </w:t>
            </w:r>
          </w:p>
          <w:p w:rsidR="00DD71BB" w:rsidRDefault="00DD71BB" w:rsidP="00DD71BB">
            <w:pPr>
              <w:tabs>
                <w:tab w:val="center" w:pos="6379"/>
              </w:tabs>
              <w:ind w:right="-2"/>
              <w:jc w:val="both"/>
              <w:rPr>
                <w:rFonts w:ascii="Times New Roman" w:hAnsi="Times New Roman"/>
                <w:b/>
                <w:bCs/>
              </w:rPr>
            </w:pPr>
          </w:p>
          <w:p w:rsidR="00DD71BB" w:rsidRDefault="00DD71BB" w:rsidP="00DD71BB">
            <w:pPr>
              <w:tabs>
                <w:tab w:val="center" w:pos="6379"/>
              </w:tabs>
              <w:ind w:right="-2"/>
              <w:jc w:val="both"/>
              <w:rPr>
                <w:rFonts w:ascii="Times New Roman" w:hAnsi="Times New Roman"/>
                <w:bCs/>
              </w:rPr>
            </w:pPr>
            <w:r>
              <w:rPr>
                <w:rFonts w:ascii="Times New Roman" w:hAnsi="Times New Roman"/>
                <w:b/>
                <w:bCs/>
              </w:rPr>
              <w:t xml:space="preserve">IV. Poznámka: </w:t>
            </w:r>
            <w:r>
              <w:rPr>
                <w:rFonts w:ascii="Times New Roman" w:hAnsi="Times New Roman"/>
                <w:bCs/>
              </w:rPr>
              <w:t xml:space="preserve">Komisia si dovoľuje predkladateľovi pripomenúť, že výnimka pri uplatňovaní postupu podľa jednotnej metodiky znamená, že materiál nemusí prejsť štandardným procesom podľa Jednotnej metodiky na posudzovane vybraných vplyvov (nemusí sa uskutočniť: proces konzultácií, </w:t>
            </w:r>
            <w:r>
              <w:rPr>
                <w:rFonts w:ascii="Times New Roman" w:hAnsi="Times New Roman"/>
                <w:bCs/>
              </w:rPr>
              <w:lastRenderedPageBreak/>
              <w:t>predbežného pripomienkového konania a proces záverečného posúdenia). Materiál však musí obsahovať potrebné náležitosti (doložku vybraných vplyvov a analýzy vplyvov).</w:t>
            </w:r>
          </w:p>
          <w:p w:rsidR="00DD71BB" w:rsidRDefault="00DD71BB" w:rsidP="00DD71BB">
            <w:pPr>
              <w:tabs>
                <w:tab w:val="center" w:pos="6379"/>
              </w:tabs>
              <w:ind w:right="-2"/>
              <w:jc w:val="both"/>
              <w:rPr>
                <w:rFonts w:ascii="Times New Roman" w:hAnsi="Times New Roman"/>
                <w:bCs/>
              </w:rPr>
            </w:pPr>
          </w:p>
          <w:p w:rsidR="00DD71BB" w:rsidRDefault="00DD71BB" w:rsidP="00DD71BB">
            <w:pPr>
              <w:tabs>
                <w:tab w:val="center" w:pos="6379"/>
              </w:tabs>
              <w:ind w:right="-2"/>
              <w:jc w:val="both"/>
              <w:rPr>
                <w:rFonts w:ascii="Times New Roman" w:hAnsi="Times New Roman"/>
                <w:b/>
                <w:bCs/>
              </w:rPr>
            </w:pPr>
            <w:r>
              <w:rPr>
                <w:rFonts w:ascii="Times New Roman" w:hAnsi="Times New Roman"/>
                <w:bCs/>
              </w:rPr>
              <w:t>Komisia zároveň upozorňuje predkladateľa, že stanovisko Komisie je nutné uviesť do doložky vybraných vplyvov.</w:t>
            </w:r>
          </w:p>
          <w:p w:rsidR="00DD71BB" w:rsidRDefault="00DD71BB" w:rsidP="00DD71BB">
            <w:pPr>
              <w:tabs>
                <w:tab w:val="center" w:pos="6379"/>
              </w:tabs>
              <w:ind w:right="-2"/>
              <w:jc w:val="center"/>
              <w:rPr>
                <w:rFonts w:ascii="Times New Roman" w:hAnsi="Times New Roman"/>
                <w:b/>
                <w:bCs/>
              </w:rPr>
            </w:pPr>
          </w:p>
          <w:p w:rsidR="00DD71BB" w:rsidRDefault="00DD71BB" w:rsidP="00DD71BB">
            <w:pPr>
              <w:tabs>
                <w:tab w:val="center" w:pos="6379"/>
              </w:tabs>
              <w:ind w:right="-2"/>
              <w:jc w:val="center"/>
              <w:rPr>
                <w:rFonts w:ascii="Times New Roman" w:hAnsi="Times New Roman"/>
                <w:bCs/>
              </w:rPr>
            </w:pPr>
            <w:r>
              <w:rPr>
                <w:rFonts w:ascii="Times New Roman" w:hAnsi="Times New Roman"/>
                <w:b/>
                <w:bCs/>
              </w:rPr>
              <w:tab/>
              <w:t>JUDr. Martin Semanco</w:t>
            </w:r>
            <w:r>
              <w:rPr>
                <w:rFonts w:ascii="Times New Roman" w:hAnsi="Times New Roman"/>
                <w:bCs/>
              </w:rPr>
              <w:t xml:space="preserve">   </w:t>
            </w:r>
          </w:p>
          <w:p w:rsidR="00DD71BB" w:rsidRDefault="00DD71BB" w:rsidP="00DD71BB">
            <w:pPr>
              <w:tabs>
                <w:tab w:val="center" w:pos="6379"/>
              </w:tabs>
              <w:ind w:right="-2"/>
              <w:rPr>
                <w:rFonts w:ascii="Times New Roman" w:hAnsi="Times New Roman"/>
              </w:rPr>
            </w:pPr>
            <w:r>
              <w:rPr>
                <w:rFonts w:ascii="Times New Roman" w:hAnsi="Times New Roman"/>
                <w:bCs/>
              </w:rPr>
              <w:tab/>
              <w:t xml:space="preserve">                      predseda Komisie</w:t>
            </w:r>
          </w:p>
          <w:p w:rsidR="00DD71BB" w:rsidRDefault="00DD71BB" w:rsidP="00DD71BB">
            <w:pPr>
              <w:rPr>
                <w:rFonts w:ascii="Times New Roman" w:hAnsi="Times New Roman"/>
              </w:rPr>
            </w:pPr>
          </w:p>
          <w:p w:rsidR="00B945F3" w:rsidRDefault="00B945F3">
            <w:pPr>
              <w:spacing w:line="240" w:lineRule="auto"/>
              <w:rPr>
                <w:rFonts w:ascii="Times New Roman" w:eastAsia="Times New Roman" w:hAnsi="Times New Roman" w:cs="Times New Roman"/>
                <w:b/>
                <w:sz w:val="20"/>
                <w:szCs w:val="20"/>
                <w:lang w:eastAsia="sk-SK"/>
              </w:rPr>
            </w:pPr>
          </w:p>
          <w:p w:rsidR="00B945F3" w:rsidRDefault="00B945F3">
            <w:pPr>
              <w:spacing w:line="240" w:lineRule="auto"/>
              <w:rPr>
                <w:rFonts w:ascii="Times New Roman" w:eastAsia="Times New Roman" w:hAnsi="Times New Roman" w:cs="Times New Roman"/>
                <w:b/>
                <w:sz w:val="20"/>
                <w:szCs w:val="20"/>
                <w:lang w:eastAsia="sk-SK"/>
              </w:rPr>
            </w:pPr>
          </w:p>
          <w:p w:rsidR="004422B2" w:rsidRDefault="004422B2">
            <w:pPr>
              <w:spacing w:line="240" w:lineRule="auto"/>
              <w:rPr>
                <w:rFonts w:ascii="Times New Roman" w:eastAsia="Times New Roman" w:hAnsi="Times New Roman" w:cs="Times New Roman"/>
                <w:b/>
                <w:sz w:val="20"/>
                <w:szCs w:val="20"/>
                <w:lang w:eastAsia="sk-SK"/>
              </w:rPr>
            </w:pPr>
          </w:p>
        </w:tc>
      </w:tr>
      <w:tr w:rsidR="004422B2" w:rsidTr="004422B2">
        <w:tc>
          <w:tcPr>
            <w:tcW w:w="9176" w:type="dxa"/>
            <w:tcBorders>
              <w:top w:val="single" w:sz="4" w:space="0" w:color="auto"/>
              <w:left w:val="single" w:sz="4" w:space="0" w:color="auto"/>
              <w:bottom w:val="single" w:sz="4" w:space="0" w:color="FFFFFF"/>
              <w:right w:val="single" w:sz="4" w:space="0" w:color="auto"/>
            </w:tcBorders>
            <w:shd w:val="clear" w:color="auto" w:fill="E2E2E2"/>
            <w:hideMark/>
          </w:tcPr>
          <w:p w:rsidR="004422B2" w:rsidRDefault="004422B2" w:rsidP="004422B2">
            <w:pPr>
              <w:numPr>
                <w:ilvl w:val="0"/>
                <w:numId w:val="3"/>
              </w:numPr>
              <w:spacing w:line="240" w:lineRule="auto"/>
              <w:ind w:left="450" w:hanging="425"/>
              <w:contextualSpacing/>
              <w:jc w:val="both"/>
              <w:rPr>
                <w:rFonts w:ascii="Times New Roman" w:eastAsia="Calibri" w:hAnsi="Times New Roman" w:cs="Times New Roman"/>
                <w:b/>
              </w:rPr>
            </w:pPr>
            <w:r>
              <w:rPr>
                <w:rFonts w:ascii="Times New Roman" w:eastAsia="Calibri" w:hAnsi="Times New Roman" w:cs="Times New Roman"/>
                <w:b/>
              </w:rPr>
              <w:lastRenderedPageBreak/>
              <w:t>Stanovisko Komisie na posudzovanie vybraných vplyvov zo záverečného posúdenia č. ..........</w:t>
            </w:r>
            <w:r>
              <w:rPr>
                <w:rFonts w:ascii="Times New Roman" w:eastAsia="Calibri" w:hAnsi="Times New Roman" w:cs="Times New Roman"/>
              </w:rPr>
              <w:t xml:space="preserve"> (v prípade, ak sa uskutočnilo v zmysle bodu 9.1. Jednotnej metodiky) </w:t>
            </w:r>
          </w:p>
        </w:tc>
      </w:tr>
      <w:tr w:rsidR="004422B2" w:rsidTr="004422B2">
        <w:tc>
          <w:tcPr>
            <w:tcW w:w="9176" w:type="dxa"/>
            <w:tcBorders>
              <w:top w:val="single" w:sz="4" w:space="0" w:color="FFFFFF"/>
              <w:left w:val="single" w:sz="4" w:space="0" w:color="auto"/>
              <w:bottom w:val="single" w:sz="4" w:space="0" w:color="auto"/>
              <w:right w:val="single" w:sz="4" w:space="0" w:color="auto"/>
            </w:tcBorders>
            <w:shd w:val="clear" w:color="auto" w:fill="FFFFFF"/>
          </w:tcPr>
          <w:p w:rsidR="004422B2" w:rsidRDefault="004422B2">
            <w:pPr>
              <w:spacing w:line="240" w:lineRule="auto"/>
              <w:rPr>
                <w:rFonts w:ascii="Times New Roman" w:eastAsia="Times New Roman" w:hAnsi="Times New Roman" w:cs="Times New Roman"/>
                <w:b/>
                <w:sz w:val="20"/>
                <w:szCs w:val="20"/>
                <w:lang w:eastAsia="sk-SK"/>
              </w:rPr>
            </w:pPr>
          </w:p>
          <w:tbl>
            <w:tblPr>
              <w:tblStyle w:val="Mriekatabuky1"/>
              <w:tblW w:w="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4422B2">
              <w:trPr>
                <w:trHeight w:val="396"/>
              </w:trPr>
              <w:tc>
                <w:tcPr>
                  <w:tcW w:w="2552" w:type="dxa"/>
                  <w:hideMark/>
                </w:tcPr>
                <w:p w:rsidR="004422B2" w:rsidRDefault="001B05BF">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4422B2">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Súhlasné </w:t>
                  </w:r>
                </w:p>
              </w:tc>
              <w:tc>
                <w:tcPr>
                  <w:tcW w:w="3827" w:type="dxa"/>
                  <w:hideMark/>
                </w:tcPr>
                <w:p w:rsidR="004422B2" w:rsidRDefault="001B05BF">
                  <w:pPr>
                    <w:spacing w:line="240" w:lineRule="auto"/>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4422B2">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Súhlasné s  návrhom na dopracovanie</w:t>
                  </w:r>
                </w:p>
              </w:tc>
              <w:tc>
                <w:tcPr>
                  <w:tcW w:w="2534" w:type="dxa"/>
                  <w:hideMark/>
                </w:tcPr>
                <w:p w:rsidR="004422B2" w:rsidRDefault="001B05BF">
                  <w:pPr>
                    <w:spacing w:line="240" w:lineRule="auto"/>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4422B2">
                        <w:rPr>
                          <w:rFonts w:ascii="MS Gothic" w:eastAsia="MS Gothic" w:hAnsi="MS Gothic" w:cs="Times New Roman" w:hint="eastAsia"/>
                          <w:b/>
                          <w:sz w:val="20"/>
                          <w:szCs w:val="20"/>
                          <w:lang w:eastAsia="sk-SK"/>
                        </w:rPr>
                        <w:t>☐</w:t>
                      </w:r>
                    </w:sdtContent>
                  </w:sdt>
                  <w:r w:rsidR="004422B2">
                    <w:rPr>
                      <w:rFonts w:ascii="Times New Roman" w:eastAsia="Times New Roman" w:hAnsi="Times New Roman" w:cs="Times New Roman"/>
                      <w:b/>
                      <w:sz w:val="20"/>
                      <w:szCs w:val="20"/>
                      <w:lang w:eastAsia="sk-SK"/>
                    </w:rPr>
                    <w:t xml:space="preserve">  Nesúhlasné</w:t>
                  </w:r>
                </w:p>
              </w:tc>
            </w:tr>
          </w:tbl>
          <w:p w:rsidR="004422B2" w:rsidRDefault="004422B2">
            <w:pPr>
              <w:spacing w:line="240" w:lineRule="auto"/>
              <w:jc w:val="both"/>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Uveďte pripomienky zo stanoviska Komisie z časti II. spolu s Vaším vyhodnotením:</w:t>
            </w:r>
          </w:p>
          <w:p w:rsidR="004422B2" w:rsidRDefault="004422B2">
            <w:pPr>
              <w:spacing w:line="240" w:lineRule="auto"/>
              <w:rPr>
                <w:rFonts w:ascii="Times New Roman" w:eastAsia="Times New Roman" w:hAnsi="Times New Roman" w:cs="Times New Roman"/>
                <w:b/>
                <w:sz w:val="20"/>
                <w:szCs w:val="20"/>
                <w:lang w:eastAsia="sk-SK"/>
              </w:rPr>
            </w:pPr>
          </w:p>
          <w:p w:rsidR="004422B2" w:rsidRDefault="004422B2">
            <w:pPr>
              <w:spacing w:line="240" w:lineRule="auto"/>
              <w:rPr>
                <w:rFonts w:ascii="Times New Roman" w:eastAsia="Times New Roman" w:hAnsi="Times New Roman" w:cs="Times New Roman"/>
                <w:b/>
                <w:sz w:val="20"/>
                <w:szCs w:val="20"/>
                <w:lang w:eastAsia="sk-SK"/>
              </w:rPr>
            </w:pPr>
          </w:p>
        </w:tc>
      </w:tr>
    </w:tbl>
    <w:p w:rsidR="004422B2" w:rsidRDefault="004422B2" w:rsidP="004422B2"/>
    <w:p w:rsidR="00115F48" w:rsidRPr="00D24AA9" w:rsidRDefault="00115F48" w:rsidP="00D24AA9"/>
    <w:sectPr w:rsidR="00115F48" w:rsidRPr="00D24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6015"/>
    <w:multiLevelType w:val="hybridMultilevel"/>
    <w:tmpl w:val="A3F46F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380D7E46"/>
    <w:multiLevelType w:val="multilevel"/>
    <w:tmpl w:val="16C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A535F"/>
    <w:multiLevelType w:val="multilevel"/>
    <w:tmpl w:val="358C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DE54EF"/>
    <w:multiLevelType w:val="hybridMultilevel"/>
    <w:tmpl w:val="419C7968"/>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1B">
      <w:start w:val="1"/>
      <w:numFmt w:val="lowerRoman"/>
      <w:lvlText w:val="%3."/>
      <w:lvlJc w:val="right"/>
      <w:pPr>
        <w:ind w:left="2302" w:hanging="180"/>
      </w:pPr>
    </w:lvl>
    <w:lvl w:ilvl="3" w:tplc="041B000F">
      <w:start w:val="1"/>
      <w:numFmt w:val="decimal"/>
      <w:lvlText w:val="%4."/>
      <w:lvlJc w:val="left"/>
      <w:pPr>
        <w:ind w:left="3022" w:hanging="360"/>
      </w:pPr>
    </w:lvl>
    <w:lvl w:ilvl="4" w:tplc="041B0019">
      <w:start w:val="1"/>
      <w:numFmt w:val="lowerLetter"/>
      <w:lvlText w:val="%5."/>
      <w:lvlJc w:val="left"/>
      <w:pPr>
        <w:ind w:left="3742" w:hanging="360"/>
      </w:pPr>
    </w:lvl>
    <w:lvl w:ilvl="5" w:tplc="041B001B">
      <w:start w:val="1"/>
      <w:numFmt w:val="lowerRoman"/>
      <w:lvlText w:val="%6."/>
      <w:lvlJc w:val="right"/>
      <w:pPr>
        <w:ind w:left="4462" w:hanging="180"/>
      </w:pPr>
    </w:lvl>
    <w:lvl w:ilvl="6" w:tplc="041B000F">
      <w:start w:val="1"/>
      <w:numFmt w:val="decimal"/>
      <w:lvlText w:val="%7."/>
      <w:lvlJc w:val="left"/>
      <w:pPr>
        <w:ind w:left="5182" w:hanging="360"/>
      </w:pPr>
    </w:lvl>
    <w:lvl w:ilvl="7" w:tplc="041B0019">
      <w:start w:val="1"/>
      <w:numFmt w:val="lowerLetter"/>
      <w:lvlText w:val="%8."/>
      <w:lvlJc w:val="left"/>
      <w:pPr>
        <w:ind w:left="5902" w:hanging="360"/>
      </w:pPr>
    </w:lvl>
    <w:lvl w:ilvl="8" w:tplc="041B001B">
      <w:start w:val="1"/>
      <w:numFmt w:val="lowerRoman"/>
      <w:lvlText w:val="%9."/>
      <w:lvlJc w:val="right"/>
      <w:pPr>
        <w:ind w:left="6622"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AEE"/>
    <w:rsid w:val="00003603"/>
    <w:rsid w:val="0003661C"/>
    <w:rsid w:val="00115F48"/>
    <w:rsid w:val="00177D23"/>
    <w:rsid w:val="001A0354"/>
    <w:rsid w:val="001B05BF"/>
    <w:rsid w:val="00202C91"/>
    <w:rsid w:val="0027298A"/>
    <w:rsid w:val="002B3CA8"/>
    <w:rsid w:val="002E38A0"/>
    <w:rsid w:val="003070B4"/>
    <w:rsid w:val="0038061D"/>
    <w:rsid w:val="0038076A"/>
    <w:rsid w:val="003920EB"/>
    <w:rsid w:val="00405307"/>
    <w:rsid w:val="004422B2"/>
    <w:rsid w:val="00497D8B"/>
    <w:rsid w:val="00500BA0"/>
    <w:rsid w:val="006470C7"/>
    <w:rsid w:val="006C5B81"/>
    <w:rsid w:val="00744CC2"/>
    <w:rsid w:val="007E7829"/>
    <w:rsid w:val="00843F47"/>
    <w:rsid w:val="00892DB9"/>
    <w:rsid w:val="00953921"/>
    <w:rsid w:val="00971AEE"/>
    <w:rsid w:val="009D36B8"/>
    <w:rsid w:val="00AF5E53"/>
    <w:rsid w:val="00B0552B"/>
    <w:rsid w:val="00B248C1"/>
    <w:rsid w:val="00B35A74"/>
    <w:rsid w:val="00B945F3"/>
    <w:rsid w:val="00BB0817"/>
    <w:rsid w:val="00BB110E"/>
    <w:rsid w:val="00BF0FE0"/>
    <w:rsid w:val="00C14F45"/>
    <w:rsid w:val="00CE32E4"/>
    <w:rsid w:val="00CF130F"/>
    <w:rsid w:val="00CF3AF3"/>
    <w:rsid w:val="00CF6C8E"/>
    <w:rsid w:val="00D24AA9"/>
    <w:rsid w:val="00D27CD3"/>
    <w:rsid w:val="00D3548C"/>
    <w:rsid w:val="00D403B5"/>
    <w:rsid w:val="00D76420"/>
    <w:rsid w:val="00DD71BB"/>
    <w:rsid w:val="00E41E4F"/>
    <w:rsid w:val="00E65E68"/>
    <w:rsid w:val="00E833B8"/>
    <w:rsid w:val="00F630B9"/>
    <w:rsid w:val="00FB3893"/>
    <w:rsid w:val="00FC09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8BA9"/>
  <w15:chartTrackingRefBased/>
  <w15:docId w15:val="{97F9B86F-ED76-4C4B-9F26-0E2E8684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22B2"/>
    <w:pPr>
      <w:spacing w:line="256" w:lineRule="auto"/>
    </w:pPr>
  </w:style>
  <w:style w:type="paragraph" w:styleId="Nadpis4">
    <w:name w:val="heading 4"/>
    <w:basedOn w:val="Normlny"/>
    <w:link w:val="Nadpis4Char"/>
    <w:uiPriority w:val="9"/>
    <w:qFormat/>
    <w:rsid w:val="006C5B81"/>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6C5B81"/>
    <w:rPr>
      <w:rFonts w:ascii="Times New Roman" w:eastAsia="Times New Roman" w:hAnsi="Times New Roman" w:cs="Times New Roman"/>
      <w:b/>
      <w:bCs/>
      <w:sz w:val="24"/>
      <w:szCs w:val="24"/>
      <w:lang w:eastAsia="sk-SK"/>
    </w:rPr>
  </w:style>
  <w:style w:type="paragraph" w:styleId="Normlnywebov">
    <w:name w:val="Normal (Web)"/>
    <w:basedOn w:val="Normlny"/>
    <w:uiPriority w:val="99"/>
    <w:unhideWhenUsed/>
    <w:rsid w:val="006C5B8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6C5B81"/>
    <w:rPr>
      <w:color w:val="0000FF"/>
      <w:u w:val="single"/>
    </w:rPr>
  </w:style>
  <w:style w:type="character" w:styleId="Siln">
    <w:name w:val="Strong"/>
    <w:basedOn w:val="Predvolenpsmoodseku"/>
    <w:uiPriority w:val="22"/>
    <w:qFormat/>
    <w:rsid w:val="00BB110E"/>
    <w:rPr>
      <w:b/>
      <w:bCs/>
    </w:rPr>
  </w:style>
  <w:style w:type="paragraph" w:customStyle="1" w:styleId="Default">
    <w:name w:val="Default"/>
    <w:rsid w:val="006470C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Mriekatabuky1">
    <w:name w:val="Mriežka tabuľky1"/>
    <w:basedOn w:val="Normlnatabuka"/>
    <w:uiPriority w:val="59"/>
    <w:rsid w:val="004422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lny"/>
    <w:uiPriority w:val="99"/>
    <w:rsid w:val="002E38A0"/>
    <w:pPr>
      <w:spacing w:after="0" w:line="240" w:lineRule="auto"/>
    </w:pPr>
    <w:rPr>
      <w:rFonts w:ascii="Times New Roman" w:hAnsi="Times New Roman" w:cs="Times New Roman"/>
      <w:sz w:val="24"/>
      <w:szCs w:val="24"/>
      <w:lang w:eastAsia="sk-SK"/>
    </w:rPr>
  </w:style>
  <w:style w:type="paragraph" w:customStyle="1" w:styleId="xxmsonormal">
    <w:name w:val="x_xmsonormal"/>
    <w:basedOn w:val="Normlny"/>
    <w:rsid w:val="00DD71BB"/>
    <w:pPr>
      <w:spacing w:after="0" w:line="240" w:lineRule="auto"/>
    </w:pPr>
    <w:rPr>
      <w:rFonts w:ascii="Times New Roman" w:hAnsi="Times New Roman" w:cs="Times New Roman"/>
      <w:sz w:val="24"/>
      <w:szCs w:val="24"/>
      <w:lang w:eastAsia="sk-SK"/>
    </w:rPr>
  </w:style>
  <w:style w:type="character" w:styleId="Jemnodkaz">
    <w:name w:val="Subtle Reference"/>
    <w:basedOn w:val="Predvolenpsmoodseku"/>
    <w:uiPriority w:val="31"/>
    <w:qFormat/>
    <w:rsid w:val="00DD71B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971">
      <w:bodyDiv w:val="1"/>
      <w:marLeft w:val="0"/>
      <w:marRight w:val="0"/>
      <w:marTop w:val="0"/>
      <w:marBottom w:val="0"/>
      <w:divBdr>
        <w:top w:val="none" w:sz="0" w:space="0" w:color="auto"/>
        <w:left w:val="none" w:sz="0" w:space="0" w:color="auto"/>
        <w:bottom w:val="none" w:sz="0" w:space="0" w:color="auto"/>
        <w:right w:val="none" w:sz="0" w:space="0" w:color="auto"/>
      </w:divBdr>
    </w:div>
    <w:div w:id="110784392">
      <w:bodyDiv w:val="1"/>
      <w:marLeft w:val="0"/>
      <w:marRight w:val="0"/>
      <w:marTop w:val="0"/>
      <w:marBottom w:val="0"/>
      <w:divBdr>
        <w:top w:val="none" w:sz="0" w:space="0" w:color="auto"/>
        <w:left w:val="none" w:sz="0" w:space="0" w:color="auto"/>
        <w:bottom w:val="none" w:sz="0" w:space="0" w:color="auto"/>
        <w:right w:val="none" w:sz="0" w:space="0" w:color="auto"/>
      </w:divBdr>
    </w:div>
    <w:div w:id="116217631">
      <w:bodyDiv w:val="1"/>
      <w:marLeft w:val="0"/>
      <w:marRight w:val="0"/>
      <w:marTop w:val="0"/>
      <w:marBottom w:val="0"/>
      <w:divBdr>
        <w:top w:val="none" w:sz="0" w:space="0" w:color="auto"/>
        <w:left w:val="none" w:sz="0" w:space="0" w:color="auto"/>
        <w:bottom w:val="none" w:sz="0" w:space="0" w:color="auto"/>
        <w:right w:val="none" w:sz="0" w:space="0" w:color="auto"/>
      </w:divBdr>
    </w:div>
    <w:div w:id="149181208">
      <w:bodyDiv w:val="1"/>
      <w:marLeft w:val="0"/>
      <w:marRight w:val="0"/>
      <w:marTop w:val="0"/>
      <w:marBottom w:val="0"/>
      <w:divBdr>
        <w:top w:val="none" w:sz="0" w:space="0" w:color="auto"/>
        <w:left w:val="none" w:sz="0" w:space="0" w:color="auto"/>
        <w:bottom w:val="none" w:sz="0" w:space="0" w:color="auto"/>
        <w:right w:val="none" w:sz="0" w:space="0" w:color="auto"/>
      </w:divBdr>
      <w:divsChild>
        <w:div w:id="289820449">
          <w:marLeft w:val="0"/>
          <w:marRight w:val="0"/>
          <w:marTop w:val="0"/>
          <w:marBottom w:val="0"/>
          <w:divBdr>
            <w:top w:val="none" w:sz="0" w:space="0" w:color="auto"/>
            <w:left w:val="none" w:sz="0" w:space="0" w:color="auto"/>
            <w:bottom w:val="none" w:sz="0" w:space="0" w:color="auto"/>
            <w:right w:val="none" w:sz="0" w:space="0" w:color="auto"/>
          </w:divBdr>
          <w:divsChild>
            <w:div w:id="1931817541">
              <w:marLeft w:val="-225"/>
              <w:marRight w:val="-225"/>
              <w:marTop w:val="0"/>
              <w:marBottom w:val="0"/>
              <w:divBdr>
                <w:top w:val="none" w:sz="0" w:space="0" w:color="auto"/>
                <w:left w:val="none" w:sz="0" w:space="0" w:color="auto"/>
                <w:bottom w:val="none" w:sz="0" w:space="0" w:color="auto"/>
                <w:right w:val="none" w:sz="0" w:space="0" w:color="auto"/>
              </w:divBdr>
              <w:divsChild>
                <w:div w:id="1330401479">
                  <w:marLeft w:val="0"/>
                  <w:marRight w:val="0"/>
                  <w:marTop w:val="0"/>
                  <w:marBottom w:val="0"/>
                  <w:divBdr>
                    <w:top w:val="none" w:sz="0" w:space="0" w:color="auto"/>
                    <w:left w:val="none" w:sz="0" w:space="0" w:color="auto"/>
                    <w:bottom w:val="none" w:sz="0" w:space="0" w:color="auto"/>
                    <w:right w:val="none" w:sz="0" w:space="0" w:color="auto"/>
                  </w:divBdr>
                  <w:divsChild>
                    <w:div w:id="2332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6418">
          <w:marLeft w:val="0"/>
          <w:marRight w:val="0"/>
          <w:marTop w:val="0"/>
          <w:marBottom w:val="0"/>
          <w:divBdr>
            <w:top w:val="none" w:sz="0" w:space="0" w:color="auto"/>
            <w:left w:val="none" w:sz="0" w:space="0" w:color="auto"/>
            <w:bottom w:val="none" w:sz="0" w:space="0" w:color="auto"/>
            <w:right w:val="none" w:sz="0" w:space="0" w:color="auto"/>
          </w:divBdr>
          <w:divsChild>
            <w:div w:id="490756111">
              <w:marLeft w:val="0"/>
              <w:marRight w:val="0"/>
              <w:marTop w:val="0"/>
              <w:marBottom w:val="675"/>
              <w:divBdr>
                <w:top w:val="none" w:sz="0" w:space="0" w:color="auto"/>
                <w:left w:val="none" w:sz="0" w:space="0" w:color="auto"/>
                <w:bottom w:val="none" w:sz="0" w:space="0" w:color="auto"/>
                <w:right w:val="none" w:sz="0" w:space="0" w:color="auto"/>
              </w:divBdr>
            </w:div>
            <w:div w:id="1575704681">
              <w:marLeft w:val="0"/>
              <w:marRight w:val="0"/>
              <w:marTop w:val="0"/>
              <w:marBottom w:val="525"/>
              <w:divBdr>
                <w:top w:val="none" w:sz="0" w:space="0" w:color="auto"/>
                <w:left w:val="none" w:sz="0" w:space="0" w:color="auto"/>
                <w:bottom w:val="none" w:sz="0" w:space="0" w:color="auto"/>
                <w:right w:val="none" w:sz="0" w:space="0" w:color="auto"/>
              </w:divBdr>
              <w:divsChild>
                <w:div w:id="1481926626">
                  <w:marLeft w:val="0"/>
                  <w:marRight w:val="0"/>
                  <w:marTop w:val="0"/>
                  <w:marBottom w:val="0"/>
                  <w:divBdr>
                    <w:top w:val="none" w:sz="0" w:space="0" w:color="auto"/>
                    <w:left w:val="none" w:sz="0" w:space="0" w:color="auto"/>
                    <w:bottom w:val="none" w:sz="0" w:space="0" w:color="auto"/>
                    <w:right w:val="none" w:sz="0" w:space="0" w:color="auto"/>
                  </w:divBdr>
                </w:div>
              </w:divsChild>
            </w:div>
            <w:div w:id="94426860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44146476">
      <w:bodyDiv w:val="1"/>
      <w:marLeft w:val="0"/>
      <w:marRight w:val="0"/>
      <w:marTop w:val="0"/>
      <w:marBottom w:val="0"/>
      <w:divBdr>
        <w:top w:val="none" w:sz="0" w:space="0" w:color="auto"/>
        <w:left w:val="none" w:sz="0" w:space="0" w:color="auto"/>
        <w:bottom w:val="none" w:sz="0" w:space="0" w:color="auto"/>
        <w:right w:val="none" w:sz="0" w:space="0" w:color="auto"/>
      </w:divBdr>
    </w:div>
    <w:div w:id="305862353">
      <w:bodyDiv w:val="1"/>
      <w:marLeft w:val="0"/>
      <w:marRight w:val="0"/>
      <w:marTop w:val="0"/>
      <w:marBottom w:val="0"/>
      <w:divBdr>
        <w:top w:val="none" w:sz="0" w:space="0" w:color="auto"/>
        <w:left w:val="none" w:sz="0" w:space="0" w:color="auto"/>
        <w:bottom w:val="none" w:sz="0" w:space="0" w:color="auto"/>
        <w:right w:val="none" w:sz="0" w:space="0" w:color="auto"/>
      </w:divBdr>
    </w:div>
    <w:div w:id="307394567">
      <w:bodyDiv w:val="1"/>
      <w:marLeft w:val="0"/>
      <w:marRight w:val="0"/>
      <w:marTop w:val="0"/>
      <w:marBottom w:val="0"/>
      <w:divBdr>
        <w:top w:val="none" w:sz="0" w:space="0" w:color="auto"/>
        <w:left w:val="none" w:sz="0" w:space="0" w:color="auto"/>
        <w:bottom w:val="none" w:sz="0" w:space="0" w:color="auto"/>
        <w:right w:val="none" w:sz="0" w:space="0" w:color="auto"/>
      </w:divBdr>
    </w:div>
    <w:div w:id="553587675">
      <w:bodyDiv w:val="1"/>
      <w:marLeft w:val="0"/>
      <w:marRight w:val="0"/>
      <w:marTop w:val="0"/>
      <w:marBottom w:val="0"/>
      <w:divBdr>
        <w:top w:val="none" w:sz="0" w:space="0" w:color="auto"/>
        <w:left w:val="none" w:sz="0" w:space="0" w:color="auto"/>
        <w:bottom w:val="none" w:sz="0" w:space="0" w:color="auto"/>
        <w:right w:val="none" w:sz="0" w:space="0" w:color="auto"/>
      </w:divBdr>
    </w:div>
    <w:div w:id="600843878">
      <w:bodyDiv w:val="1"/>
      <w:marLeft w:val="0"/>
      <w:marRight w:val="0"/>
      <w:marTop w:val="0"/>
      <w:marBottom w:val="0"/>
      <w:divBdr>
        <w:top w:val="none" w:sz="0" w:space="0" w:color="auto"/>
        <w:left w:val="none" w:sz="0" w:space="0" w:color="auto"/>
        <w:bottom w:val="none" w:sz="0" w:space="0" w:color="auto"/>
        <w:right w:val="none" w:sz="0" w:space="0" w:color="auto"/>
      </w:divBdr>
    </w:div>
    <w:div w:id="653727170">
      <w:bodyDiv w:val="1"/>
      <w:marLeft w:val="0"/>
      <w:marRight w:val="0"/>
      <w:marTop w:val="0"/>
      <w:marBottom w:val="0"/>
      <w:divBdr>
        <w:top w:val="none" w:sz="0" w:space="0" w:color="auto"/>
        <w:left w:val="none" w:sz="0" w:space="0" w:color="auto"/>
        <w:bottom w:val="none" w:sz="0" w:space="0" w:color="auto"/>
        <w:right w:val="none" w:sz="0" w:space="0" w:color="auto"/>
      </w:divBdr>
    </w:div>
    <w:div w:id="1382049917">
      <w:bodyDiv w:val="1"/>
      <w:marLeft w:val="0"/>
      <w:marRight w:val="0"/>
      <w:marTop w:val="0"/>
      <w:marBottom w:val="0"/>
      <w:divBdr>
        <w:top w:val="none" w:sz="0" w:space="0" w:color="auto"/>
        <w:left w:val="none" w:sz="0" w:space="0" w:color="auto"/>
        <w:bottom w:val="none" w:sz="0" w:space="0" w:color="auto"/>
        <w:right w:val="none" w:sz="0" w:space="0" w:color="auto"/>
      </w:divBdr>
    </w:div>
    <w:div w:id="1453326875">
      <w:bodyDiv w:val="1"/>
      <w:marLeft w:val="0"/>
      <w:marRight w:val="0"/>
      <w:marTop w:val="0"/>
      <w:marBottom w:val="0"/>
      <w:divBdr>
        <w:top w:val="none" w:sz="0" w:space="0" w:color="auto"/>
        <w:left w:val="none" w:sz="0" w:space="0" w:color="auto"/>
        <w:bottom w:val="none" w:sz="0" w:space="0" w:color="auto"/>
        <w:right w:val="none" w:sz="0" w:space="0" w:color="auto"/>
      </w:divBdr>
    </w:div>
    <w:div w:id="1594586519">
      <w:bodyDiv w:val="1"/>
      <w:marLeft w:val="0"/>
      <w:marRight w:val="0"/>
      <w:marTop w:val="0"/>
      <w:marBottom w:val="0"/>
      <w:divBdr>
        <w:top w:val="none" w:sz="0" w:space="0" w:color="auto"/>
        <w:left w:val="none" w:sz="0" w:space="0" w:color="auto"/>
        <w:bottom w:val="none" w:sz="0" w:space="0" w:color="auto"/>
        <w:right w:val="none" w:sz="0" w:space="0" w:color="auto"/>
      </w:divBdr>
    </w:div>
    <w:div w:id="1790079268">
      <w:bodyDiv w:val="1"/>
      <w:marLeft w:val="0"/>
      <w:marRight w:val="0"/>
      <w:marTop w:val="0"/>
      <w:marBottom w:val="0"/>
      <w:divBdr>
        <w:top w:val="none" w:sz="0" w:space="0" w:color="auto"/>
        <w:left w:val="none" w:sz="0" w:space="0" w:color="auto"/>
        <w:bottom w:val="none" w:sz="0" w:space="0" w:color="auto"/>
        <w:right w:val="none" w:sz="0" w:space="0" w:color="auto"/>
      </w:divBdr>
    </w:div>
    <w:div w:id="1966425383">
      <w:bodyDiv w:val="1"/>
      <w:marLeft w:val="0"/>
      <w:marRight w:val="0"/>
      <w:marTop w:val="0"/>
      <w:marBottom w:val="0"/>
      <w:divBdr>
        <w:top w:val="none" w:sz="0" w:space="0" w:color="auto"/>
        <w:left w:val="none" w:sz="0" w:space="0" w:color="auto"/>
        <w:bottom w:val="none" w:sz="0" w:space="0" w:color="auto"/>
        <w:right w:val="none" w:sz="0" w:space="0" w:color="auto"/>
      </w:divBdr>
    </w:div>
    <w:div w:id="21228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2635</Words>
  <Characters>15022</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Zongorová Iveta</dc:creator>
  <cp:keywords/>
  <dc:description/>
  <cp:lastModifiedBy>Filipova Viera</cp:lastModifiedBy>
  <cp:revision>38</cp:revision>
  <dcterms:created xsi:type="dcterms:W3CDTF">2024-01-29T12:55:00Z</dcterms:created>
  <dcterms:modified xsi:type="dcterms:W3CDTF">2024-05-06T12:49:00Z</dcterms:modified>
</cp:coreProperties>
</file>