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02F" w:rsidRPr="000003D0" w:rsidRDefault="00DF002F" w:rsidP="00DF002F">
      <w:pPr>
        <w:spacing w:after="0" w:line="240" w:lineRule="auto"/>
        <w:jc w:val="both"/>
        <w:rPr>
          <w:rFonts w:ascii="Times New Roman" w:hAnsi="Times New Roman" w:cs="Times New Roman"/>
          <w:sz w:val="24"/>
          <w:szCs w:val="24"/>
        </w:rPr>
      </w:pPr>
    </w:p>
    <w:p w:rsidR="00DF002F" w:rsidRPr="000003D0" w:rsidRDefault="00DF002F" w:rsidP="00DF002F">
      <w:pPr>
        <w:pStyle w:val="Normlnywebov"/>
        <w:spacing w:before="0" w:beforeAutospacing="0" w:after="0" w:afterAutospacing="0"/>
        <w:jc w:val="center"/>
        <w:rPr>
          <w:sz w:val="22"/>
          <w:szCs w:val="22"/>
        </w:rPr>
      </w:pPr>
      <w:r w:rsidRPr="000003D0">
        <w:rPr>
          <w:b/>
          <w:bCs/>
          <w:caps/>
          <w:spacing w:val="30"/>
          <w:sz w:val="22"/>
          <w:szCs w:val="22"/>
        </w:rPr>
        <w:t>Dôvodová správa</w:t>
      </w:r>
      <w:r w:rsidRPr="000003D0">
        <w:rPr>
          <w:b/>
          <w:bCs/>
          <w:sz w:val="22"/>
          <w:szCs w:val="22"/>
        </w:rPr>
        <w:t> </w:t>
      </w:r>
    </w:p>
    <w:p w:rsidR="00DF002F" w:rsidRPr="000003D0" w:rsidRDefault="00DF002F" w:rsidP="00DF002F">
      <w:pPr>
        <w:pStyle w:val="Nadpis1"/>
        <w:jc w:val="left"/>
        <w:rPr>
          <w:rFonts w:ascii="Times New Roman" w:hAnsi="Times New Roman" w:cs="Times New Roman"/>
          <w:sz w:val="22"/>
          <w:szCs w:val="22"/>
        </w:rPr>
      </w:pPr>
      <w:r w:rsidRPr="000003D0">
        <w:rPr>
          <w:rFonts w:ascii="Times New Roman" w:hAnsi="Times New Roman" w:cs="Times New Roman"/>
          <w:sz w:val="22"/>
          <w:szCs w:val="22"/>
        </w:rPr>
        <w:t>A. Všeobecná časť</w:t>
      </w:r>
    </w:p>
    <w:p w:rsidR="00DF002F" w:rsidRPr="000003D0" w:rsidRDefault="00DF002F" w:rsidP="00DF002F">
      <w:pPr>
        <w:pStyle w:val="Normlnywebov"/>
        <w:spacing w:before="0" w:beforeAutospacing="0" w:after="0" w:afterAutospacing="0"/>
        <w:ind w:firstLine="708"/>
        <w:jc w:val="both"/>
      </w:pPr>
      <w:bookmarkStart w:id="0" w:name="_Hlk155369915"/>
    </w:p>
    <w:p w:rsidR="00DF002F" w:rsidRPr="000003D0" w:rsidRDefault="00DF002F" w:rsidP="00DF002F">
      <w:pPr>
        <w:pStyle w:val="Normlnywebov"/>
        <w:spacing w:before="0" w:beforeAutospacing="0" w:after="0" w:afterAutospacing="0"/>
        <w:ind w:firstLine="708"/>
        <w:jc w:val="both"/>
      </w:pPr>
      <w:r w:rsidRPr="000003D0">
        <w:t xml:space="preserve">Návrh zákona, </w:t>
      </w:r>
      <w:bookmarkStart w:id="1" w:name="_Hlk155370251"/>
      <w:r w:rsidRPr="000003D0">
        <w:t xml:space="preserve">ktorým sa mení a dopĺňa zákon, ktorým sa mení a dopĺňa zákon č. 581/2004 Z. z. o zdravotných poisťovniach, dohľade nad zdravotnou starostlivosťou a o zmene a doplnení niektorých zákonov v znení neskorších predpisov </w:t>
      </w:r>
      <w:bookmarkEnd w:id="0"/>
      <w:bookmarkEnd w:id="1"/>
      <w:r w:rsidRPr="000003D0">
        <w:t>(ďalej len „návrh zákona“) predkladá poslan</w:t>
      </w:r>
      <w:r>
        <w:t>e</w:t>
      </w:r>
      <w:r w:rsidRPr="000003D0">
        <w:t>c Nár</w:t>
      </w:r>
      <w:r>
        <w:t>odnej rady Slovenskej republiky Vladimír Baláž.</w:t>
      </w:r>
    </w:p>
    <w:p w:rsidR="00DF002F" w:rsidRPr="000003D0" w:rsidRDefault="00DF002F" w:rsidP="00DF002F">
      <w:pPr>
        <w:spacing w:after="0" w:line="240" w:lineRule="auto"/>
        <w:rPr>
          <w:rFonts w:ascii="Times New Roman" w:hAnsi="Times New Roman" w:cs="Times New Roman"/>
          <w:b/>
          <w:bCs/>
          <w:sz w:val="24"/>
          <w:szCs w:val="24"/>
        </w:rPr>
      </w:pPr>
    </w:p>
    <w:p w:rsidR="00DF002F" w:rsidRPr="000003D0" w:rsidRDefault="00DF002F" w:rsidP="00DF002F">
      <w:pPr>
        <w:spacing w:after="0" w:line="240" w:lineRule="auto"/>
        <w:ind w:firstLine="708"/>
        <w:jc w:val="both"/>
        <w:rPr>
          <w:rFonts w:ascii="Times New Roman" w:hAnsi="Times New Roman" w:cs="Times New Roman"/>
          <w:sz w:val="24"/>
          <w:szCs w:val="24"/>
        </w:rPr>
      </w:pPr>
      <w:r w:rsidRPr="000003D0">
        <w:rPr>
          <w:rFonts w:ascii="Times New Roman" w:hAnsi="Times New Roman" w:cs="Times New Roman"/>
          <w:bCs/>
          <w:sz w:val="24"/>
          <w:szCs w:val="24"/>
        </w:rPr>
        <w:t xml:space="preserve">Cieľom návrhu zákona je </w:t>
      </w:r>
      <w:r w:rsidRPr="000003D0">
        <w:rPr>
          <w:rFonts w:ascii="Times New Roman" w:hAnsi="Times New Roman" w:cs="Times New Roman"/>
          <w:sz w:val="24"/>
          <w:szCs w:val="24"/>
        </w:rPr>
        <w:t>efektívnejšie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 a zmierniť jednorazový finančný úbytok zdrojov na začiatku kalendárneho roka.</w:t>
      </w:r>
    </w:p>
    <w:p w:rsidR="00DF002F" w:rsidRPr="000003D0" w:rsidRDefault="00DF002F" w:rsidP="00DF002F">
      <w:pPr>
        <w:spacing w:after="0" w:line="240" w:lineRule="auto"/>
        <w:ind w:right="110" w:firstLine="708"/>
        <w:jc w:val="both"/>
        <w:rPr>
          <w:rFonts w:ascii="Times New Roman" w:hAnsi="Times New Roman" w:cs="Times New Roman"/>
          <w:sz w:val="24"/>
          <w:szCs w:val="24"/>
        </w:rPr>
      </w:pPr>
      <w:r w:rsidRPr="000003D0">
        <w:rPr>
          <w:rFonts w:ascii="Times New Roman" w:hAnsi="Times New Roman" w:cs="Times New Roman"/>
          <w:sz w:val="24"/>
          <w:szCs w:val="24"/>
        </w:rPr>
        <w:t>Výplata príspevkov 4 inštitúciám, Úradu pre dohľad nad zdravotnou starostlivosťou, Operačným strediskám tiesňového volania záchrannej zdravotnej služby, Národnému centru zdravotníckych informácií a Národnému inštitútu pre hodnotu a technológie v zdravotníctve,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rovnakom termíne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mesiaci január kalendárneho roka v</w:t>
      </w:r>
      <w:r w:rsidRPr="000003D0">
        <w:rPr>
          <w:rFonts w:ascii="Times New Roman" w:hAnsi="Times New Roman" w:cs="Times New Roman"/>
          <w:spacing w:val="-2"/>
          <w:sz w:val="24"/>
          <w:szCs w:val="24"/>
        </w:rPr>
        <w:t xml:space="preserve"> </w:t>
      </w:r>
      <w:r w:rsidRPr="000003D0">
        <w:rPr>
          <w:rFonts w:ascii="Times New Roman" w:hAnsi="Times New Roman" w:cs="Times New Roman"/>
          <w:sz w:val="24"/>
          <w:szCs w:val="24"/>
        </w:rPr>
        <w:t>plnej výške ročných príspevkov predstavuje pre zdravotné poisťovne vysoký jednorazový finančný výdavok a úbytok zdrojov hneď na začiatku kalendárneho roka.</w:t>
      </w:r>
    </w:p>
    <w:p w:rsidR="00DF002F" w:rsidRPr="000003D0" w:rsidRDefault="00DF002F" w:rsidP="00DF002F">
      <w:pPr>
        <w:spacing w:after="0" w:line="240" w:lineRule="auto"/>
        <w:ind w:right="112" w:firstLine="708"/>
        <w:jc w:val="both"/>
        <w:rPr>
          <w:rFonts w:ascii="Times New Roman" w:hAnsi="Times New Roman" w:cs="Times New Roman"/>
          <w:sz w:val="24"/>
          <w:szCs w:val="24"/>
        </w:rPr>
      </w:pPr>
      <w:r w:rsidRPr="000003D0">
        <w:rPr>
          <w:rFonts w:ascii="Times New Roman" w:hAnsi="Times New Roman" w:cs="Times New Roman"/>
          <w:sz w:val="24"/>
          <w:szCs w:val="24"/>
        </w:rPr>
        <w:t>Financovanie celého sektora verejného zdravotného poistenia je priebežné, ako napr. výber poistného od ekonomicky aktívnych obyvateľov, či</w:t>
      </w:r>
      <w:r w:rsidRPr="000003D0">
        <w:rPr>
          <w:rFonts w:ascii="Times New Roman" w:hAnsi="Times New Roman" w:cs="Times New Roman"/>
          <w:spacing w:val="-1"/>
          <w:sz w:val="24"/>
          <w:szCs w:val="24"/>
        </w:rPr>
        <w:t xml:space="preserve"> </w:t>
      </w:r>
      <w:r w:rsidRPr="000003D0">
        <w:rPr>
          <w:rFonts w:ascii="Times New Roman" w:hAnsi="Times New Roman" w:cs="Times New Roman"/>
          <w:sz w:val="24"/>
          <w:szCs w:val="24"/>
        </w:rPr>
        <w:t>výplata platieb za poistencov štátu. Máme za to, že platenie príspevkov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w:t>
      </w:r>
      <w:r w:rsidRPr="000003D0">
        <w:rPr>
          <w:rFonts w:ascii="Times New Roman" w:hAnsi="Times New Roman" w:cs="Times New Roman"/>
          <w:spacing w:val="-3"/>
          <w:sz w:val="24"/>
          <w:szCs w:val="24"/>
        </w:rPr>
        <w:t xml:space="preserve"> </w:t>
      </w:r>
      <w:r w:rsidRPr="000003D0">
        <w:rPr>
          <w:rFonts w:ascii="Times New Roman" w:hAnsi="Times New Roman" w:cs="Times New Roman"/>
          <w:sz w:val="24"/>
          <w:szCs w:val="24"/>
        </w:rPr>
        <w:t>štvrťročných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splátkach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prispeje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k efektívnejšiemu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w:t>
      </w:r>
    </w:p>
    <w:p w:rsidR="00DF002F" w:rsidRPr="000003D0" w:rsidRDefault="00DF002F" w:rsidP="00DF002F">
      <w:pPr>
        <w:spacing w:after="0" w:line="240" w:lineRule="auto"/>
        <w:jc w:val="both"/>
        <w:rPr>
          <w:rFonts w:ascii="Times New Roman" w:hAnsi="Times New Roman" w:cs="Times New Roman"/>
          <w:sz w:val="24"/>
          <w:szCs w:val="24"/>
        </w:rPr>
      </w:pPr>
    </w:p>
    <w:p w:rsidR="00DF002F" w:rsidRPr="000003D0" w:rsidRDefault="00DF002F" w:rsidP="00DF002F">
      <w:pPr>
        <w:spacing w:after="0" w:line="240" w:lineRule="auto"/>
        <w:ind w:right="112" w:firstLine="708"/>
        <w:jc w:val="both"/>
        <w:rPr>
          <w:rFonts w:ascii="Times New Roman" w:hAnsi="Times New Roman" w:cs="Times New Roman"/>
          <w:sz w:val="24"/>
          <w:szCs w:val="24"/>
        </w:rPr>
      </w:pPr>
      <w:r w:rsidRPr="000003D0">
        <w:rPr>
          <w:rFonts w:ascii="Times New Roman" w:hAnsi="Times New Roman" w:cs="Times New Roman"/>
          <w:sz w:val="24"/>
          <w:szCs w:val="24"/>
        </w:rPr>
        <w:t>V roku 2023 rástli výdavky na zdravotnú starostlivosť významne nad rámec očakávania vzhľadom na mimoriadne zvyšovanie platov ako aj dofinancovanie v roku 2023, čo sa premieta do výpočtu príspevkov v roku 2025. V roku 2022 bol novelizovaný zákon č. 581/2004 Z. z. (zákonom č. 518/2022 Z. z.) a navrhnuté príspevky na činnosť Operačného strediska záchrannej zdravotnej služby SR, Národného centra zdravotníckych informácií a Úradu pre dohľad nad zdravotnou starostlivosťou boli nastavené na očakávané príjmy verejného zdravotného poistenia o 1 mld. EUR vyššie. Navrhlo sa zníženie výšky percentuálnej sadzby príspevkov na činnosť Operačných stredísk tiesňového volania záchrannej zdravotnej služby, Národného centra zdravotníckych informácií a Úradu pre dohľad nad zdravotnou starostlivosťou v rámci balíčka na konsolidáciu verejných financií v tlači 97, avšak tento krok mal byť až s účinnosťou od rok 2025.</w:t>
      </w:r>
    </w:p>
    <w:p w:rsidR="00DF002F" w:rsidRPr="000003D0" w:rsidRDefault="00DF002F" w:rsidP="00DF002F">
      <w:pPr>
        <w:spacing w:after="0" w:line="240" w:lineRule="auto"/>
        <w:ind w:right="112" w:firstLine="708"/>
        <w:jc w:val="both"/>
        <w:rPr>
          <w:rFonts w:ascii="Times New Roman" w:hAnsi="Times New Roman" w:cs="Times New Roman"/>
          <w:sz w:val="24"/>
          <w:szCs w:val="24"/>
        </w:rPr>
      </w:pPr>
      <w:r w:rsidRPr="000003D0">
        <w:rPr>
          <w:rFonts w:ascii="Times New Roman" w:hAnsi="Times New Roman" w:cs="Times New Roman"/>
          <w:sz w:val="24"/>
          <w:szCs w:val="24"/>
        </w:rPr>
        <w:t>Príspevky na rok 2024 sa podľa zákona počítajú z rozhodnutia o ročnom prerozdeľovaní poistného za kalendárny rok 2022 zo sumy „Celková suma z ročného prerozdeľovania, na ktorú má zdravotná poisťovňa nárok po ročnom prerozdeľovaní“. Preto sa navrhuje v súlade so schváleným rozpočtom na rok 2024 povinnosť pre zdravotné poisťovne vyplatiť v roku 2024 doplatok k už vyplatenej sume.</w:t>
      </w:r>
    </w:p>
    <w:p w:rsidR="00DF002F" w:rsidRPr="000003D0" w:rsidRDefault="00DF002F" w:rsidP="00DF002F">
      <w:pPr>
        <w:spacing w:after="0" w:line="240" w:lineRule="auto"/>
        <w:jc w:val="both"/>
        <w:rPr>
          <w:rFonts w:ascii="Times New Roman" w:hAnsi="Times New Roman" w:cs="Times New Roman"/>
          <w:sz w:val="24"/>
          <w:szCs w:val="24"/>
        </w:rPr>
      </w:pPr>
    </w:p>
    <w:p w:rsidR="00DF002F" w:rsidRPr="000003D0" w:rsidRDefault="00DF002F" w:rsidP="00DF002F">
      <w:pPr>
        <w:spacing w:after="0" w:line="240" w:lineRule="auto"/>
        <w:ind w:firstLine="708"/>
        <w:jc w:val="both"/>
        <w:rPr>
          <w:rFonts w:ascii="Times New Roman" w:hAnsi="Times New Roman" w:cs="Times New Roman"/>
          <w:sz w:val="24"/>
          <w:szCs w:val="24"/>
        </w:rPr>
      </w:pPr>
      <w:r w:rsidRPr="000003D0">
        <w:rPr>
          <w:rFonts w:ascii="Times New Roman" w:hAnsi="Times New Roman" w:cs="Times New Roman"/>
          <w:sz w:val="24"/>
          <w:szCs w:val="24"/>
        </w:rPr>
        <w:t>Predkladaný návrh zákona nemá vplyv na rozpočet verejnej správy, podnikateľské prostredie, nemá sociálne vplyvy, nemá vplyvy na informatizáciu spoločnosti  ani vplyvy na životné prostredie. Návrh zákona taktiež nemá vplyv na služby verejnej správy pre občana ani na manželstvo, rodičovstvo a rodinu.</w:t>
      </w:r>
    </w:p>
    <w:p w:rsidR="00DF002F" w:rsidRPr="000003D0" w:rsidRDefault="00DF002F" w:rsidP="00DF002F">
      <w:pPr>
        <w:spacing w:after="0" w:line="240" w:lineRule="auto"/>
        <w:ind w:firstLine="708"/>
        <w:jc w:val="both"/>
        <w:rPr>
          <w:rFonts w:ascii="Times New Roman" w:hAnsi="Times New Roman" w:cs="Times New Roman"/>
          <w:sz w:val="24"/>
          <w:szCs w:val="24"/>
        </w:rPr>
      </w:pPr>
    </w:p>
    <w:p w:rsidR="00DF002F" w:rsidRDefault="00DF002F" w:rsidP="00DF002F">
      <w:pPr>
        <w:spacing w:after="0" w:line="240" w:lineRule="auto"/>
        <w:ind w:firstLine="708"/>
        <w:jc w:val="both"/>
        <w:rPr>
          <w:rFonts w:ascii="Times New Roman" w:hAnsi="Times New Roman" w:cs="Times New Roman"/>
          <w:sz w:val="24"/>
          <w:szCs w:val="24"/>
        </w:rPr>
      </w:pPr>
      <w:r w:rsidRPr="000003D0">
        <w:rPr>
          <w:rFonts w:ascii="Times New Roman" w:hAnsi="Times New Roman" w:cs="Times New Roman"/>
          <w:sz w:val="24"/>
          <w:szCs w:val="24"/>
        </w:rPr>
        <w:t>Návrh zákona je v súlade s ústavou, ústavnými zákonmi, nálezmi ústavného súdu, medzinárodnými zmluvami a inými medzinárodnými dokumentmi, ktorými je Slovenská republika viazaná, zákonmi a súčasne je v súlade s právom Európskej únie.</w:t>
      </w:r>
    </w:p>
    <w:p w:rsidR="00594EB7" w:rsidRDefault="00594EB7" w:rsidP="00DF002F">
      <w:pPr>
        <w:spacing w:after="0" w:line="240" w:lineRule="auto"/>
        <w:ind w:firstLine="708"/>
        <w:jc w:val="both"/>
        <w:rPr>
          <w:rFonts w:ascii="Times New Roman" w:hAnsi="Times New Roman" w:cs="Times New Roman"/>
          <w:sz w:val="24"/>
          <w:szCs w:val="24"/>
        </w:rPr>
      </w:pPr>
      <w:bookmarkStart w:id="2" w:name="_GoBack"/>
      <w:bookmarkEnd w:id="2"/>
    </w:p>
    <w:p w:rsidR="00594EB7" w:rsidRPr="000003D0" w:rsidRDefault="00594EB7" w:rsidP="00594EB7">
      <w:pPr>
        <w:spacing w:after="0" w:line="240" w:lineRule="auto"/>
        <w:jc w:val="both"/>
        <w:rPr>
          <w:rFonts w:ascii="Times New Roman" w:hAnsi="Times New Roman" w:cs="Times New Roman"/>
          <w:sz w:val="24"/>
          <w:szCs w:val="24"/>
        </w:rPr>
      </w:pPr>
      <w:bookmarkStart w:id="3" w:name="_Hlk112401678"/>
    </w:p>
    <w:p w:rsidR="00594EB7" w:rsidRPr="000003D0" w:rsidRDefault="00594EB7" w:rsidP="00594EB7">
      <w:pPr>
        <w:pStyle w:val="Odsekzoznamu"/>
        <w:numPr>
          <w:ilvl w:val="0"/>
          <w:numId w:val="1"/>
        </w:numPr>
        <w:spacing w:after="0" w:line="240" w:lineRule="auto"/>
        <w:jc w:val="both"/>
        <w:rPr>
          <w:rFonts w:ascii="Times New Roman" w:hAnsi="Times New Roman" w:cs="Times New Roman"/>
          <w:b/>
          <w:bCs/>
          <w:color w:val="000000"/>
          <w:sz w:val="24"/>
          <w:szCs w:val="24"/>
        </w:rPr>
      </w:pPr>
      <w:r w:rsidRPr="000003D0">
        <w:rPr>
          <w:rFonts w:ascii="Times New Roman" w:hAnsi="Times New Roman" w:cs="Times New Roman"/>
          <w:b/>
          <w:bCs/>
          <w:color w:val="000000"/>
          <w:sz w:val="24"/>
          <w:szCs w:val="24"/>
        </w:rPr>
        <w:lastRenderedPageBreak/>
        <w:t>Osobitná časť</w:t>
      </w:r>
    </w:p>
    <w:p w:rsidR="00594EB7" w:rsidRPr="000003D0" w:rsidRDefault="00594EB7" w:rsidP="00594EB7">
      <w:pPr>
        <w:spacing w:after="0" w:line="240" w:lineRule="auto"/>
        <w:ind w:firstLine="708"/>
        <w:jc w:val="both"/>
        <w:rPr>
          <w:rFonts w:ascii="Times New Roman" w:hAnsi="Times New Roman" w:cs="Times New Roman"/>
          <w:color w:val="000000"/>
          <w:sz w:val="24"/>
          <w:szCs w:val="24"/>
          <w:lang w:eastAsia="sk-SK"/>
        </w:rPr>
      </w:pPr>
    </w:p>
    <w:bookmarkEnd w:id="3"/>
    <w:p w:rsidR="00594EB7" w:rsidRPr="000003D0" w:rsidRDefault="00594EB7" w:rsidP="00594EB7">
      <w:pPr>
        <w:spacing w:after="0" w:line="240" w:lineRule="auto"/>
        <w:jc w:val="both"/>
        <w:rPr>
          <w:rFonts w:ascii="Times New Roman" w:hAnsi="Times New Roman" w:cs="Times New Roman"/>
          <w:b/>
          <w:sz w:val="24"/>
        </w:rPr>
      </w:pPr>
      <w:r w:rsidRPr="000003D0">
        <w:rPr>
          <w:rFonts w:ascii="Times New Roman" w:hAnsi="Times New Roman" w:cs="Times New Roman"/>
          <w:b/>
          <w:sz w:val="24"/>
        </w:rPr>
        <w:t>K Čl. I</w:t>
      </w:r>
    </w:p>
    <w:p w:rsidR="00594EB7" w:rsidRPr="000003D0" w:rsidRDefault="00594EB7" w:rsidP="00594EB7">
      <w:pPr>
        <w:spacing w:after="0" w:line="240" w:lineRule="auto"/>
        <w:ind w:right="110"/>
        <w:jc w:val="both"/>
        <w:rPr>
          <w:rFonts w:ascii="Times New Roman" w:hAnsi="Times New Roman" w:cs="Times New Roman"/>
          <w:sz w:val="24"/>
          <w:szCs w:val="24"/>
        </w:rPr>
      </w:pPr>
    </w:p>
    <w:p w:rsidR="00594EB7" w:rsidRPr="000003D0" w:rsidRDefault="00594EB7" w:rsidP="00594EB7">
      <w:pPr>
        <w:spacing w:after="0" w:line="240" w:lineRule="auto"/>
        <w:ind w:right="110"/>
        <w:jc w:val="both"/>
        <w:rPr>
          <w:rFonts w:ascii="Times New Roman" w:hAnsi="Times New Roman" w:cs="Times New Roman"/>
          <w:b/>
          <w:sz w:val="24"/>
          <w:szCs w:val="24"/>
        </w:rPr>
      </w:pPr>
      <w:r>
        <w:rPr>
          <w:rFonts w:ascii="Times New Roman" w:hAnsi="Times New Roman" w:cs="Times New Roman"/>
          <w:b/>
          <w:sz w:val="24"/>
          <w:szCs w:val="24"/>
        </w:rPr>
        <w:t>K bodom 1 až 5</w:t>
      </w:r>
    </w:p>
    <w:p w:rsidR="00594EB7" w:rsidRPr="000003D0" w:rsidRDefault="00594EB7" w:rsidP="00594EB7">
      <w:pPr>
        <w:spacing w:after="0" w:line="240" w:lineRule="auto"/>
        <w:ind w:right="110" w:firstLine="708"/>
        <w:jc w:val="both"/>
        <w:rPr>
          <w:rFonts w:ascii="Times New Roman" w:hAnsi="Times New Roman" w:cs="Times New Roman"/>
          <w:bCs/>
          <w:sz w:val="24"/>
          <w:szCs w:val="24"/>
        </w:rPr>
      </w:pPr>
      <w:r w:rsidRPr="000003D0">
        <w:rPr>
          <w:rFonts w:ascii="Times New Roman" w:hAnsi="Times New Roman" w:cs="Times New Roman"/>
          <w:sz w:val="24"/>
          <w:szCs w:val="24"/>
        </w:rPr>
        <w:t>Ustanovuje sa výplata príspevkov 4 inštitúciám, Úradu pre dohľad nad zdravotnou starostlivosťou, Operačným strediskám tiesňového volania záchrannej zdravotnej služby, Národnému centru zdravotníckych informácií a Národnému inštitútu pre hodnotu a technológie v zdravotníctve, v štyroch splátkach v priebehu, čím sa zabráni  jednorazovému finančnému výdavku a úbytku zdrojov hneď na začiatku kalendárneho roka.</w:t>
      </w:r>
      <w:r w:rsidRPr="000003D0">
        <w:rPr>
          <w:rFonts w:ascii="Times New Roman" w:hAnsi="Times New Roman" w:cs="Times New Roman"/>
          <w:bCs/>
          <w:sz w:val="24"/>
          <w:szCs w:val="24"/>
        </w:rPr>
        <w:t xml:space="preserve"> </w:t>
      </w:r>
    </w:p>
    <w:p w:rsidR="00594EB7" w:rsidRPr="000003D0" w:rsidRDefault="00594EB7" w:rsidP="00594EB7">
      <w:pPr>
        <w:spacing w:after="0" w:line="240" w:lineRule="auto"/>
        <w:ind w:right="110"/>
        <w:jc w:val="both"/>
        <w:rPr>
          <w:rFonts w:ascii="Times New Roman" w:hAnsi="Times New Roman" w:cs="Times New Roman"/>
          <w:sz w:val="24"/>
          <w:szCs w:val="24"/>
        </w:rPr>
      </w:pPr>
      <w:r w:rsidRPr="000003D0">
        <w:rPr>
          <w:rFonts w:ascii="Times New Roman" w:hAnsi="Times New Roman" w:cs="Times New Roman"/>
          <w:bCs/>
          <w:sz w:val="24"/>
          <w:szCs w:val="24"/>
        </w:rPr>
        <w:t xml:space="preserve">Cieľom návrhu zákona je </w:t>
      </w:r>
      <w:r w:rsidRPr="000003D0">
        <w:rPr>
          <w:rFonts w:ascii="Times New Roman" w:hAnsi="Times New Roman" w:cs="Times New Roman"/>
          <w:sz w:val="24"/>
          <w:szCs w:val="24"/>
        </w:rPr>
        <w:t>efektívnejšie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 a zmierniť jednorazový finančný úbytok zdrojov na začiatku kalendárneho roka. Financovanie celého sektora verejného zdravotného poistenia je priebežné, ako napr. výber poistného od ekonomicky aktívnych obyvateľov, či</w:t>
      </w:r>
      <w:r w:rsidRPr="000003D0">
        <w:rPr>
          <w:rFonts w:ascii="Times New Roman" w:hAnsi="Times New Roman" w:cs="Times New Roman"/>
          <w:spacing w:val="-1"/>
          <w:sz w:val="24"/>
          <w:szCs w:val="24"/>
        </w:rPr>
        <w:t xml:space="preserve"> </w:t>
      </w:r>
      <w:r w:rsidRPr="000003D0">
        <w:rPr>
          <w:rFonts w:ascii="Times New Roman" w:hAnsi="Times New Roman" w:cs="Times New Roman"/>
          <w:sz w:val="24"/>
          <w:szCs w:val="24"/>
        </w:rPr>
        <w:t>výplata platieb za poistencov štátu. Máme za to, že platenie príspevkov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w:t>
      </w:r>
      <w:r w:rsidRPr="000003D0">
        <w:rPr>
          <w:rFonts w:ascii="Times New Roman" w:hAnsi="Times New Roman" w:cs="Times New Roman"/>
          <w:spacing w:val="-3"/>
          <w:sz w:val="24"/>
          <w:szCs w:val="24"/>
        </w:rPr>
        <w:t xml:space="preserve"> </w:t>
      </w:r>
      <w:r w:rsidRPr="000003D0">
        <w:rPr>
          <w:rFonts w:ascii="Times New Roman" w:hAnsi="Times New Roman" w:cs="Times New Roman"/>
          <w:sz w:val="24"/>
          <w:szCs w:val="24"/>
        </w:rPr>
        <w:t>štvrťročných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splátkach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prispeje</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k efektívnejšiemu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riadeniu</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peňažných</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tokov</w:t>
      </w:r>
      <w:r w:rsidRPr="000003D0">
        <w:rPr>
          <w:rFonts w:ascii="Times New Roman" w:hAnsi="Times New Roman" w:cs="Times New Roman"/>
          <w:spacing w:val="40"/>
          <w:sz w:val="24"/>
          <w:szCs w:val="24"/>
        </w:rPr>
        <w:t xml:space="preserve"> </w:t>
      </w:r>
      <w:r w:rsidRPr="000003D0">
        <w:rPr>
          <w:rFonts w:ascii="Times New Roman" w:hAnsi="Times New Roman" w:cs="Times New Roman"/>
          <w:sz w:val="24"/>
          <w:szCs w:val="24"/>
        </w:rPr>
        <w:t>v rámci verejného zdravotného poistenia.</w:t>
      </w:r>
    </w:p>
    <w:p w:rsidR="00594EB7" w:rsidRPr="000003D0" w:rsidRDefault="00594EB7" w:rsidP="00594EB7">
      <w:pPr>
        <w:shd w:val="clear" w:color="auto" w:fill="FFFFFF"/>
        <w:spacing w:after="0" w:line="240" w:lineRule="auto"/>
        <w:jc w:val="both"/>
        <w:rPr>
          <w:rFonts w:ascii="Times New Roman" w:hAnsi="Times New Roman" w:cs="Times New Roman"/>
          <w:sz w:val="24"/>
          <w:szCs w:val="24"/>
        </w:rPr>
      </w:pPr>
    </w:p>
    <w:p w:rsidR="00594EB7" w:rsidRPr="000003D0" w:rsidRDefault="00594EB7" w:rsidP="00594EB7">
      <w:pPr>
        <w:spacing w:after="0" w:line="240" w:lineRule="auto"/>
        <w:jc w:val="both"/>
        <w:rPr>
          <w:rFonts w:ascii="Times New Roman" w:hAnsi="Times New Roman" w:cs="Times New Roman"/>
          <w:b/>
          <w:sz w:val="24"/>
          <w:szCs w:val="24"/>
        </w:rPr>
      </w:pPr>
      <w:r w:rsidRPr="000003D0">
        <w:rPr>
          <w:rFonts w:ascii="Times New Roman" w:hAnsi="Times New Roman" w:cs="Times New Roman"/>
          <w:b/>
          <w:sz w:val="24"/>
          <w:szCs w:val="24"/>
        </w:rPr>
        <w:t>K</w:t>
      </w:r>
      <w:r>
        <w:rPr>
          <w:rFonts w:ascii="Times New Roman" w:hAnsi="Times New Roman" w:cs="Times New Roman"/>
          <w:b/>
          <w:sz w:val="24"/>
          <w:szCs w:val="24"/>
        </w:rPr>
        <w:t xml:space="preserve"> bodom 6, 7 a </w:t>
      </w:r>
      <w:r w:rsidRPr="000003D0">
        <w:rPr>
          <w:rFonts w:ascii="Times New Roman" w:hAnsi="Times New Roman" w:cs="Times New Roman"/>
          <w:b/>
          <w:sz w:val="24"/>
          <w:szCs w:val="24"/>
        </w:rPr>
        <w:t>prílohe</w:t>
      </w:r>
    </w:p>
    <w:p w:rsidR="00594EB7" w:rsidRPr="000003D0" w:rsidRDefault="00594EB7" w:rsidP="00594EB7">
      <w:pPr>
        <w:spacing w:after="0" w:line="240" w:lineRule="auto"/>
        <w:ind w:right="112"/>
        <w:jc w:val="both"/>
        <w:rPr>
          <w:rFonts w:ascii="Times New Roman" w:hAnsi="Times New Roman" w:cs="Times New Roman"/>
          <w:sz w:val="24"/>
          <w:szCs w:val="24"/>
        </w:rPr>
      </w:pPr>
      <w:r w:rsidRPr="000003D0">
        <w:rPr>
          <w:rFonts w:ascii="Times New Roman" w:hAnsi="Times New Roman" w:cs="Times New Roman"/>
          <w:sz w:val="24"/>
          <w:szCs w:val="24"/>
        </w:rPr>
        <w:t>V roku 2023 rástli výdavky na zdravotnú starostlivosť významne nad rámec očakávania vzhľadom na mimoriadne zvyšovanie platov ako aj dofinancovanie v roku 2023, čo sa premieta do výpočtu príspevkov v roku 2025. V roku 2022 bol novelizovaný zákon č. 581/2004 Z. z. (zákonom č. 518/2022 Z. z.) a navrhnuté príspevky na činnosť Operačného strediska záchrannej zdravotnej služby SR, Národného centra zdravotníckych informácií a Úradu pre dohľad nad zdravotnou starostlivosťou boli nastavené na očakávané príjmy verejného zdravotného poistenia o 1 mld. EUR vyššie. Navrhlo sa preto zníženie výšky percentuálnej sadzby príspevkov na činnosť Operačných stredísk tiesňového volania záchrannej zdravotnej služby, Národného centra zdravotníckych informácií a Úradu pre dohľad nad zdravotnou starostlivosťou v rámci balíčka na konsolidáciu verejných financií v tlači 97, avšak tento krok mal byť až s účinnosťou od rok 2025.</w:t>
      </w:r>
    </w:p>
    <w:p w:rsidR="00594EB7" w:rsidRPr="000003D0" w:rsidRDefault="00594EB7" w:rsidP="00594EB7">
      <w:pPr>
        <w:spacing w:after="0" w:line="240" w:lineRule="auto"/>
        <w:ind w:right="112"/>
        <w:jc w:val="both"/>
        <w:rPr>
          <w:rFonts w:ascii="Times New Roman" w:hAnsi="Times New Roman" w:cs="Times New Roman"/>
          <w:sz w:val="24"/>
          <w:szCs w:val="24"/>
        </w:rPr>
      </w:pPr>
      <w:r w:rsidRPr="000003D0">
        <w:rPr>
          <w:rFonts w:ascii="Times New Roman" w:hAnsi="Times New Roman" w:cs="Times New Roman"/>
          <w:sz w:val="24"/>
          <w:szCs w:val="24"/>
        </w:rPr>
        <w:t>Príspevky na rok 2024 sa podľa zákona počítajú z rozhodnutia o ročnom prerozdeľovaní poistného za kalendárny rok 2022 zo sumy „Celková suma z ročného prerozdeľovania, na ktorú má zdravotná poisťovňa nárok po ročnom prerozdeľovaní“, kedy príjmy verejného zdravotného poistenia boli nižšie.</w:t>
      </w:r>
    </w:p>
    <w:p w:rsidR="00594EB7" w:rsidRPr="000003D0" w:rsidRDefault="00594EB7" w:rsidP="00594EB7">
      <w:pPr>
        <w:spacing w:after="0" w:line="240" w:lineRule="auto"/>
        <w:jc w:val="both"/>
        <w:rPr>
          <w:rFonts w:ascii="Times New Roman" w:hAnsi="Times New Roman" w:cs="Times New Roman"/>
          <w:sz w:val="24"/>
          <w:szCs w:val="24"/>
        </w:rPr>
      </w:pPr>
    </w:p>
    <w:p w:rsidR="00594EB7" w:rsidRPr="000003D0" w:rsidRDefault="00594EB7" w:rsidP="00594EB7">
      <w:pPr>
        <w:spacing w:after="0" w:line="240" w:lineRule="auto"/>
        <w:jc w:val="both"/>
        <w:rPr>
          <w:rFonts w:ascii="Times New Roman" w:hAnsi="Times New Roman" w:cs="Times New Roman"/>
          <w:sz w:val="24"/>
          <w:szCs w:val="24"/>
        </w:rPr>
      </w:pPr>
      <w:r w:rsidRPr="000003D0">
        <w:rPr>
          <w:rFonts w:ascii="Times New Roman" w:hAnsi="Times New Roman" w:cs="Times New Roman"/>
          <w:sz w:val="24"/>
          <w:szCs w:val="24"/>
        </w:rPr>
        <w:t>Pred znížením sadzieb by išlo o takýto výpočet z celkovej sumy z ročného prerozdeľovania, na ktorú má zdravotná poisťovňa nárok po ročnom prerozdeľovaní z roku 2022:</w:t>
      </w:r>
    </w:p>
    <w:tbl>
      <w:tblPr>
        <w:tblW w:w="9788" w:type="dxa"/>
        <w:tblCellMar>
          <w:left w:w="70" w:type="dxa"/>
          <w:right w:w="70" w:type="dxa"/>
        </w:tblCellMar>
        <w:tblLook w:val="04A0" w:firstRow="1" w:lastRow="0" w:firstColumn="1" w:lastColumn="0" w:noHBand="0" w:noVBand="1"/>
      </w:tblPr>
      <w:tblGrid>
        <w:gridCol w:w="3573"/>
        <w:gridCol w:w="1205"/>
        <w:gridCol w:w="1354"/>
        <w:gridCol w:w="1354"/>
        <w:gridCol w:w="1224"/>
        <w:gridCol w:w="1078"/>
      </w:tblGrid>
      <w:tr w:rsidR="00594EB7" w:rsidRPr="000003D0" w:rsidTr="00DB0FFE">
        <w:trPr>
          <w:trHeight w:val="319"/>
        </w:trPr>
        <w:tc>
          <w:tcPr>
            <w:tcW w:w="3573" w:type="dxa"/>
            <w:tcBorders>
              <w:top w:val="nil"/>
              <w:left w:val="nil"/>
              <w:bottom w:val="nil"/>
              <w:right w:val="nil"/>
            </w:tcBorders>
            <w:shd w:val="clear" w:color="000000" w:fill="FFFF00"/>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Novela č. 518/2022 Z. z.</w:t>
            </w:r>
          </w:p>
        </w:tc>
        <w:tc>
          <w:tcPr>
            <w:tcW w:w="1205" w:type="dxa"/>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p>
        </w:tc>
        <w:tc>
          <w:tcPr>
            <w:tcW w:w="1354" w:type="dxa"/>
            <w:tcBorders>
              <w:top w:val="nil"/>
              <w:left w:val="nil"/>
              <w:bottom w:val="nil"/>
              <w:right w:val="nil"/>
            </w:tcBorders>
            <w:shd w:val="clear" w:color="auto" w:fill="auto"/>
            <w:noWrap/>
            <w:vAlign w:val="bottom"/>
            <w:hideMark/>
          </w:tcPr>
          <w:p w:rsidR="00594EB7" w:rsidRPr="000003D0" w:rsidRDefault="00594EB7" w:rsidP="00DB0FFE">
            <w:pPr>
              <w:spacing w:after="0" w:line="240" w:lineRule="auto"/>
              <w:jc w:val="center"/>
              <w:rPr>
                <w:rFonts w:ascii="Times New Roman" w:eastAsia="Times New Roman" w:hAnsi="Times New Roman" w:cs="Times New Roman"/>
                <w:sz w:val="20"/>
                <w:szCs w:val="20"/>
                <w:lang w:eastAsia="sk-SK"/>
              </w:rPr>
            </w:pPr>
          </w:p>
        </w:tc>
        <w:tc>
          <w:tcPr>
            <w:tcW w:w="1354" w:type="dxa"/>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p>
        </w:tc>
        <w:tc>
          <w:tcPr>
            <w:tcW w:w="1224" w:type="dxa"/>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p>
        </w:tc>
        <w:tc>
          <w:tcPr>
            <w:tcW w:w="1078" w:type="dxa"/>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p>
        </w:tc>
      </w:tr>
      <w:tr w:rsidR="00594EB7" w:rsidRPr="000003D0" w:rsidTr="00DB0FFE">
        <w:trPr>
          <w:trHeight w:val="319"/>
        </w:trPr>
        <w:tc>
          <w:tcPr>
            <w:tcW w:w="3573" w:type="dxa"/>
            <w:vMerge w:val="restart"/>
            <w:tcBorders>
              <w:top w:val="single" w:sz="8" w:space="0" w:color="auto"/>
              <w:left w:val="single" w:sz="8" w:space="0" w:color="auto"/>
              <w:bottom w:val="nil"/>
              <w:right w:val="single" w:sz="8" w:space="0" w:color="000000"/>
            </w:tcBorders>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205" w:type="dxa"/>
            <w:vMerge w:val="restart"/>
            <w:tcBorders>
              <w:top w:val="single" w:sz="8" w:space="0" w:color="auto"/>
              <w:left w:val="single" w:sz="8" w:space="0" w:color="000000"/>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5010" w:type="dxa"/>
            <w:gridSpan w:val="4"/>
            <w:tcBorders>
              <w:top w:val="single" w:sz="8" w:space="0" w:color="auto"/>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
        </w:tc>
      </w:tr>
      <w:tr w:rsidR="00594EB7" w:rsidRPr="000003D0" w:rsidTr="00DB0FFE">
        <w:trPr>
          <w:trHeight w:val="226"/>
        </w:trPr>
        <w:tc>
          <w:tcPr>
            <w:tcW w:w="3573" w:type="dxa"/>
            <w:vMerge/>
            <w:tcBorders>
              <w:top w:val="single" w:sz="8" w:space="0" w:color="auto"/>
              <w:left w:val="single" w:sz="8" w:space="0" w:color="auto"/>
              <w:bottom w:val="nil"/>
              <w:right w:val="single" w:sz="8" w:space="0" w:color="000000"/>
            </w:tcBorders>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p>
        </w:tc>
        <w:tc>
          <w:tcPr>
            <w:tcW w:w="1205" w:type="dxa"/>
            <w:vMerge/>
            <w:tcBorders>
              <w:top w:val="single" w:sz="8" w:space="0" w:color="auto"/>
              <w:left w:val="single" w:sz="8" w:space="0" w:color="000000"/>
              <w:bottom w:val="single" w:sz="8" w:space="0" w:color="000000"/>
              <w:right w:val="single" w:sz="8" w:space="0" w:color="000000"/>
            </w:tcBorders>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p>
        </w:tc>
        <w:tc>
          <w:tcPr>
            <w:tcW w:w="1354" w:type="dxa"/>
            <w:tcBorders>
              <w:top w:val="nil"/>
              <w:left w:val="single" w:sz="8" w:space="0" w:color="000000"/>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ind w:firstLineChars="100" w:firstLine="180"/>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54" w:type="dxa"/>
            <w:tcBorders>
              <w:top w:val="nil"/>
              <w:left w:val="single" w:sz="8" w:space="0" w:color="000000"/>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ind w:firstLineChars="100" w:firstLine="180"/>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24" w:type="dxa"/>
            <w:tcBorders>
              <w:top w:val="nil"/>
              <w:left w:val="nil"/>
              <w:right w:val="single" w:sz="8" w:space="0" w:color="000000"/>
            </w:tcBorders>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078" w:type="dxa"/>
            <w:tcBorders>
              <w:top w:val="nil"/>
              <w:left w:val="nil"/>
              <w:right w:val="single" w:sz="8" w:space="0" w:color="000000"/>
            </w:tcBorders>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594EB7" w:rsidRPr="000003D0" w:rsidTr="00DB0FFE">
        <w:trPr>
          <w:trHeight w:val="501"/>
        </w:trPr>
        <w:tc>
          <w:tcPr>
            <w:tcW w:w="3573" w:type="dxa"/>
            <w:tcBorders>
              <w:top w:val="single" w:sz="8" w:space="0" w:color="auto"/>
              <w:left w:val="single" w:sz="8" w:space="0" w:color="auto"/>
              <w:bottom w:val="single" w:sz="8" w:space="0" w:color="auto"/>
              <w:right w:val="single" w:sz="8" w:space="0" w:color="auto"/>
            </w:tcBorders>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205" w:type="dxa"/>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54" w:type="dxa"/>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24" w:type="dxa"/>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078" w:type="dxa"/>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594EB7" w:rsidRPr="000003D0" w:rsidTr="00DB0FFE">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ÚDZS</w:t>
            </w:r>
          </w:p>
        </w:tc>
        <w:tc>
          <w:tcPr>
            <w:tcW w:w="1205"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0,45%</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24 920 564</w:t>
            </w:r>
          </w:p>
        </w:tc>
        <w:tc>
          <w:tcPr>
            <w:tcW w:w="135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15 763 044</w:t>
            </w:r>
          </w:p>
        </w:tc>
        <w:tc>
          <w:tcPr>
            <w:tcW w:w="122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6 922 368</w:t>
            </w:r>
          </w:p>
        </w:tc>
        <w:tc>
          <w:tcPr>
            <w:tcW w:w="1078"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2 235 152</w:t>
            </w:r>
          </w:p>
        </w:tc>
      </w:tr>
      <w:tr w:rsidR="00594EB7" w:rsidRPr="000003D0" w:rsidTr="00DB0FFE">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NCZI</w:t>
            </w:r>
          </w:p>
        </w:tc>
        <w:tc>
          <w:tcPr>
            <w:tcW w:w="1205"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0,55%</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30 458 467</w:t>
            </w:r>
          </w:p>
        </w:tc>
        <w:tc>
          <w:tcPr>
            <w:tcW w:w="135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19 265 942</w:t>
            </w:r>
          </w:p>
        </w:tc>
        <w:tc>
          <w:tcPr>
            <w:tcW w:w="122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8 460 672</w:t>
            </w:r>
          </w:p>
        </w:tc>
        <w:tc>
          <w:tcPr>
            <w:tcW w:w="1078"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2 731 853</w:t>
            </w:r>
          </w:p>
        </w:tc>
      </w:tr>
      <w:tr w:rsidR="00594EB7" w:rsidRPr="000003D0" w:rsidTr="00DB0FFE">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operačných stredísk</w:t>
            </w:r>
          </w:p>
        </w:tc>
        <w:tc>
          <w:tcPr>
            <w:tcW w:w="1205"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0,45%</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24 920 564</w:t>
            </w:r>
          </w:p>
        </w:tc>
        <w:tc>
          <w:tcPr>
            <w:tcW w:w="135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15 763 044</w:t>
            </w:r>
          </w:p>
        </w:tc>
        <w:tc>
          <w:tcPr>
            <w:tcW w:w="122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6 922 368</w:t>
            </w:r>
          </w:p>
        </w:tc>
        <w:tc>
          <w:tcPr>
            <w:tcW w:w="1078"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2 235 152</w:t>
            </w:r>
          </w:p>
        </w:tc>
      </w:tr>
      <w:tr w:rsidR="00594EB7" w:rsidRPr="000003D0" w:rsidTr="00DB0FFE">
        <w:trPr>
          <w:trHeight w:val="319"/>
        </w:trPr>
        <w:tc>
          <w:tcPr>
            <w:tcW w:w="3573"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NIHO</w:t>
            </w:r>
          </w:p>
        </w:tc>
        <w:tc>
          <w:tcPr>
            <w:tcW w:w="1205" w:type="dxa"/>
            <w:tcBorders>
              <w:top w:val="nil"/>
              <w:left w:val="nil"/>
              <w:bottom w:val="nil"/>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0,032%</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1 772 129</w:t>
            </w:r>
          </w:p>
        </w:tc>
        <w:tc>
          <w:tcPr>
            <w:tcW w:w="1354" w:type="dxa"/>
            <w:tcBorders>
              <w:top w:val="nil"/>
              <w:left w:val="nil"/>
              <w:bottom w:val="nil"/>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1 120 928</w:t>
            </w:r>
          </w:p>
        </w:tc>
        <w:tc>
          <w:tcPr>
            <w:tcW w:w="1224" w:type="dxa"/>
            <w:tcBorders>
              <w:top w:val="nil"/>
              <w:left w:val="nil"/>
              <w:bottom w:val="nil"/>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492 257</w:t>
            </w:r>
          </w:p>
        </w:tc>
        <w:tc>
          <w:tcPr>
            <w:tcW w:w="1078" w:type="dxa"/>
            <w:tcBorders>
              <w:top w:val="nil"/>
              <w:left w:val="nil"/>
              <w:bottom w:val="nil"/>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158 944</w:t>
            </w:r>
          </w:p>
        </w:tc>
      </w:tr>
      <w:tr w:rsidR="00594EB7" w:rsidRPr="000003D0" w:rsidTr="00DB0FFE">
        <w:trPr>
          <w:trHeight w:val="319"/>
        </w:trPr>
        <w:tc>
          <w:tcPr>
            <w:tcW w:w="3573" w:type="dxa"/>
            <w:tcBorders>
              <w:top w:val="nil"/>
              <w:left w:val="single" w:sz="8" w:space="0" w:color="auto"/>
              <w:bottom w:val="single" w:sz="8" w:space="0" w:color="auto"/>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205" w:type="dxa"/>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1,48%</w:t>
            </w:r>
          </w:p>
        </w:tc>
        <w:tc>
          <w:tcPr>
            <w:tcW w:w="1354" w:type="dxa"/>
            <w:tcBorders>
              <w:top w:val="nil"/>
              <w:left w:val="nil"/>
              <w:bottom w:val="single" w:sz="8" w:space="0" w:color="auto"/>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82 071 724</w:t>
            </w:r>
          </w:p>
        </w:tc>
        <w:tc>
          <w:tcPr>
            <w:tcW w:w="1354" w:type="dxa"/>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51 912 957</w:t>
            </w:r>
          </w:p>
        </w:tc>
        <w:tc>
          <w:tcPr>
            <w:tcW w:w="1224" w:type="dxa"/>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22 797 666</w:t>
            </w:r>
          </w:p>
        </w:tc>
        <w:tc>
          <w:tcPr>
            <w:tcW w:w="1078" w:type="dxa"/>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spacing w:after="0" w:line="240" w:lineRule="auto"/>
              <w:jc w:val="center"/>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7 361 101</w:t>
            </w:r>
          </w:p>
        </w:tc>
      </w:tr>
    </w:tbl>
    <w:p w:rsidR="00594EB7" w:rsidRPr="000003D0" w:rsidRDefault="00594EB7" w:rsidP="00594EB7">
      <w:pPr>
        <w:spacing w:after="0" w:line="240" w:lineRule="auto"/>
        <w:jc w:val="both"/>
        <w:rPr>
          <w:rFonts w:ascii="Times New Roman" w:hAnsi="Times New Roman" w:cs="Times New Roman"/>
          <w:sz w:val="24"/>
          <w:szCs w:val="24"/>
        </w:rPr>
      </w:pPr>
    </w:p>
    <w:p w:rsidR="00594EB7" w:rsidRPr="000003D0" w:rsidRDefault="00594EB7" w:rsidP="00594EB7">
      <w:pPr>
        <w:spacing w:after="0" w:line="240" w:lineRule="auto"/>
        <w:jc w:val="both"/>
        <w:rPr>
          <w:rFonts w:ascii="Times New Roman" w:hAnsi="Times New Roman" w:cs="Times New Roman"/>
          <w:sz w:val="24"/>
          <w:szCs w:val="24"/>
        </w:rPr>
      </w:pPr>
      <w:r w:rsidRPr="000003D0">
        <w:rPr>
          <w:rFonts w:ascii="Times New Roman" w:hAnsi="Times New Roman" w:cs="Times New Roman"/>
          <w:sz w:val="24"/>
          <w:szCs w:val="24"/>
        </w:rPr>
        <w:t>Po znížení sadzieb (tlač 97) ide o takýto výpočet z celkovej sumy z ročného prerozdeľovania, na ktorú má zdravotná poisťovňa nárok po ročnom prerozdeľovaní z roku 2022:</w:t>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73"/>
        <w:gridCol w:w="1205"/>
        <w:gridCol w:w="1354"/>
        <w:gridCol w:w="1354"/>
        <w:gridCol w:w="1224"/>
        <w:gridCol w:w="1078"/>
      </w:tblGrid>
      <w:tr w:rsidR="00594EB7" w:rsidRPr="000003D0" w:rsidTr="00DB0FFE">
        <w:trPr>
          <w:trHeight w:val="305"/>
        </w:trPr>
        <w:tc>
          <w:tcPr>
            <w:tcW w:w="9788" w:type="dxa"/>
            <w:gridSpan w:val="6"/>
            <w:shd w:val="clear" w:color="000000" w:fill="FFFF00"/>
            <w:vAlign w:val="center"/>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r w:rsidRPr="000003D0">
              <w:rPr>
                <w:rFonts w:ascii="Times New Roman" w:eastAsia="Times New Roman" w:hAnsi="Times New Roman" w:cs="Times New Roman"/>
                <w:sz w:val="18"/>
                <w:szCs w:val="18"/>
                <w:lang w:eastAsia="sk-SK"/>
              </w:rPr>
              <w:lastRenderedPageBreak/>
              <w:t>Konsolidačný balíček</w:t>
            </w:r>
          </w:p>
        </w:tc>
      </w:tr>
      <w:tr w:rsidR="00594EB7" w:rsidRPr="000003D0" w:rsidTr="00DB0FFE">
        <w:trPr>
          <w:trHeight w:val="305"/>
        </w:trPr>
        <w:tc>
          <w:tcPr>
            <w:tcW w:w="3573" w:type="dxa"/>
            <w:vMerge w:val="restart"/>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205" w:type="dxa"/>
            <w:vMerge w:val="restart"/>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5010" w:type="dxa"/>
            <w:gridSpan w:val="4"/>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príspevky vyplatené do 20.1.2024</w:t>
            </w:r>
          </w:p>
        </w:tc>
      </w:tr>
      <w:tr w:rsidR="00594EB7" w:rsidRPr="000003D0" w:rsidTr="00DB0FFE">
        <w:trPr>
          <w:trHeight w:val="160"/>
        </w:trPr>
        <w:tc>
          <w:tcPr>
            <w:tcW w:w="3573" w:type="dxa"/>
            <w:vMerge/>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p>
        </w:tc>
        <w:tc>
          <w:tcPr>
            <w:tcW w:w="1205" w:type="dxa"/>
            <w:vMerge/>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p>
        </w:tc>
        <w:tc>
          <w:tcPr>
            <w:tcW w:w="1354" w:type="dxa"/>
            <w:shd w:val="clear" w:color="000000" w:fill="FAE3D4"/>
            <w:vAlign w:val="center"/>
            <w:hideMark/>
          </w:tcPr>
          <w:p w:rsidR="00594EB7" w:rsidRPr="000003D0" w:rsidRDefault="00594EB7" w:rsidP="00DB0FFE">
            <w:pPr>
              <w:spacing w:after="0" w:line="240" w:lineRule="auto"/>
              <w:ind w:firstLineChars="100" w:firstLine="180"/>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54" w:type="dxa"/>
            <w:shd w:val="clear" w:color="000000" w:fill="F4AF83"/>
            <w:vAlign w:val="center"/>
            <w:hideMark/>
          </w:tcPr>
          <w:p w:rsidR="00594EB7" w:rsidRPr="000003D0" w:rsidRDefault="00594EB7" w:rsidP="00DB0FFE">
            <w:pPr>
              <w:spacing w:after="0" w:line="240" w:lineRule="auto"/>
              <w:ind w:firstLineChars="100" w:firstLine="180"/>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24" w:type="dxa"/>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078" w:type="dxa"/>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594EB7" w:rsidRPr="000003D0" w:rsidTr="00DB0FFE">
        <w:trPr>
          <w:trHeight w:val="479"/>
        </w:trPr>
        <w:tc>
          <w:tcPr>
            <w:tcW w:w="3573" w:type="dxa"/>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205" w:type="dxa"/>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54" w:type="dxa"/>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54" w:type="dxa"/>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24" w:type="dxa"/>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078" w:type="dxa"/>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594EB7" w:rsidRPr="000003D0" w:rsidTr="00DB0FFE">
        <w:trPr>
          <w:trHeight w:val="305"/>
        </w:trPr>
        <w:tc>
          <w:tcPr>
            <w:tcW w:w="3573" w:type="dxa"/>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ÚDZS</w:t>
            </w:r>
          </w:p>
        </w:tc>
        <w:tc>
          <w:tcPr>
            <w:tcW w:w="1205"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0,40%</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22 151 612</w:t>
            </w:r>
          </w:p>
        </w:tc>
        <w:tc>
          <w:tcPr>
            <w:tcW w:w="135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14 011 594</w:t>
            </w:r>
          </w:p>
        </w:tc>
        <w:tc>
          <w:tcPr>
            <w:tcW w:w="122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6 153 216</w:t>
            </w:r>
          </w:p>
        </w:tc>
        <w:tc>
          <w:tcPr>
            <w:tcW w:w="1078"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1 986 802</w:t>
            </w:r>
          </w:p>
        </w:tc>
      </w:tr>
      <w:tr w:rsidR="00594EB7" w:rsidRPr="000003D0" w:rsidTr="00DB0FFE">
        <w:trPr>
          <w:trHeight w:val="305"/>
        </w:trPr>
        <w:tc>
          <w:tcPr>
            <w:tcW w:w="3573" w:type="dxa"/>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NCZI</w:t>
            </w:r>
          </w:p>
        </w:tc>
        <w:tc>
          <w:tcPr>
            <w:tcW w:w="1205"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0,44%</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24 366 774</w:t>
            </w:r>
          </w:p>
        </w:tc>
        <w:tc>
          <w:tcPr>
            <w:tcW w:w="135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15 412 754</w:t>
            </w:r>
          </w:p>
        </w:tc>
        <w:tc>
          <w:tcPr>
            <w:tcW w:w="122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6 768 538</w:t>
            </w:r>
          </w:p>
        </w:tc>
        <w:tc>
          <w:tcPr>
            <w:tcW w:w="1078"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2 185 482</w:t>
            </w:r>
          </w:p>
        </w:tc>
      </w:tr>
      <w:tr w:rsidR="00594EB7" w:rsidRPr="000003D0" w:rsidTr="00DB0FFE">
        <w:trPr>
          <w:trHeight w:val="305"/>
        </w:trPr>
        <w:tc>
          <w:tcPr>
            <w:tcW w:w="3573" w:type="dxa"/>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operačných stredísk</w:t>
            </w:r>
          </w:p>
        </w:tc>
        <w:tc>
          <w:tcPr>
            <w:tcW w:w="1205"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0,40%</w:t>
            </w:r>
          </w:p>
        </w:tc>
        <w:tc>
          <w:tcPr>
            <w:tcW w:w="1354" w:type="dxa"/>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22 151 612</w:t>
            </w:r>
          </w:p>
        </w:tc>
        <w:tc>
          <w:tcPr>
            <w:tcW w:w="135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14 011 594</w:t>
            </w:r>
          </w:p>
        </w:tc>
        <w:tc>
          <w:tcPr>
            <w:tcW w:w="1224"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6 153 216</w:t>
            </w:r>
          </w:p>
        </w:tc>
        <w:tc>
          <w:tcPr>
            <w:tcW w:w="1078" w:type="dxa"/>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1 986 802</w:t>
            </w:r>
          </w:p>
        </w:tc>
      </w:tr>
      <w:tr w:rsidR="00594EB7" w:rsidRPr="000003D0" w:rsidTr="00DB0FFE">
        <w:trPr>
          <w:trHeight w:val="305"/>
        </w:trPr>
        <w:tc>
          <w:tcPr>
            <w:tcW w:w="3573" w:type="dxa"/>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NIHO</w:t>
            </w:r>
          </w:p>
        </w:tc>
        <w:tc>
          <w:tcPr>
            <w:tcW w:w="1205" w:type="dxa"/>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0,032%</w:t>
            </w:r>
          </w:p>
        </w:tc>
        <w:tc>
          <w:tcPr>
            <w:tcW w:w="1354" w:type="dxa"/>
            <w:tcBorders>
              <w:top w:val="nil"/>
              <w:left w:val="nil"/>
              <w:bottom w:val="nil"/>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1 772 129</w:t>
            </w:r>
          </w:p>
        </w:tc>
        <w:tc>
          <w:tcPr>
            <w:tcW w:w="1354" w:type="dxa"/>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1 120 928</w:t>
            </w:r>
          </w:p>
        </w:tc>
        <w:tc>
          <w:tcPr>
            <w:tcW w:w="1224" w:type="dxa"/>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492 257</w:t>
            </w:r>
          </w:p>
        </w:tc>
        <w:tc>
          <w:tcPr>
            <w:tcW w:w="1078" w:type="dxa"/>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158 944</w:t>
            </w:r>
          </w:p>
        </w:tc>
      </w:tr>
      <w:tr w:rsidR="00594EB7" w:rsidRPr="000003D0" w:rsidTr="00DB0FFE">
        <w:trPr>
          <w:trHeight w:val="305"/>
        </w:trPr>
        <w:tc>
          <w:tcPr>
            <w:tcW w:w="3573" w:type="dxa"/>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205" w:type="dxa"/>
            <w:tcBorders>
              <w:top w:val="single" w:sz="8" w:space="0" w:color="000000"/>
              <w:left w:val="single" w:sz="8" w:space="0" w:color="000000"/>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1,30%</w:t>
            </w:r>
          </w:p>
        </w:tc>
        <w:tc>
          <w:tcPr>
            <w:tcW w:w="1354" w:type="dxa"/>
            <w:tcBorders>
              <w:top w:val="single" w:sz="8" w:space="0" w:color="000000"/>
              <w:left w:val="nil"/>
              <w:bottom w:val="single" w:sz="8" w:space="0" w:color="auto"/>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70 442 128</w:t>
            </w:r>
          </w:p>
        </w:tc>
        <w:tc>
          <w:tcPr>
            <w:tcW w:w="1354" w:type="dxa"/>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44 556 870</w:t>
            </w:r>
          </w:p>
        </w:tc>
        <w:tc>
          <w:tcPr>
            <w:tcW w:w="1224" w:type="dxa"/>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19 567 227</w:t>
            </w:r>
          </w:p>
        </w:tc>
        <w:tc>
          <w:tcPr>
            <w:tcW w:w="1078" w:type="dxa"/>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6 318 030</w:t>
            </w:r>
          </w:p>
        </w:tc>
      </w:tr>
    </w:tbl>
    <w:p w:rsidR="00594EB7" w:rsidRPr="000003D0" w:rsidRDefault="00594EB7" w:rsidP="00594EB7">
      <w:pPr>
        <w:spacing w:after="0" w:line="240" w:lineRule="auto"/>
        <w:jc w:val="both"/>
        <w:rPr>
          <w:rFonts w:ascii="Times New Roman" w:hAnsi="Times New Roman" w:cs="Times New Roman"/>
          <w:sz w:val="24"/>
          <w:szCs w:val="24"/>
        </w:rPr>
      </w:pPr>
    </w:p>
    <w:p w:rsidR="00594EB7" w:rsidRPr="000003D0" w:rsidRDefault="00594EB7" w:rsidP="00594EB7">
      <w:pPr>
        <w:spacing w:after="0" w:line="240" w:lineRule="auto"/>
        <w:jc w:val="both"/>
        <w:rPr>
          <w:rFonts w:ascii="Times New Roman" w:hAnsi="Times New Roman" w:cs="Times New Roman"/>
          <w:sz w:val="24"/>
        </w:rPr>
      </w:pPr>
      <w:r w:rsidRPr="000003D0">
        <w:rPr>
          <w:rFonts w:ascii="Times New Roman" w:hAnsi="Times New Roman" w:cs="Times New Roman"/>
          <w:sz w:val="24"/>
        </w:rPr>
        <w:t>Navrhuje sa, aby zdravotné poisťovne príspevky jednotlivým inštitúciám uhrádzali štvrťročne od roku 2025, a aby v roku 2024 uhradili jednorazový príspevok týmto inštitúciám, nakoľko v čase prijímania konsolidačného zákona nebolo známe rozhodnutie Úradu pre dohľad nad zdravotnou starostlivosťou o ročnom prerozdeľovaní poistného za rok 2022, inštitúcie si vypracovali rozpočet podľa súm schválených v rozpočet odsúhlasenom MFSR a ak by tento jednorazový príspevok nebol vyplatený v roku 2024 ohrozilo by to fungovanie týchto inštitúcií.</w:t>
      </w:r>
    </w:p>
    <w:p w:rsidR="00594EB7" w:rsidRPr="000003D0" w:rsidRDefault="00594EB7" w:rsidP="00594EB7">
      <w:pPr>
        <w:spacing w:after="0" w:line="240" w:lineRule="auto"/>
        <w:jc w:val="both"/>
        <w:rPr>
          <w:rFonts w:ascii="Times New Roman" w:hAnsi="Times New Roman" w:cs="Times New Roman"/>
          <w:sz w:val="24"/>
        </w:rPr>
      </w:pPr>
    </w:p>
    <w:tbl>
      <w:tblPr>
        <w:tblW w:w="9622" w:type="dxa"/>
        <w:tblCellMar>
          <w:left w:w="70" w:type="dxa"/>
          <w:right w:w="70" w:type="dxa"/>
        </w:tblCellMar>
        <w:tblLook w:val="04A0" w:firstRow="1" w:lastRow="0" w:firstColumn="1" w:lastColumn="0" w:noHBand="0" w:noVBand="1"/>
      </w:tblPr>
      <w:tblGrid>
        <w:gridCol w:w="3431"/>
        <w:gridCol w:w="81"/>
        <w:gridCol w:w="1077"/>
        <w:gridCol w:w="108"/>
        <w:gridCol w:w="1192"/>
        <w:gridCol w:w="139"/>
        <w:gridCol w:w="1161"/>
        <w:gridCol w:w="170"/>
        <w:gridCol w:w="1067"/>
        <w:gridCol w:w="136"/>
        <w:gridCol w:w="1060"/>
      </w:tblGrid>
      <w:tr w:rsidR="00594EB7" w:rsidRPr="000003D0" w:rsidTr="00DB0FFE">
        <w:trPr>
          <w:trHeight w:val="485"/>
        </w:trPr>
        <w:tc>
          <w:tcPr>
            <w:tcW w:w="9622" w:type="dxa"/>
            <w:gridSpan w:val="11"/>
            <w:tcBorders>
              <w:top w:val="nil"/>
              <w:left w:val="nil"/>
              <w:bottom w:val="nil"/>
            </w:tcBorders>
            <w:shd w:val="clear" w:color="000000" w:fill="FFFF00"/>
            <w:vAlign w:val="center"/>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r w:rsidRPr="000003D0">
              <w:rPr>
                <w:rFonts w:ascii="Times New Roman" w:eastAsia="Times New Roman" w:hAnsi="Times New Roman" w:cs="Times New Roman"/>
                <w:sz w:val="18"/>
                <w:szCs w:val="18"/>
                <w:lang w:eastAsia="sk-SK"/>
              </w:rPr>
              <w:t>Návrh výšky príspevkov v roku 2024 na sumu v schválenom rozpočte na rok 2024 podľa MFSR</w:t>
            </w:r>
          </w:p>
        </w:tc>
      </w:tr>
      <w:tr w:rsidR="00594EB7" w:rsidRPr="000003D0" w:rsidTr="00DB0FFE">
        <w:trPr>
          <w:trHeight w:val="268"/>
        </w:trPr>
        <w:tc>
          <w:tcPr>
            <w:tcW w:w="3431" w:type="dxa"/>
            <w:vMerge w:val="restart"/>
            <w:tcBorders>
              <w:top w:val="single" w:sz="8" w:space="0" w:color="auto"/>
              <w:left w:val="single" w:sz="8" w:space="0" w:color="auto"/>
              <w:bottom w:val="nil"/>
              <w:right w:val="single" w:sz="8" w:space="0" w:color="000000"/>
            </w:tcBorders>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158" w:type="dxa"/>
            <w:gridSpan w:val="2"/>
            <w:vMerge w:val="restart"/>
            <w:tcBorders>
              <w:top w:val="single" w:sz="8" w:space="0" w:color="auto"/>
              <w:left w:val="single" w:sz="8" w:space="0" w:color="000000"/>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5033" w:type="dxa"/>
            <w:gridSpan w:val="8"/>
            <w:tcBorders>
              <w:top w:val="single" w:sz="8" w:space="0" w:color="auto"/>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
        </w:tc>
      </w:tr>
      <w:tr w:rsidR="00594EB7" w:rsidRPr="000003D0" w:rsidTr="00DB0FFE">
        <w:trPr>
          <w:trHeight w:val="258"/>
        </w:trPr>
        <w:tc>
          <w:tcPr>
            <w:tcW w:w="3431" w:type="dxa"/>
            <w:vMerge/>
            <w:tcBorders>
              <w:top w:val="single" w:sz="8" w:space="0" w:color="auto"/>
              <w:left w:val="single" w:sz="8" w:space="0" w:color="auto"/>
              <w:bottom w:val="nil"/>
              <w:right w:val="single" w:sz="8" w:space="0" w:color="000000"/>
            </w:tcBorders>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p>
        </w:tc>
        <w:tc>
          <w:tcPr>
            <w:tcW w:w="1158" w:type="dxa"/>
            <w:gridSpan w:val="2"/>
            <w:vMerge/>
            <w:tcBorders>
              <w:top w:val="single" w:sz="8" w:space="0" w:color="auto"/>
              <w:left w:val="single" w:sz="8" w:space="0" w:color="000000"/>
              <w:bottom w:val="single" w:sz="8" w:space="0" w:color="000000"/>
              <w:right w:val="single" w:sz="8" w:space="0" w:color="000000"/>
            </w:tcBorders>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p>
        </w:tc>
        <w:tc>
          <w:tcPr>
            <w:tcW w:w="1300" w:type="dxa"/>
            <w:gridSpan w:val="2"/>
            <w:tcBorders>
              <w:top w:val="nil"/>
              <w:left w:val="single" w:sz="8" w:space="0" w:color="000000"/>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ind w:firstLineChars="100" w:firstLine="180"/>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00" w:type="dxa"/>
            <w:gridSpan w:val="2"/>
            <w:tcBorders>
              <w:top w:val="nil"/>
              <w:left w:val="single" w:sz="8" w:space="0" w:color="000000"/>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ind w:firstLineChars="100" w:firstLine="180"/>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37" w:type="dxa"/>
            <w:gridSpan w:val="2"/>
            <w:tcBorders>
              <w:top w:val="nil"/>
              <w:left w:val="nil"/>
              <w:right w:val="single" w:sz="8" w:space="0" w:color="000000"/>
            </w:tcBorders>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196" w:type="dxa"/>
            <w:gridSpan w:val="2"/>
            <w:tcBorders>
              <w:top w:val="nil"/>
              <w:left w:val="nil"/>
              <w:right w:val="single" w:sz="8" w:space="0" w:color="000000"/>
            </w:tcBorders>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594EB7" w:rsidRPr="000003D0" w:rsidTr="00DB0FFE">
        <w:trPr>
          <w:trHeight w:val="485"/>
        </w:trPr>
        <w:tc>
          <w:tcPr>
            <w:tcW w:w="3431" w:type="dxa"/>
            <w:tcBorders>
              <w:top w:val="single" w:sz="8" w:space="0" w:color="auto"/>
              <w:left w:val="single" w:sz="8" w:space="0" w:color="auto"/>
              <w:bottom w:val="single" w:sz="8" w:space="0" w:color="auto"/>
              <w:right w:val="single" w:sz="8" w:space="0" w:color="auto"/>
            </w:tcBorders>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158" w:type="dxa"/>
            <w:gridSpan w:val="2"/>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00" w:type="dxa"/>
            <w:gridSpan w:val="2"/>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37" w:type="dxa"/>
            <w:gridSpan w:val="2"/>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196" w:type="dxa"/>
            <w:gridSpan w:val="2"/>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594EB7" w:rsidRPr="000003D0" w:rsidTr="00DB0FFE">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ÚDZS</w:t>
            </w:r>
          </w:p>
        </w:tc>
        <w:tc>
          <w:tcPr>
            <w:tcW w:w="1158"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30 612 629</w:t>
            </w:r>
          </w:p>
        </w:tc>
        <w:tc>
          <w:tcPr>
            <w:tcW w:w="1300"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19 363 455</w:t>
            </w:r>
          </w:p>
        </w:tc>
        <w:tc>
          <w:tcPr>
            <w:tcW w:w="1237"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8 503 495</w:t>
            </w:r>
          </w:p>
        </w:tc>
        <w:tc>
          <w:tcPr>
            <w:tcW w:w="1196"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2 745 679</w:t>
            </w:r>
          </w:p>
        </w:tc>
      </w:tr>
      <w:tr w:rsidR="00594EB7" w:rsidRPr="000003D0" w:rsidTr="00DB0FFE">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NCZI</w:t>
            </w:r>
          </w:p>
        </w:tc>
        <w:tc>
          <w:tcPr>
            <w:tcW w:w="1158"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0,61%</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33 673 892</w:t>
            </w:r>
          </w:p>
        </w:tc>
        <w:tc>
          <w:tcPr>
            <w:tcW w:w="1300"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21 299 800</w:t>
            </w:r>
          </w:p>
        </w:tc>
        <w:tc>
          <w:tcPr>
            <w:tcW w:w="1237"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9 353 844</w:t>
            </w:r>
          </w:p>
        </w:tc>
        <w:tc>
          <w:tcPr>
            <w:tcW w:w="1196"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3 020 247</w:t>
            </w:r>
          </w:p>
        </w:tc>
      </w:tr>
      <w:tr w:rsidR="00594EB7" w:rsidRPr="000003D0" w:rsidTr="00DB0FFE">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operačných stredísk</w:t>
            </w:r>
          </w:p>
        </w:tc>
        <w:tc>
          <w:tcPr>
            <w:tcW w:w="1158"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00" w:type="dxa"/>
            <w:gridSpan w:val="2"/>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30 612 629</w:t>
            </w:r>
          </w:p>
        </w:tc>
        <w:tc>
          <w:tcPr>
            <w:tcW w:w="1300"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19 363 455</w:t>
            </w:r>
          </w:p>
        </w:tc>
        <w:tc>
          <w:tcPr>
            <w:tcW w:w="1237"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8 503 495</w:t>
            </w:r>
          </w:p>
        </w:tc>
        <w:tc>
          <w:tcPr>
            <w:tcW w:w="1196"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2 745 679</w:t>
            </w:r>
          </w:p>
        </w:tc>
      </w:tr>
      <w:tr w:rsidR="00594EB7" w:rsidRPr="000003D0" w:rsidTr="00DB0FFE">
        <w:trPr>
          <w:trHeight w:val="309"/>
        </w:trPr>
        <w:tc>
          <w:tcPr>
            <w:tcW w:w="3431" w:type="dxa"/>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Príspevok na činnosť NIHO</w:t>
            </w:r>
          </w:p>
        </w:tc>
        <w:tc>
          <w:tcPr>
            <w:tcW w:w="1158" w:type="dxa"/>
            <w:gridSpan w:val="2"/>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0,044%</w:t>
            </w:r>
          </w:p>
        </w:tc>
        <w:tc>
          <w:tcPr>
            <w:tcW w:w="1300" w:type="dxa"/>
            <w:gridSpan w:val="2"/>
            <w:tcBorders>
              <w:top w:val="nil"/>
              <w:left w:val="nil"/>
              <w:bottom w:val="nil"/>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2 449 010</w:t>
            </w:r>
          </w:p>
        </w:tc>
        <w:tc>
          <w:tcPr>
            <w:tcW w:w="1300" w:type="dxa"/>
            <w:gridSpan w:val="2"/>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1 549 076</w:t>
            </w:r>
          </w:p>
        </w:tc>
        <w:tc>
          <w:tcPr>
            <w:tcW w:w="1237" w:type="dxa"/>
            <w:gridSpan w:val="2"/>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680 280</w:t>
            </w:r>
          </w:p>
        </w:tc>
        <w:tc>
          <w:tcPr>
            <w:tcW w:w="1196" w:type="dxa"/>
            <w:gridSpan w:val="2"/>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219 654</w:t>
            </w:r>
          </w:p>
        </w:tc>
      </w:tr>
      <w:tr w:rsidR="00594EB7" w:rsidRPr="000003D0" w:rsidTr="00DB0FFE">
        <w:trPr>
          <w:trHeight w:val="309"/>
        </w:trPr>
        <w:tc>
          <w:tcPr>
            <w:tcW w:w="3431" w:type="dxa"/>
            <w:tcBorders>
              <w:top w:val="nil"/>
              <w:left w:val="single" w:sz="8" w:space="0" w:color="auto"/>
              <w:bottom w:val="single" w:sz="8" w:space="0" w:color="auto"/>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158"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1,30%</w:t>
            </w:r>
          </w:p>
        </w:tc>
        <w:tc>
          <w:tcPr>
            <w:tcW w:w="1300" w:type="dxa"/>
            <w:gridSpan w:val="2"/>
            <w:tcBorders>
              <w:top w:val="single" w:sz="8" w:space="0" w:color="000000"/>
              <w:left w:val="nil"/>
              <w:bottom w:val="single" w:sz="8" w:space="0" w:color="auto"/>
              <w:right w:val="single" w:sz="8" w:space="0" w:color="000000"/>
            </w:tcBorders>
            <w:shd w:val="clear" w:color="000000" w:fill="FAE3D4"/>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97 348 160</w:t>
            </w:r>
          </w:p>
        </w:tc>
        <w:tc>
          <w:tcPr>
            <w:tcW w:w="1300" w:type="dxa"/>
            <w:gridSpan w:val="2"/>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61 575 786</w:t>
            </w:r>
          </w:p>
        </w:tc>
        <w:tc>
          <w:tcPr>
            <w:tcW w:w="1237" w:type="dxa"/>
            <w:gridSpan w:val="2"/>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27 041 114</w:t>
            </w:r>
          </w:p>
        </w:tc>
        <w:tc>
          <w:tcPr>
            <w:tcW w:w="1196" w:type="dxa"/>
            <w:gridSpan w:val="2"/>
            <w:tcBorders>
              <w:top w:val="single" w:sz="8" w:space="0" w:color="000000"/>
              <w:left w:val="nil"/>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8 731 261</w:t>
            </w:r>
          </w:p>
        </w:tc>
      </w:tr>
      <w:tr w:rsidR="00594EB7" w:rsidRPr="000003D0" w:rsidTr="00DB0FFE">
        <w:trPr>
          <w:trHeight w:val="294"/>
        </w:trPr>
        <w:tc>
          <w:tcPr>
            <w:tcW w:w="3431" w:type="dxa"/>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b/>
                <w:bCs/>
                <w:color w:val="FF0000"/>
                <w:sz w:val="20"/>
                <w:szCs w:val="18"/>
                <w:lang w:eastAsia="sk-SK"/>
              </w:rPr>
            </w:pPr>
          </w:p>
          <w:p w:rsidR="00594EB7" w:rsidRPr="000003D0" w:rsidRDefault="00594EB7" w:rsidP="00DB0FFE">
            <w:pPr>
              <w:spacing w:after="0" w:line="240" w:lineRule="auto"/>
              <w:rPr>
                <w:rFonts w:ascii="Times New Roman" w:eastAsia="Times New Roman" w:hAnsi="Times New Roman" w:cs="Times New Roman"/>
                <w:b/>
                <w:bCs/>
                <w:color w:val="FF0000"/>
                <w:sz w:val="20"/>
                <w:szCs w:val="18"/>
                <w:lang w:eastAsia="sk-SK"/>
              </w:rPr>
            </w:pPr>
          </w:p>
          <w:p w:rsidR="00594EB7" w:rsidRPr="000003D0" w:rsidRDefault="00594EB7" w:rsidP="00DB0FFE">
            <w:pPr>
              <w:spacing w:after="0" w:line="240" w:lineRule="auto"/>
              <w:rPr>
                <w:rFonts w:ascii="Times New Roman" w:eastAsia="Times New Roman" w:hAnsi="Times New Roman" w:cs="Times New Roman"/>
                <w:b/>
                <w:bCs/>
                <w:color w:val="FF0000"/>
                <w:sz w:val="20"/>
                <w:szCs w:val="18"/>
                <w:lang w:eastAsia="sk-SK"/>
              </w:rPr>
            </w:pPr>
            <w:r w:rsidRPr="000003D0">
              <w:rPr>
                <w:rFonts w:ascii="Times New Roman" w:eastAsia="Times New Roman" w:hAnsi="Times New Roman" w:cs="Times New Roman"/>
                <w:b/>
                <w:bCs/>
                <w:color w:val="FF0000"/>
                <w:sz w:val="20"/>
                <w:szCs w:val="18"/>
                <w:lang w:eastAsia="sk-SK"/>
              </w:rPr>
              <w:t>Jednorazový príspevok</w:t>
            </w:r>
          </w:p>
        </w:tc>
        <w:tc>
          <w:tcPr>
            <w:tcW w:w="1158" w:type="dxa"/>
            <w:gridSpan w:val="2"/>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p>
        </w:tc>
        <w:tc>
          <w:tcPr>
            <w:tcW w:w="1300" w:type="dxa"/>
            <w:gridSpan w:val="2"/>
            <w:tcBorders>
              <w:top w:val="nil"/>
              <w:left w:val="nil"/>
              <w:bottom w:val="nil"/>
              <w:right w:val="nil"/>
            </w:tcBorders>
            <w:shd w:val="clear" w:color="auto" w:fill="auto"/>
            <w:noWrap/>
            <w:vAlign w:val="bottom"/>
            <w:hideMark/>
          </w:tcPr>
          <w:p w:rsidR="00594EB7" w:rsidRPr="000003D0" w:rsidRDefault="00594EB7" w:rsidP="00DB0FFE">
            <w:pPr>
              <w:spacing w:after="0" w:line="240" w:lineRule="auto"/>
              <w:jc w:val="center"/>
              <w:rPr>
                <w:rFonts w:ascii="Times New Roman" w:eastAsia="Times New Roman" w:hAnsi="Times New Roman" w:cs="Times New Roman"/>
                <w:sz w:val="20"/>
                <w:szCs w:val="20"/>
                <w:lang w:eastAsia="sk-SK"/>
              </w:rPr>
            </w:pPr>
          </w:p>
        </w:tc>
        <w:tc>
          <w:tcPr>
            <w:tcW w:w="1300" w:type="dxa"/>
            <w:gridSpan w:val="2"/>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p>
        </w:tc>
        <w:tc>
          <w:tcPr>
            <w:tcW w:w="1237" w:type="dxa"/>
            <w:gridSpan w:val="2"/>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p>
        </w:tc>
        <w:tc>
          <w:tcPr>
            <w:tcW w:w="1196" w:type="dxa"/>
            <w:gridSpan w:val="2"/>
            <w:tcBorders>
              <w:top w:val="nil"/>
              <w:left w:val="nil"/>
              <w:bottom w:val="nil"/>
              <w:right w:val="nil"/>
            </w:tcBorders>
            <w:shd w:val="clear" w:color="auto" w:fill="auto"/>
            <w:noWrap/>
            <w:vAlign w:val="bottom"/>
            <w:hideMark/>
          </w:tcPr>
          <w:p w:rsidR="00594EB7" w:rsidRPr="000003D0" w:rsidRDefault="00594EB7" w:rsidP="00DB0FFE">
            <w:pPr>
              <w:spacing w:after="0" w:line="240" w:lineRule="auto"/>
              <w:rPr>
                <w:rFonts w:ascii="Times New Roman" w:eastAsia="Times New Roman" w:hAnsi="Times New Roman" w:cs="Times New Roman"/>
                <w:sz w:val="20"/>
                <w:szCs w:val="20"/>
                <w:lang w:eastAsia="sk-SK"/>
              </w:rPr>
            </w:pPr>
          </w:p>
        </w:tc>
      </w:tr>
      <w:tr w:rsidR="00594EB7" w:rsidRPr="000003D0" w:rsidTr="00DB0FFE">
        <w:trPr>
          <w:trHeight w:val="309"/>
        </w:trPr>
        <w:tc>
          <w:tcPr>
            <w:tcW w:w="3512" w:type="dxa"/>
            <w:gridSpan w:val="2"/>
            <w:vMerge w:val="restart"/>
            <w:tcBorders>
              <w:top w:val="single" w:sz="8" w:space="0" w:color="auto"/>
              <w:left w:val="single" w:sz="8" w:space="0" w:color="auto"/>
              <w:bottom w:val="nil"/>
              <w:right w:val="single" w:sz="8" w:space="0" w:color="000000"/>
            </w:tcBorders>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r w:rsidRPr="000003D0">
              <w:rPr>
                <w:rFonts w:ascii="Times New Roman" w:eastAsia="Times New Roman" w:hAnsi="Times New Roman" w:cs="Times New Roman"/>
                <w:i/>
                <w:iCs/>
                <w:sz w:val="18"/>
                <w:szCs w:val="18"/>
                <w:lang w:eastAsia="sk-SK"/>
              </w:rPr>
              <w:t>v eurách</w:t>
            </w:r>
          </w:p>
        </w:tc>
        <w:tc>
          <w:tcPr>
            <w:tcW w:w="1185" w:type="dxa"/>
            <w:gridSpan w:val="2"/>
            <w:vMerge w:val="restart"/>
            <w:tcBorders>
              <w:top w:val="single" w:sz="8" w:space="0" w:color="auto"/>
              <w:left w:val="single" w:sz="8" w:space="0" w:color="000000"/>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percento príspevku</w:t>
            </w:r>
          </w:p>
        </w:tc>
        <w:tc>
          <w:tcPr>
            <w:tcW w:w="4925" w:type="dxa"/>
            <w:gridSpan w:val="7"/>
            <w:tcBorders>
              <w:top w:val="single" w:sz="8" w:space="0" w:color="auto"/>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
        </w:tc>
      </w:tr>
      <w:tr w:rsidR="00594EB7" w:rsidRPr="000003D0" w:rsidTr="00DB0FFE">
        <w:trPr>
          <w:trHeight w:val="326"/>
        </w:trPr>
        <w:tc>
          <w:tcPr>
            <w:tcW w:w="3512" w:type="dxa"/>
            <w:gridSpan w:val="2"/>
            <w:vMerge/>
            <w:tcBorders>
              <w:top w:val="single" w:sz="8" w:space="0" w:color="auto"/>
              <w:left w:val="single" w:sz="8" w:space="0" w:color="auto"/>
              <w:bottom w:val="nil"/>
              <w:right w:val="single" w:sz="8" w:space="0" w:color="000000"/>
            </w:tcBorders>
            <w:vAlign w:val="center"/>
            <w:hideMark/>
          </w:tcPr>
          <w:p w:rsidR="00594EB7" w:rsidRPr="000003D0" w:rsidRDefault="00594EB7" w:rsidP="00DB0FFE">
            <w:pPr>
              <w:spacing w:after="0" w:line="240" w:lineRule="auto"/>
              <w:rPr>
                <w:rFonts w:ascii="Times New Roman" w:eastAsia="Times New Roman" w:hAnsi="Times New Roman" w:cs="Times New Roman"/>
                <w:i/>
                <w:iCs/>
                <w:sz w:val="18"/>
                <w:szCs w:val="18"/>
                <w:lang w:eastAsia="sk-SK"/>
              </w:rPr>
            </w:pPr>
          </w:p>
        </w:tc>
        <w:tc>
          <w:tcPr>
            <w:tcW w:w="1185" w:type="dxa"/>
            <w:gridSpan w:val="2"/>
            <w:vMerge/>
            <w:tcBorders>
              <w:top w:val="single" w:sz="8" w:space="0" w:color="auto"/>
              <w:left w:val="single" w:sz="8" w:space="0" w:color="000000"/>
              <w:bottom w:val="single" w:sz="8" w:space="0" w:color="000000"/>
              <w:right w:val="single" w:sz="8" w:space="0" w:color="000000"/>
            </w:tcBorders>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p>
        </w:tc>
        <w:tc>
          <w:tcPr>
            <w:tcW w:w="1331" w:type="dxa"/>
            <w:gridSpan w:val="2"/>
            <w:tcBorders>
              <w:top w:val="nil"/>
              <w:left w:val="single" w:sz="8" w:space="0" w:color="000000"/>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SPOLU</w:t>
            </w:r>
          </w:p>
        </w:tc>
        <w:tc>
          <w:tcPr>
            <w:tcW w:w="1331" w:type="dxa"/>
            <w:gridSpan w:val="2"/>
            <w:tcBorders>
              <w:top w:val="nil"/>
              <w:left w:val="single" w:sz="8" w:space="0" w:color="000000"/>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VšZP</w:t>
            </w:r>
            <w:proofErr w:type="spellEnd"/>
          </w:p>
        </w:tc>
        <w:tc>
          <w:tcPr>
            <w:tcW w:w="1203" w:type="dxa"/>
            <w:gridSpan w:val="2"/>
            <w:tcBorders>
              <w:top w:val="nil"/>
              <w:left w:val="nil"/>
              <w:right w:val="single" w:sz="8" w:space="0" w:color="000000"/>
            </w:tcBorders>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Dôvera</w:t>
            </w:r>
          </w:p>
        </w:tc>
        <w:tc>
          <w:tcPr>
            <w:tcW w:w="1060" w:type="dxa"/>
            <w:tcBorders>
              <w:top w:val="nil"/>
              <w:left w:val="nil"/>
              <w:right w:val="single" w:sz="8" w:space="0" w:color="000000"/>
            </w:tcBorders>
            <w:shd w:val="clear" w:color="000000" w:fill="F4AF83"/>
            <w:vAlign w:val="center"/>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proofErr w:type="spellStart"/>
            <w:r w:rsidRPr="000003D0">
              <w:rPr>
                <w:rFonts w:ascii="Times New Roman" w:eastAsia="Times New Roman" w:hAnsi="Times New Roman" w:cs="Times New Roman"/>
                <w:sz w:val="18"/>
                <w:szCs w:val="18"/>
                <w:lang w:eastAsia="sk-SK"/>
              </w:rPr>
              <w:t>Union</w:t>
            </w:r>
            <w:proofErr w:type="spellEnd"/>
          </w:p>
        </w:tc>
      </w:tr>
      <w:tr w:rsidR="00594EB7" w:rsidRPr="000003D0" w:rsidTr="00DB0FFE">
        <w:trPr>
          <w:trHeight w:val="485"/>
        </w:trPr>
        <w:tc>
          <w:tcPr>
            <w:tcW w:w="3512" w:type="dxa"/>
            <w:gridSpan w:val="2"/>
            <w:tcBorders>
              <w:top w:val="single" w:sz="8" w:space="0" w:color="auto"/>
              <w:left w:val="single" w:sz="8" w:space="0" w:color="auto"/>
              <w:bottom w:val="single" w:sz="8" w:space="0" w:color="auto"/>
              <w:right w:val="single" w:sz="8" w:space="0" w:color="auto"/>
            </w:tcBorders>
            <w:shd w:val="clear" w:color="000000" w:fill="F4AF83"/>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 xml:space="preserve">Suma z ročného prerozdeľovania poistného z predchádzajúceho roka </w:t>
            </w:r>
          </w:p>
        </w:tc>
        <w:tc>
          <w:tcPr>
            <w:tcW w:w="1185" w:type="dxa"/>
            <w:gridSpan w:val="2"/>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za rok 2022</w:t>
            </w:r>
          </w:p>
        </w:tc>
        <w:tc>
          <w:tcPr>
            <w:tcW w:w="1331" w:type="dxa"/>
            <w:gridSpan w:val="2"/>
            <w:tcBorders>
              <w:top w:val="nil"/>
              <w:left w:val="nil"/>
              <w:bottom w:val="single" w:sz="8" w:space="0" w:color="000000"/>
              <w:right w:val="single" w:sz="8" w:space="0" w:color="000000"/>
            </w:tcBorders>
            <w:shd w:val="clear" w:color="000000" w:fill="FAE3D4"/>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5 537 903 109</w:t>
            </w:r>
          </w:p>
        </w:tc>
        <w:tc>
          <w:tcPr>
            <w:tcW w:w="1331" w:type="dxa"/>
            <w:gridSpan w:val="2"/>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3 502 898 607</w:t>
            </w:r>
          </w:p>
        </w:tc>
        <w:tc>
          <w:tcPr>
            <w:tcW w:w="1203" w:type="dxa"/>
            <w:gridSpan w:val="2"/>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1 538 304 045</w:t>
            </w:r>
          </w:p>
        </w:tc>
        <w:tc>
          <w:tcPr>
            <w:tcW w:w="1060" w:type="dxa"/>
            <w:tcBorders>
              <w:top w:val="nil"/>
              <w:left w:val="nil"/>
              <w:bottom w:val="single" w:sz="8" w:space="0" w:color="000000"/>
              <w:right w:val="single" w:sz="8" w:space="0" w:color="000000"/>
            </w:tcBorders>
            <w:shd w:val="clear" w:color="000000" w:fill="F4AF83"/>
            <w:vAlign w:val="center"/>
            <w:hideMark/>
          </w:tcPr>
          <w:p w:rsidR="00594EB7" w:rsidRPr="000003D0" w:rsidRDefault="00594EB7" w:rsidP="00DB0FFE">
            <w:pPr>
              <w:spacing w:after="0" w:line="240" w:lineRule="auto"/>
              <w:jc w:val="center"/>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496 700 457</w:t>
            </w:r>
          </w:p>
        </w:tc>
      </w:tr>
      <w:tr w:rsidR="00594EB7" w:rsidRPr="000003D0" w:rsidTr="00DB0FFE">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ÚDZS</w:t>
            </w:r>
          </w:p>
        </w:tc>
        <w:tc>
          <w:tcPr>
            <w:tcW w:w="1185"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31" w:type="dxa"/>
            <w:gridSpan w:val="2"/>
            <w:tcBorders>
              <w:top w:val="nil"/>
              <w:left w:val="nil"/>
              <w:bottom w:val="single" w:sz="8" w:space="0" w:color="000000"/>
              <w:right w:val="single" w:sz="8" w:space="0" w:color="000000"/>
            </w:tcBorders>
            <w:shd w:val="clear" w:color="000000" w:fill="FAE3D4"/>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8 461 017</w:t>
            </w:r>
          </w:p>
        </w:tc>
        <w:tc>
          <w:tcPr>
            <w:tcW w:w="1331"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5 351 860</w:t>
            </w:r>
          </w:p>
        </w:tc>
        <w:tc>
          <w:tcPr>
            <w:tcW w:w="1203"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2 350 279</w:t>
            </w:r>
          </w:p>
        </w:tc>
        <w:tc>
          <w:tcPr>
            <w:tcW w:w="1060" w:type="dxa"/>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758 878</w:t>
            </w:r>
          </w:p>
        </w:tc>
      </w:tr>
      <w:tr w:rsidR="00594EB7" w:rsidRPr="000003D0" w:rsidTr="00DB0FFE">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NCZI</w:t>
            </w:r>
          </w:p>
        </w:tc>
        <w:tc>
          <w:tcPr>
            <w:tcW w:w="1185"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0,55%</w:t>
            </w:r>
          </w:p>
        </w:tc>
        <w:tc>
          <w:tcPr>
            <w:tcW w:w="1331" w:type="dxa"/>
            <w:gridSpan w:val="2"/>
            <w:tcBorders>
              <w:top w:val="nil"/>
              <w:left w:val="nil"/>
              <w:bottom w:val="single" w:sz="8" w:space="0" w:color="000000"/>
              <w:right w:val="single" w:sz="8" w:space="0" w:color="000000"/>
            </w:tcBorders>
            <w:shd w:val="clear" w:color="000000" w:fill="FAE3D4"/>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9 307 118</w:t>
            </w:r>
          </w:p>
        </w:tc>
        <w:tc>
          <w:tcPr>
            <w:tcW w:w="1331"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5 887 046</w:t>
            </w:r>
          </w:p>
        </w:tc>
        <w:tc>
          <w:tcPr>
            <w:tcW w:w="1203"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2 585 307</w:t>
            </w:r>
          </w:p>
        </w:tc>
        <w:tc>
          <w:tcPr>
            <w:tcW w:w="1060" w:type="dxa"/>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834 765</w:t>
            </w:r>
          </w:p>
        </w:tc>
      </w:tr>
      <w:tr w:rsidR="00594EB7" w:rsidRPr="000003D0" w:rsidTr="00DB0FFE">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operačných stredísk</w:t>
            </w:r>
          </w:p>
        </w:tc>
        <w:tc>
          <w:tcPr>
            <w:tcW w:w="1185" w:type="dxa"/>
            <w:gridSpan w:val="2"/>
            <w:tcBorders>
              <w:top w:val="nil"/>
              <w:left w:val="nil"/>
              <w:bottom w:val="single" w:sz="8" w:space="0" w:color="000000"/>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0,61%</w:t>
            </w:r>
          </w:p>
        </w:tc>
        <w:tc>
          <w:tcPr>
            <w:tcW w:w="1331" w:type="dxa"/>
            <w:gridSpan w:val="2"/>
            <w:tcBorders>
              <w:top w:val="nil"/>
              <w:left w:val="nil"/>
              <w:bottom w:val="single" w:sz="8" w:space="0" w:color="000000"/>
              <w:right w:val="single" w:sz="8" w:space="0" w:color="000000"/>
            </w:tcBorders>
            <w:shd w:val="clear" w:color="000000" w:fill="FAE3D4"/>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8 461 017</w:t>
            </w:r>
          </w:p>
        </w:tc>
        <w:tc>
          <w:tcPr>
            <w:tcW w:w="1331"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5 351 860</w:t>
            </w:r>
          </w:p>
        </w:tc>
        <w:tc>
          <w:tcPr>
            <w:tcW w:w="1203"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2 350 279</w:t>
            </w:r>
          </w:p>
        </w:tc>
        <w:tc>
          <w:tcPr>
            <w:tcW w:w="1060" w:type="dxa"/>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758 878</w:t>
            </w:r>
          </w:p>
        </w:tc>
      </w:tr>
      <w:tr w:rsidR="00594EB7" w:rsidRPr="000003D0" w:rsidTr="00DB0FFE">
        <w:trPr>
          <w:trHeight w:val="309"/>
        </w:trPr>
        <w:tc>
          <w:tcPr>
            <w:tcW w:w="3512" w:type="dxa"/>
            <w:gridSpan w:val="2"/>
            <w:tcBorders>
              <w:top w:val="nil"/>
              <w:left w:val="single" w:sz="8" w:space="0" w:color="auto"/>
              <w:bottom w:val="single" w:sz="8" w:space="0" w:color="000000"/>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sz w:val="18"/>
                <w:szCs w:val="18"/>
                <w:lang w:eastAsia="sk-SK"/>
              </w:rPr>
            </w:pPr>
            <w:r w:rsidRPr="000003D0">
              <w:rPr>
                <w:rFonts w:ascii="Times New Roman" w:eastAsia="Times New Roman" w:hAnsi="Times New Roman" w:cs="Times New Roman"/>
                <w:sz w:val="18"/>
                <w:szCs w:val="18"/>
                <w:lang w:eastAsia="sk-SK"/>
              </w:rPr>
              <w:t>Jednorazový príspevok na činnosť NIHO</w:t>
            </w:r>
          </w:p>
        </w:tc>
        <w:tc>
          <w:tcPr>
            <w:tcW w:w="1185" w:type="dxa"/>
            <w:gridSpan w:val="2"/>
            <w:tcBorders>
              <w:top w:val="nil"/>
              <w:left w:val="nil"/>
              <w:bottom w:val="nil"/>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0,044%</w:t>
            </w:r>
          </w:p>
        </w:tc>
        <w:tc>
          <w:tcPr>
            <w:tcW w:w="1331" w:type="dxa"/>
            <w:gridSpan w:val="2"/>
            <w:tcBorders>
              <w:top w:val="nil"/>
              <w:left w:val="nil"/>
              <w:bottom w:val="nil"/>
              <w:right w:val="single" w:sz="8" w:space="0" w:color="000000"/>
            </w:tcBorders>
            <w:shd w:val="clear" w:color="000000" w:fill="FAE3D4"/>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676 881</w:t>
            </w:r>
          </w:p>
        </w:tc>
        <w:tc>
          <w:tcPr>
            <w:tcW w:w="1331"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428 149</w:t>
            </w:r>
          </w:p>
        </w:tc>
        <w:tc>
          <w:tcPr>
            <w:tcW w:w="1203" w:type="dxa"/>
            <w:gridSpan w:val="2"/>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188 022</w:t>
            </w:r>
          </w:p>
        </w:tc>
        <w:tc>
          <w:tcPr>
            <w:tcW w:w="1060" w:type="dxa"/>
            <w:tcBorders>
              <w:top w:val="nil"/>
              <w:left w:val="nil"/>
              <w:bottom w:val="single" w:sz="8" w:space="0" w:color="000000"/>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sz w:val="18"/>
                <w:szCs w:val="18"/>
              </w:rPr>
            </w:pPr>
            <w:r w:rsidRPr="000003D0">
              <w:rPr>
                <w:rFonts w:ascii="Times New Roman" w:hAnsi="Times New Roman" w:cs="Times New Roman"/>
                <w:sz w:val="18"/>
                <w:szCs w:val="18"/>
              </w:rPr>
              <w:t>60 710</w:t>
            </w:r>
          </w:p>
        </w:tc>
      </w:tr>
      <w:tr w:rsidR="00594EB7" w:rsidRPr="000003D0" w:rsidTr="00DB0FFE">
        <w:trPr>
          <w:trHeight w:val="309"/>
        </w:trPr>
        <w:tc>
          <w:tcPr>
            <w:tcW w:w="3512" w:type="dxa"/>
            <w:gridSpan w:val="2"/>
            <w:tcBorders>
              <w:top w:val="nil"/>
              <w:left w:val="single" w:sz="8" w:space="0" w:color="auto"/>
              <w:bottom w:val="single" w:sz="8" w:space="0" w:color="auto"/>
              <w:right w:val="single" w:sz="8" w:space="0" w:color="000000"/>
            </w:tcBorders>
            <w:shd w:val="clear" w:color="auto" w:fill="auto"/>
            <w:vAlign w:val="center"/>
            <w:hideMark/>
          </w:tcPr>
          <w:p w:rsidR="00594EB7" w:rsidRPr="000003D0" w:rsidRDefault="00594EB7" w:rsidP="00DB0FFE">
            <w:pPr>
              <w:spacing w:after="0" w:line="240" w:lineRule="auto"/>
              <w:rPr>
                <w:rFonts w:ascii="Times New Roman" w:eastAsia="Times New Roman" w:hAnsi="Times New Roman" w:cs="Times New Roman"/>
                <w:b/>
                <w:bCs/>
                <w:sz w:val="18"/>
                <w:szCs w:val="18"/>
                <w:lang w:eastAsia="sk-SK"/>
              </w:rPr>
            </w:pPr>
            <w:r w:rsidRPr="000003D0">
              <w:rPr>
                <w:rFonts w:ascii="Times New Roman" w:eastAsia="Times New Roman" w:hAnsi="Times New Roman" w:cs="Times New Roman"/>
                <w:b/>
                <w:bCs/>
                <w:sz w:val="18"/>
                <w:szCs w:val="18"/>
                <w:lang w:eastAsia="sk-SK"/>
              </w:rPr>
              <w:t>Zákonom stanovené príspevky celkom</w:t>
            </w:r>
          </w:p>
        </w:tc>
        <w:tc>
          <w:tcPr>
            <w:tcW w:w="1185" w:type="dxa"/>
            <w:gridSpan w:val="2"/>
            <w:tcBorders>
              <w:top w:val="single" w:sz="8" w:space="0" w:color="000000"/>
              <w:left w:val="single" w:sz="8" w:space="0" w:color="000000"/>
              <w:bottom w:val="single" w:sz="8" w:space="0" w:color="auto"/>
              <w:right w:val="single" w:sz="8" w:space="0" w:color="000000"/>
            </w:tcBorders>
            <w:shd w:val="clear" w:color="auto" w:fill="auto"/>
            <w:vAlign w:val="center"/>
            <w:hideMark/>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1,30%</w:t>
            </w:r>
          </w:p>
        </w:tc>
        <w:tc>
          <w:tcPr>
            <w:tcW w:w="1331" w:type="dxa"/>
            <w:gridSpan w:val="2"/>
            <w:tcBorders>
              <w:top w:val="single" w:sz="8" w:space="0" w:color="000000"/>
              <w:left w:val="nil"/>
              <w:bottom w:val="single" w:sz="8" w:space="0" w:color="auto"/>
              <w:right w:val="single" w:sz="8" w:space="0" w:color="000000"/>
            </w:tcBorders>
            <w:shd w:val="clear" w:color="000000" w:fill="FAE3D4"/>
            <w:vAlign w:val="center"/>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26 906 032</w:t>
            </w:r>
          </w:p>
        </w:tc>
        <w:tc>
          <w:tcPr>
            <w:tcW w:w="1331" w:type="dxa"/>
            <w:gridSpan w:val="2"/>
            <w:tcBorders>
              <w:top w:val="nil"/>
              <w:left w:val="nil"/>
              <w:bottom w:val="single" w:sz="8" w:space="0" w:color="auto"/>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17 018 915</w:t>
            </w:r>
          </w:p>
        </w:tc>
        <w:tc>
          <w:tcPr>
            <w:tcW w:w="1203" w:type="dxa"/>
            <w:gridSpan w:val="2"/>
            <w:tcBorders>
              <w:top w:val="nil"/>
              <w:left w:val="nil"/>
              <w:bottom w:val="single" w:sz="8" w:space="0" w:color="auto"/>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7 473 886</w:t>
            </w:r>
          </w:p>
        </w:tc>
        <w:tc>
          <w:tcPr>
            <w:tcW w:w="1060" w:type="dxa"/>
            <w:tcBorders>
              <w:top w:val="nil"/>
              <w:left w:val="nil"/>
              <w:bottom w:val="single" w:sz="8" w:space="0" w:color="auto"/>
              <w:right w:val="single" w:sz="8" w:space="0" w:color="000000"/>
            </w:tcBorders>
            <w:shd w:val="clear" w:color="auto" w:fill="auto"/>
            <w:vAlign w:val="center"/>
          </w:tcPr>
          <w:p w:rsidR="00594EB7" w:rsidRPr="000003D0" w:rsidRDefault="00594EB7" w:rsidP="00DB0FFE">
            <w:pPr>
              <w:jc w:val="center"/>
              <w:rPr>
                <w:rFonts w:ascii="Times New Roman" w:hAnsi="Times New Roman" w:cs="Times New Roman"/>
                <w:b/>
                <w:bCs/>
                <w:sz w:val="18"/>
                <w:szCs w:val="18"/>
              </w:rPr>
            </w:pPr>
            <w:r w:rsidRPr="000003D0">
              <w:rPr>
                <w:rFonts w:ascii="Times New Roman" w:hAnsi="Times New Roman" w:cs="Times New Roman"/>
                <w:b/>
                <w:bCs/>
                <w:sz w:val="18"/>
                <w:szCs w:val="18"/>
              </w:rPr>
              <w:t>2 413 231</w:t>
            </w:r>
          </w:p>
        </w:tc>
      </w:tr>
    </w:tbl>
    <w:p w:rsidR="00594EB7" w:rsidRDefault="00594EB7" w:rsidP="00594EB7">
      <w:pPr>
        <w:shd w:val="clear" w:color="auto" w:fill="FFFFFF" w:themeFill="background1"/>
        <w:spacing w:after="0" w:line="240" w:lineRule="auto"/>
        <w:ind w:firstLine="708"/>
        <w:jc w:val="both"/>
        <w:rPr>
          <w:rFonts w:ascii="Times New Roman" w:hAnsi="Times New Roman" w:cs="Times New Roman"/>
          <w:b/>
          <w:sz w:val="24"/>
          <w:szCs w:val="24"/>
        </w:rPr>
      </w:pPr>
    </w:p>
    <w:p w:rsidR="00594EB7" w:rsidRDefault="00594EB7" w:rsidP="00594EB7">
      <w:pPr>
        <w:shd w:val="clear" w:color="auto" w:fill="FFFFFF" w:themeFill="background1"/>
        <w:spacing w:after="0" w:line="240" w:lineRule="auto"/>
        <w:ind w:firstLine="708"/>
        <w:jc w:val="both"/>
        <w:rPr>
          <w:rFonts w:ascii="Times New Roman" w:hAnsi="Times New Roman" w:cs="Times New Roman"/>
          <w:b/>
          <w:sz w:val="24"/>
          <w:szCs w:val="24"/>
        </w:rPr>
      </w:pPr>
    </w:p>
    <w:p w:rsidR="00594EB7" w:rsidRPr="000003D0" w:rsidRDefault="00594EB7" w:rsidP="00594EB7">
      <w:pPr>
        <w:shd w:val="clear" w:color="auto" w:fill="FFFFFF" w:themeFill="background1"/>
        <w:spacing w:after="0" w:line="240" w:lineRule="auto"/>
        <w:ind w:firstLine="708"/>
        <w:jc w:val="both"/>
        <w:rPr>
          <w:rFonts w:ascii="Times New Roman" w:hAnsi="Times New Roman" w:cs="Times New Roman"/>
          <w:b/>
          <w:sz w:val="24"/>
          <w:szCs w:val="24"/>
        </w:rPr>
      </w:pPr>
    </w:p>
    <w:p w:rsidR="00594EB7" w:rsidRPr="000003D0" w:rsidRDefault="00594EB7" w:rsidP="00594EB7">
      <w:pPr>
        <w:shd w:val="clear" w:color="auto" w:fill="FFFFFF" w:themeFill="background1"/>
        <w:spacing w:after="0" w:line="240" w:lineRule="auto"/>
        <w:jc w:val="both"/>
        <w:rPr>
          <w:rFonts w:ascii="Times New Roman" w:hAnsi="Times New Roman" w:cs="Times New Roman"/>
          <w:b/>
          <w:sz w:val="24"/>
          <w:szCs w:val="24"/>
        </w:rPr>
      </w:pPr>
      <w:r w:rsidRPr="000003D0">
        <w:rPr>
          <w:rFonts w:ascii="Times New Roman" w:hAnsi="Times New Roman" w:cs="Times New Roman"/>
          <w:b/>
          <w:sz w:val="24"/>
          <w:szCs w:val="24"/>
        </w:rPr>
        <w:lastRenderedPageBreak/>
        <w:t>K čl. I</w:t>
      </w:r>
      <w:r>
        <w:rPr>
          <w:rFonts w:ascii="Times New Roman" w:hAnsi="Times New Roman" w:cs="Times New Roman"/>
          <w:b/>
          <w:sz w:val="24"/>
          <w:szCs w:val="24"/>
        </w:rPr>
        <w:t>I</w:t>
      </w:r>
    </w:p>
    <w:p w:rsidR="00594EB7" w:rsidRDefault="00594EB7" w:rsidP="00594EB7">
      <w:pPr>
        <w:shd w:val="clear" w:color="auto" w:fill="FFFFFF" w:themeFill="background1"/>
        <w:spacing w:after="0" w:line="240" w:lineRule="auto"/>
        <w:jc w:val="both"/>
        <w:rPr>
          <w:rFonts w:ascii="Times New Roman" w:hAnsi="Times New Roman" w:cs="Times New Roman"/>
          <w:sz w:val="24"/>
          <w:szCs w:val="24"/>
        </w:rPr>
      </w:pPr>
      <w:r w:rsidRPr="000003D0">
        <w:rPr>
          <w:rFonts w:ascii="Times New Roman" w:hAnsi="Times New Roman" w:cs="Times New Roman"/>
          <w:sz w:val="24"/>
          <w:szCs w:val="24"/>
        </w:rPr>
        <w:t>Vzhľadom na dĺžku legislatívneho procesu sa navrhuje účinnosť zákona od 1. júla 2024</w:t>
      </w:r>
      <w:r>
        <w:rPr>
          <w:rFonts w:ascii="Times New Roman" w:hAnsi="Times New Roman" w:cs="Times New Roman"/>
          <w:sz w:val="24"/>
          <w:szCs w:val="24"/>
        </w:rPr>
        <w:t>, okrem bodov 1 až 5</w:t>
      </w:r>
      <w:r w:rsidRPr="000003D0">
        <w:rPr>
          <w:rFonts w:ascii="Times New Roman" w:hAnsi="Times New Roman" w:cs="Times New Roman"/>
          <w:sz w:val="24"/>
          <w:szCs w:val="24"/>
        </w:rPr>
        <w:t xml:space="preserve">, ktoré nadobúdajú účinnosť 1. januára 2025. </w:t>
      </w:r>
    </w:p>
    <w:p w:rsidR="00594EB7" w:rsidRPr="000003D0" w:rsidRDefault="00594EB7" w:rsidP="00594EB7">
      <w:pPr>
        <w:rPr>
          <w:rFonts w:ascii="Times New Roman" w:hAnsi="Times New Roman" w:cs="Times New Roman"/>
          <w:sz w:val="24"/>
          <w:szCs w:val="24"/>
        </w:rPr>
      </w:pPr>
    </w:p>
    <w:p w:rsidR="00594EB7" w:rsidRPr="000003D0" w:rsidRDefault="00594EB7" w:rsidP="00DF002F">
      <w:pPr>
        <w:spacing w:after="0" w:line="240" w:lineRule="auto"/>
        <w:ind w:firstLine="708"/>
        <w:jc w:val="both"/>
        <w:rPr>
          <w:rFonts w:ascii="Times New Roman" w:hAnsi="Times New Roman" w:cs="Times New Roman"/>
          <w:sz w:val="24"/>
          <w:szCs w:val="24"/>
        </w:rPr>
      </w:pPr>
    </w:p>
    <w:p w:rsidR="00910A01" w:rsidRDefault="00910A01"/>
    <w:sectPr w:rsidR="00910A0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0B1" w:rsidRDefault="00E820B1" w:rsidP="00594EB7">
      <w:pPr>
        <w:spacing w:after="0" w:line="240" w:lineRule="auto"/>
      </w:pPr>
      <w:r>
        <w:separator/>
      </w:r>
    </w:p>
  </w:endnote>
  <w:endnote w:type="continuationSeparator" w:id="0">
    <w:p w:rsidR="00E820B1" w:rsidRDefault="00E820B1" w:rsidP="0059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831260"/>
      <w:docPartObj>
        <w:docPartGallery w:val="Page Numbers (Bottom of Page)"/>
        <w:docPartUnique/>
      </w:docPartObj>
    </w:sdtPr>
    <w:sdtContent>
      <w:p w:rsidR="00594EB7" w:rsidRDefault="00594EB7">
        <w:pPr>
          <w:pStyle w:val="Pta"/>
          <w:jc w:val="right"/>
        </w:pPr>
        <w:r>
          <w:fldChar w:fldCharType="begin"/>
        </w:r>
        <w:r>
          <w:instrText>PAGE   \* MERGEFORMAT</w:instrText>
        </w:r>
        <w:r>
          <w:fldChar w:fldCharType="separate"/>
        </w:r>
        <w:r>
          <w:rPr>
            <w:noProof/>
          </w:rPr>
          <w:t>3</w:t>
        </w:r>
        <w:r>
          <w:fldChar w:fldCharType="end"/>
        </w:r>
      </w:p>
    </w:sdtContent>
  </w:sdt>
  <w:p w:rsidR="00594EB7" w:rsidRDefault="00594E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0B1" w:rsidRDefault="00E820B1" w:rsidP="00594EB7">
      <w:pPr>
        <w:spacing w:after="0" w:line="240" w:lineRule="auto"/>
      </w:pPr>
      <w:r>
        <w:separator/>
      </w:r>
    </w:p>
  </w:footnote>
  <w:footnote w:type="continuationSeparator" w:id="0">
    <w:p w:rsidR="00E820B1" w:rsidRDefault="00E820B1" w:rsidP="00594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846A6"/>
    <w:multiLevelType w:val="hybridMultilevel"/>
    <w:tmpl w:val="8ED87684"/>
    <w:lvl w:ilvl="0" w:tplc="BBB0C3F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2F"/>
    <w:rsid w:val="00594EB7"/>
    <w:rsid w:val="00910A01"/>
    <w:rsid w:val="00DF002F"/>
    <w:rsid w:val="00E820B1"/>
    <w:rsid w:val="00EE08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E6BBE"/>
  <w15:chartTrackingRefBased/>
  <w15:docId w15:val="{4E8C2A6B-F001-413D-986C-CB5A00694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F002F"/>
  </w:style>
  <w:style w:type="paragraph" w:styleId="Nadpis1">
    <w:name w:val="heading 1"/>
    <w:basedOn w:val="Normlny"/>
    <w:next w:val="Normlny"/>
    <w:link w:val="Nadpis1Char"/>
    <w:uiPriority w:val="99"/>
    <w:qFormat/>
    <w:rsid w:val="00DF002F"/>
    <w:pPr>
      <w:keepNext/>
      <w:autoSpaceDE w:val="0"/>
      <w:autoSpaceDN w:val="0"/>
      <w:adjustRightInd w:val="0"/>
      <w:spacing w:after="0" w:line="240" w:lineRule="auto"/>
      <w:jc w:val="center"/>
      <w:outlineLvl w:val="0"/>
    </w:pPr>
    <w:rPr>
      <w:rFonts w:ascii="Cambria" w:eastAsia="Times New Roman" w:hAnsi="Cambria" w:cs="Cambria"/>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DF002F"/>
    <w:rPr>
      <w:rFonts w:ascii="Cambria" w:eastAsia="Times New Roman" w:hAnsi="Cambria" w:cs="Cambria"/>
      <w:b/>
      <w:bCs/>
      <w:kern w:val="32"/>
      <w:sz w:val="32"/>
      <w:szCs w:val="32"/>
      <w:lang w:eastAsia="sk-SK"/>
    </w:rPr>
  </w:style>
  <w:style w:type="paragraph" w:styleId="Normlnywebov">
    <w:name w:val="Normal (Web)"/>
    <w:basedOn w:val="Normlny"/>
    <w:uiPriority w:val="99"/>
    <w:rsid w:val="00DF002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aliases w:val="Odsek zoznamu1,Odsek,body,Odsek zoznamu2,ODRAZKY PRVA UROVEN,Nad,Odstavec_muj,Conclusion de partie,_Odstavec se seznamem,Seznam - odrážky,Odstavec cíl se seznamem,Odstavec se seznamem5,List Paragraph (Czech Tourism),Odsek zákon"/>
    <w:basedOn w:val="Normlny"/>
    <w:link w:val="OdsekzoznamuChar"/>
    <w:uiPriority w:val="34"/>
    <w:qFormat/>
    <w:rsid w:val="00594EB7"/>
    <w:pPr>
      <w:ind w:left="720"/>
      <w:contextualSpacing/>
    </w:pPr>
  </w:style>
  <w:style w:type="character" w:customStyle="1" w:styleId="OdsekzoznamuChar">
    <w:name w:val="Odsek zoznamu Char"/>
    <w:aliases w:val="Odsek zoznamu1 Char,Odsek Char,body Char,Odsek zoznamu2 Char,ODRAZKY PRVA UROVEN Char,Nad Char,Odstavec_muj Char,Conclusion de partie Char,_Odstavec se seznamem Char,Seznam - odrážky Char,Odstavec cíl se seznamem Char,Odsek zákon Char"/>
    <w:link w:val="Odsekzoznamu"/>
    <w:uiPriority w:val="34"/>
    <w:qFormat/>
    <w:locked/>
    <w:rsid w:val="00594EB7"/>
  </w:style>
  <w:style w:type="paragraph" w:styleId="Hlavika">
    <w:name w:val="header"/>
    <w:basedOn w:val="Normlny"/>
    <w:link w:val="HlavikaChar"/>
    <w:uiPriority w:val="99"/>
    <w:unhideWhenUsed/>
    <w:rsid w:val="00594E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94EB7"/>
  </w:style>
  <w:style w:type="paragraph" w:styleId="Pta">
    <w:name w:val="footer"/>
    <w:basedOn w:val="Normlny"/>
    <w:link w:val="PtaChar"/>
    <w:uiPriority w:val="99"/>
    <w:unhideWhenUsed/>
    <w:rsid w:val="00594EB7"/>
    <w:pPr>
      <w:tabs>
        <w:tab w:val="center" w:pos="4536"/>
        <w:tab w:val="right" w:pos="9072"/>
      </w:tabs>
      <w:spacing w:after="0" w:line="240" w:lineRule="auto"/>
    </w:pPr>
  </w:style>
  <w:style w:type="character" w:customStyle="1" w:styleId="PtaChar">
    <w:name w:val="Päta Char"/>
    <w:basedOn w:val="Predvolenpsmoodseku"/>
    <w:link w:val="Pta"/>
    <w:uiPriority w:val="99"/>
    <w:rsid w:val="00594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1339</Words>
  <Characters>7634</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Kisová Gabriela</dc:creator>
  <cp:keywords/>
  <dc:description/>
  <cp:lastModifiedBy>Kisová Gabriela</cp:lastModifiedBy>
  <cp:revision>3</cp:revision>
  <dcterms:created xsi:type="dcterms:W3CDTF">2024-05-21T11:48:00Z</dcterms:created>
  <dcterms:modified xsi:type="dcterms:W3CDTF">2024-05-21T11:50:00Z</dcterms:modified>
</cp:coreProperties>
</file>