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D05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C10C370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A267DDF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606FA08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1B7BA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173A250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56E3F0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2A5FC0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6291F63" w14:textId="03D4111C" w:rsidR="001B23B7" w:rsidRPr="004B2AA7" w:rsidRDefault="00B233A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legislatívneho</w:t>
            </w:r>
            <w:r w:rsidR="00EF5AD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zámer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</w:t>
            </w:r>
            <w:r w:rsidR="00EF5AD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zákona o</w:t>
            </w:r>
            <w:r w:rsidR="000F3B8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 podpore </w:t>
            </w:r>
            <w:r w:rsidR="00AE7C31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prioritných okreso</w:t>
            </w:r>
            <w:r w:rsidR="000F3B8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</w:p>
        </w:tc>
      </w:tr>
      <w:tr w:rsidR="00612E08" w:rsidRPr="00612E08" w14:paraId="67E927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C22A9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E732B5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7E544" w14:textId="180A41DD" w:rsidR="001B23B7" w:rsidRPr="00612E08" w:rsidRDefault="00EF5AD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</w:t>
            </w:r>
            <w:r w:rsidR="00AE7C31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investícií, regionálneho rozvoja a informatizácie Slovenskej republiky</w:t>
            </w:r>
          </w:p>
        </w:tc>
      </w:tr>
      <w:tr w:rsidR="00612E08" w:rsidRPr="00612E08" w14:paraId="4087377A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353311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98F93A1" w14:textId="77777777" w:rsidR="001B23B7" w:rsidRPr="00612E08" w:rsidRDefault="00747D15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518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B93E0C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E682D3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D9AA3E5" w14:textId="58C24AC6" w:rsidR="001B23B7" w:rsidRPr="00612E08" w:rsidRDefault="00747D1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08E3BAB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4C5E101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323A52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982FE04" w14:textId="2925B53C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157B23F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C50AD3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C71FF02" w14:textId="201D6DC4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</w:tc>
      </w:tr>
      <w:tr w:rsidR="00612E08" w:rsidRPr="00612E08" w14:paraId="510F06C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13023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0D" w14:textId="4E05506D" w:rsidR="001B23B7" w:rsidRPr="004B2BE2" w:rsidRDefault="004B2BE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5B2DCD0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843399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19D" w14:textId="7E8D42EF" w:rsidR="001B23B7" w:rsidRPr="004B2AA7" w:rsidRDefault="004B2BE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D265EF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príl</w:t>
            </w:r>
            <w:r w:rsidR="00B13B34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65ADECC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1F205F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109" w14:textId="4B6F5294" w:rsidR="001B23B7" w:rsidRPr="004B2BE2" w:rsidRDefault="004B2BE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5E1D6E6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612DF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662" w14:textId="6CE3AEF1" w:rsidR="001B23B7" w:rsidRPr="004B2BE2" w:rsidRDefault="005E590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2024</w:t>
            </w:r>
          </w:p>
        </w:tc>
      </w:tr>
      <w:tr w:rsidR="00612E08" w:rsidRPr="00612E08" w14:paraId="6A732A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21B6E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0B55BB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23851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2F635EB2" w14:textId="77777777" w:rsidTr="004B2AA7">
        <w:trPr>
          <w:trHeight w:val="2722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782AB" w14:textId="190828AE" w:rsidR="004B2BE2" w:rsidRPr="004B2BE2" w:rsidRDefault="004B2BE2" w:rsidP="004B2BE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súčasnosti je p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okrok 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 regionálnom rozvoji na úrovni okresu hodnotený na základe údajov </w:t>
            </w:r>
            <w:r w:rsidR="000A0644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podiel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disponibilných uchádzačov o zamestnanie na obyvateľstve v produktívnom veku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okrese</w:t>
            </w:r>
            <w:r w:rsidR="003F52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ktorá sa využíva aj pri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tvorbe verejných politík na hodnotenie úrovne rozvoja regiónov. Na je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základe sú určené najmenej rozvinuté okresy, ktoré sú podporované 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nenávratného regionálneho príspevku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zo štátneho rozpočtu. 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ožno tvrdiť, že cieľom podpory najmenej rozvinutých okresov podľa platnej a účinnej právnej úpravy je tvorba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nových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 zachovanie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existujúcich pracovných miest.</w:t>
            </w:r>
          </w:p>
          <w:p w14:paraId="788C09DD" w14:textId="66BEB8EF" w:rsidR="001B23B7" w:rsidRPr="004B2AA7" w:rsidRDefault="004B2BE2" w:rsidP="001F46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Bez ohľadu na nespochybniteľný význam 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podiel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disponibilných uchádzačov o zamestnanie na obyvateľstve v produktívnom veku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 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hodnotenie 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rozvoj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regiónov platí, že tento indikátor neposkytuje kompletný obraz o rozvinutosti regiónu a jeho výpovedná hodnota bez sprievodných ukazovateľov môže poskytovať skreslený obraz o stave v regióne, napríklad v prípade, keď je príčinou poklesu 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podiel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disponibilných uchádzačov o zamestnanie na obyvateľstve v produktívnom veku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zníženie počtu obyvateľov alebo odchod väčšieho počtu zamestnancov do dôchodku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respektíve zníženie počtu evidovaných nezamestnaných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Hodnotenie regionálneho rozvoja je preto potrebné rozšíriť o ďalšie relevantné oblasti, ako napríklad demografické trendy, respektíve prístup k základným utilitám, ktoré majú zásadný vplyv na podobu a kvalitu života v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regiónoch</w:t>
            </w:r>
            <w:r w:rsidR="001F46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dostupnosť verejných služieb, ako aj obslužnosť územia a podávajú spoľahlivejšie informácie o danom regióne.</w:t>
            </w:r>
          </w:p>
        </w:tc>
      </w:tr>
      <w:tr w:rsidR="00612E08" w:rsidRPr="00612E08" w14:paraId="04FC59E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348C7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274F917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4B57" w14:textId="380BBE86" w:rsidR="001B23B7" w:rsidRPr="004B2AA7" w:rsidRDefault="00BF5390" w:rsidP="00A32F4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Hlavným cieľom </w:t>
            </w:r>
            <w:r w:rsid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navrhovanej právnej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úpravy je odklon od nedostačujúcej definície najmenej rozvinutých okresov, ktorá bola vymedzená iba na základe solitérneho ukazovateľa – 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podiel</w:t>
            </w:r>
            <w:r w:rsidR="000A06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</w:t>
            </w:r>
            <w:r w:rsidR="000A0644" w:rsidRPr="00944C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disponibilných uchádzačov o zamestnanie na obyvateľstve v produktívnom veku</w:t>
            </w:r>
            <w:r w:rsid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 príklon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k zavedeniu a definícii prioritných okresov</w:t>
            </w:r>
            <w:r w:rsid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ktoré sú založené 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zhodnotení ukazovateľov vo viacerých oblastiach. Predkladaná zmena prinesie celistvý a dátovo založený prístup k hodnoteniu regionálneho rozvoja v jeho kľúčových oblastiach, ktorý umožní robiť kvalifikovanejšie a efektívnejšie rozhodnutia na základe objektívne overiteľných dát. </w:t>
            </w:r>
          </w:p>
        </w:tc>
      </w:tr>
      <w:tr w:rsidR="00612E08" w:rsidRPr="00612E08" w14:paraId="63746EB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84887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32B36061" w14:textId="77777777" w:rsidTr="00A32F47">
        <w:trPr>
          <w:trHeight w:val="69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1EE8" w14:textId="096CC1C0" w:rsidR="001B23B7" w:rsidRPr="004B2AA7" w:rsidRDefault="00747D15" w:rsidP="006B3D6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Fyzické osoby, podnikate</w:t>
            </w:r>
            <w:r w:rsidR="00B12817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lia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právnické osoby so sídlom na území Slo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venskej republiky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ktoré budú realizovať projekty v okresoch zaradených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do zoznamu prioritných okresov. </w:t>
            </w:r>
          </w:p>
        </w:tc>
      </w:tr>
      <w:tr w:rsidR="00612E08" w:rsidRPr="00612E08" w14:paraId="623FDE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8548A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7D251598" w14:textId="77777777" w:rsidTr="004B2AA7">
        <w:trPr>
          <w:trHeight w:val="138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B5F54" w14:textId="62122648" w:rsidR="001B23B7" w:rsidRPr="006B3D6E" w:rsidRDefault="009009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Neboli posudzované žiadne alternatívne riešenia, vzhľadom na to, že neboli identifikované spôsoby, ktoré by naplnili sledovaný cieľ.</w:t>
            </w:r>
            <w:r w:rsid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B23B7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</w:t>
            </w:r>
            <w:r w:rsidR="009352EC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je súčasný stav, kedy 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určujúcim kritériom na zaradenie okresu medzi najmenej rozvinuté okresy je </w:t>
            </w:r>
            <w:r w:rsidR="00DF6E05" w:rsidRPr="00DF6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podiel disponibilných uchádzačov o zamestnanie na obyvateľstve v produktívnom veku</w:t>
            </w:r>
            <w:r w:rsidR="00DF6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BF5390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BF5390" w:rsidRPr="006B3D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1319D66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BA60A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B1B9A17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420E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DAF7A84" w14:textId="556E4847" w:rsidR="001B23B7" w:rsidRPr="00612E08" w:rsidRDefault="00CF568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FFBD4B3" w14:textId="2FDEF71D" w:rsidR="001B23B7" w:rsidRPr="00612E08" w:rsidRDefault="00CF568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B3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443FE24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2DA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82A926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75646F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D945C3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F419831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792CD8FD" w14:textId="77777777">
              <w:trPr>
                <w:trHeight w:val="90"/>
              </w:trPr>
              <w:tc>
                <w:tcPr>
                  <w:tcW w:w="8643" w:type="dxa"/>
                </w:tcPr>
                <w:p w14:paraId="73ED7EF8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313D707" w14:textId="77777777">
              <w:trPr>
                <w:trHeight w:val="296"/>
              </w:trPr>
              <w:tc>
                <w:tcPr>
                  <w:tcW w:w="8643" w:type="dxa"/>
                </w:tcPr>
                <w:p w14:paraId="488D6D80" w14:textId="28B971DB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3B3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4AEB09F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CBABDE4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14:paraId="080191C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0D5861C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6C09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0C572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86CF2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500E8C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4568" w14:textId="5A476995" w:rsidR="003C6443" w:rsidRPr="00CF568A" w:rsidRDefault="003C6443" w:rsidP="003C6443">
            <w:pPr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K preskúmaniu účelnosti predklada</w:t>
            </w:r>
            <w:r w:rsidRPr="00C4241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ného materiálu by malo dôjsť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až po účinnosti Návrhu zákona o podpore prioritných okresov</w:t>
            </w:r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, najneskôr však 3 roky o</w:t>
            </w:r>
            <w:r w:rsidRPr="00C4241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d účinnosti predkladaného materiálu</w:t>
            </w:r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r w:rsid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a to </w:t>
            </w:r>
            <w:bookmarkEnd w:id="0"/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na základe získaných poznatkov z aplikačnej praxe. Kritériom preskúmania účelnosti budú výsledky kontrol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dodržiavania povinností vyplývajúcich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 Návrhu zákona o podpore prioritných okresov a podnetov od dotknutých subjektov</w:t>
            </w:r>
            <w:r w:rsidRPr="00CF568A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0782EE6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9DE08EE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3D991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3281839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4361401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9AA4746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0F17338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1CC004E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609674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2B7EAB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34B7A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37683AC" w14:textId="68DECC77" w:rsidR="001B23B7" w:rsidRPr="00612E08" w:rsidRDefault="00B13B3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4A6169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2BD1557" w14:textId="5E262BF1" w:rsidR="001B23B7" w:rsidRPr="00612E08" w:rsidRDefault="00417C0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E881D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4C93F9C" w14:textId="0B9B2765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79A3A36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DAC08C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B4DBD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96324D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B8851FA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7BD9474" w14:textId="57915D5D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F4D53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A3BBB3" w14:textId="17D2F4BF" w:rsidR="001B23B7" w:rsidRPr="00612E08" w:rsidRDefault="00417C0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64A861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9C6FB8" w14:textId="788D575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76E7EC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29BEC06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DA5F90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390EEE7" w14:textId="029E51FA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29FAB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78446C6" w14:textId="3D760461" w:rsidR="003145AE" w:rsidRPr="00612E08" w:rsidRDefault="00417C0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9C034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436A377" w14:textId="3E420F7C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2A02EB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71E9995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5E8BAE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1C57680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3E4674" w14:textId="6C0A5F31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1CAA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681B78" w14:textId="162EAB79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2AA4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7B3DE9" w14:textId="12C60958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DE8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42A2B2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F6D51A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5A1678" w14:textId="56DD72C5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CD32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C9B84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6DA77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37D3F5" w14:textId="1669D4E2" w:rsidR="00A7788F" w:rsidRPr="00612E08" w:rsidRDefault="00417C0B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37D7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44D078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0C5DD78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CE12D3" w14:textId="482D4B2B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4CE0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5147FB" w14:textId="73CA1200" w:rsidR="007F587A" w:rsidRPr="00612E08" w:rsidRDefault="00417C0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3135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49E26B" w14:textId="4EC1405C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1FB4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763D34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27407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EE07DA0" w14:textId="0A9C01D4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05B0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0F04D8C" w14:textId="59941190" w:rsidR="007F587A" w:rsidRPr="00612E08" w:rsidRDefault="00417C0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DBA3F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2E05BD" w14:textId="67FBD2C7"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9EDBD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4C057C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BAE288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63555B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CB42BE6" w14:textId="28502154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4F51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43C3C37" w14:textId="118FC1AA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EEC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41B925A" w14:textId="28684F4B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CA347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AE7E6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7B45B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F2EEF0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959093" w14:textId="068485B0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842D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96AC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330D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064177" w14:textId="3F6DA97F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280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A7D51B5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4349B9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42166D" w14:textId="601FBC6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FEE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D9E3AB" w14:textId="0F58E046" w:rsidR="007F587A" w:rsidRPr="00612E08" w:rsidRDefault="00417C0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0172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85DD28" w14:textId="38AC8455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2302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82157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B45FE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6D0D267" w14:textId="6C6AA7EC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481F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9A1A85" w14:textId="3D8DA4E0" w:rsidR="007F587A" w:rsidRPr="00612E08" w:rsidRDefault="00417C0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58F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794D33" w14:textId="1847AC74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37F2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97037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7D902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110FF6A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236317" w14:textId="5ED1A289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D648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6CD4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E4A7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9C05F5" w14:textId="3E0A9062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677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4FDF18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6BDD4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146406" w14:textId="0DAF8274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E30B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AFC41B" w14:textId="3600838B" w:rsidR="007F587A" w:rsidRPr="00612E08" w:rsidRDefault="00417C0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21A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2F5924" w14:textId="3D10FDBC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808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31A87A3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280DB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A292AD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1BA0E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ABA8A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26C15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A931CE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86CF3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CE57D0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64BAC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E5E9D11" w14:textId="501E7881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BC6C2A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D8E830A" w14:textId="7150E298" w:rsidR="000F2BE9" w:rsidRPr="00612E08" w:rsidRDefault="00B0698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45F32B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98E9EF9" w14:textId="3CAA4745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5951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7EC85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F96D8D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EC7A24" w14:textId="3C2B9FC2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16683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AA97F44" w14:textId="387C1068" w:rsidR="000F2BE9" w:rsidRPr="00612E08" w:rsidRDefault="00B0698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8439C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A88A16" w14:textId="1FACAAA2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A31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2D6DED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D98B52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C2CC70" w14:textId="55E204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9C412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53C926" w14:textId="63C52415" w:rsidR="00A340BB" w:rsidRPr="00612E08" w:rsidRDefault="00B0698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86BC7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2B9B3F" w14:textId="732FFCD3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6D38" w14:textId="77777777" w:rsidR="00B12817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  <w:p w14:paraId="543DD310" w14:textId="77777777" w:rsidR="00A340BB" w:rsidRPr="006B3D6E" w:rsidRDefault="00A340BB" w:rsidP="006B3D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83073CA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41369FC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D6EC5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68C2E7D" w14:textId="77777777" w:rsidTr="004B2AA7">
        <w:trPr>
          <w:trHeight w:val="87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79C4FA9" w14:textId="135A2D7E" w:rsidR="00417C0B" w:rsidRPr="004B2AA7" w:rsidRDefault="004B2BE2" w:rsidP="00417C0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legislatívneho zámeru zákona o podpore prioritných okresov </w:t>
            </w:r>
            <w:r w:rsidR="00417C0B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ako taký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nepredpokladá žiadne </w:t>
            </w:r>
            <w:r w:rsidR="00417C0B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vplyvy.</w:t>
            </w:r>
          </w:p>
          <w:p w14:paraId="72A8F356" w14:textId="76445089" w:rsidR="003C6443" w:rsidRPr="00CF568A" w:rsidRDefault="00417C0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Až samotný návrh zákona </w:t>
            </w:r>
            <w:r w:rsid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 podpore prioritných okresov </w:t>
            </w:r>
            <w:r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môže mať</w:t>
            </w:r>
            <w:r w:rsidRPr="004B2B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B3D6E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vplyv</w:t>
            </w:r>
            <w:r w:rsidR="00735A6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="006B3D6E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rozpočet verejnej správy, vplyv</w:t>
            </w:r>
            <w:r w:rsidR="00735A65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="006B3D6E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podnikateľské prostredie</w:t>
            </w:r>
            <w:r w:rsidR="00A51F4C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sociálne </w:t>
            </w:r>
            <w:r w:rsidR="00741FFF" w:rsidRPr="004B2A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vplyvy.</w:t>
            </w:r>
            <w:r w:rsidR="003C6443">
              <w:t xml:space="preserve"> </w:t>
            </w:r>
          </w:p>
        </w:tc>
      </w:tr>
      <w:tr w:rsidR="00612E08" w:rsidRPr="00612E08" w14:paraId="6D23405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E0622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4E5091F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963A" w14:textId="77777777" w:rsidR="00590747" w:rsidRPr="00590747" w:rsidRDefault="00AE7C31" w:rsidP="004B2A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</w:t>
            </w:r>
            <w:r w:rsidR="009352EC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Matej Hirják</w:t>
            </w:r>
            <w:r w:rsidR="009352EC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</w:p>
          <w:p w14:paraId="42F292D2" w14:textId="77777777" w:rsidR="00FC4C8F" w:rsidRPr="00590747" w:rsidRDefault="00FC4C8F" w:rsidP="00FC4C8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C4C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oddelenie metodiky regionálneho rozvoja</w:t>
            </w:r>
            <w:r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</w:p>
          <w:p w14:paraId="374B7F61" w14:textId="46C5BBA1" w:rsidR="00FC4C8F" w:rsidRDefault="00FC4C8F" w:rsidP="004B2AA7">
            <w:pPr>
              <w:jc w:val="both"/>
              <w:rPr>
                <w:rFonts w:eastAsiaTheme="minorEastAsia"/>
                <w:noProof/>
                <w:color w:val="1F497D"/>
                <w:sz w:val="20"/>
                <w:szCs w:val="20"/>
                <w:lang w:eastAsia="sk-SK"/>
              </w:rPr>
            </w:pPr>
            <w:r w:rsidRPr="00FC4C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odbor metodiky regionálneho rozvoja a koordinácie strategického plánovania</w:t>
            </w:r>
            <w:r>
              <w:rPr>
                <w:rFonts w:eastAsiaTheme="minorEastAsia"/>
                <w:noProof/>
                <w:color w:val="1F497D"/>
                <w:sz w:val="20"/>
                <w:szCs w:val="20"/>
                <w:lang w:eastAsia="sk-SK"/>
              </w:rPr>
              <w:t>,</w:t>
            </w:r>
          </w:p>
          <w:p w14:paraId="722E5F3F" w14:textId="0DDEFAD8" w:rsidR="00FC4C8F" w:rsidRPr="00FC4C8F" w:rsidRDefault="00FC4C8F" w:rsidP="004B2A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C4C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Sekcia regionálneho rozvoja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290702DC" w14:textId="164B4D0F" w:rsidR="00590747" w:rsidRPr="00590747" w:rsidRDefault="009009A8" w:rsidP="004B2A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</w:t>
            </w:r>
            <w:r w:rsidR="00AE7C31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investícií, regionálneho rozvoja a</w:t>
            </w:r>
            <w:r w:rsidR="00590747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AE7C31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informatizácie</w:t>
            </w:r>
            <w:r w:rsidR="00590747"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Slovenskej republiky</w:t>
            </w:r>
            <w:r w:rsidRPr="005907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</w:p>
          <w:p w14:paraId="4471B0C9" w14:textId="62A0E30F" w:rsidR="00590747" w:rsidRPr="00590747" w:rsidRDefault="00590747" w:rsidP="004B2A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hAnsi="Times New Roman" w:cs="Times New Roman"/>
                <w:i/>
                <w:sz w:val="20"/>
                <w:szCs w:val="20"/>
              </w:rPr>
              <w:t>telefónne číslo: (02) 20 92 8155</w:t>
            </w:r>
          </w:p>
          <w:p w14:paraId="7C6874AA" w14:textId="7F34AC72" w:rsidR="001B23B7" w:rsidRPr="00612E08" w:rsidRDefault="00590747" w:rsidP="004B2A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2A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e-mailová adresa: </w:t>
            </w:r>
            <w:hyperlink r:id="rId9" w:history="1">
              <w:r w:rsidR="00747D15" w:rsidRPr="004B2AA7">
                <w:rPr>
                  <w:rStyle w:val="Hypertextovprepojenie"/>
                  <w:rFonts w:ascii="Times New Roman" w:hAnsi="Times New Roman" w:cs="Times New Roman"/>
                  <w:i/>
                  <w:sz w:val="20"/>
                  <w:szCs w:val="20"/>
                </w:rPr>
                <w:t>matej.hirjak@mirri.gov.sk</w:t>
              </w:r>
            </w:hyperlink>
          </w:p>
        </w:tc>
      </w:tr>
      <w:tr w:rsidR="00612E08" w:rsidRPr="00612E08" w14:paraId="1449E26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FCCCC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838F3B3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ECADA" w14:textId="5E5649DF" w:rsidR="001B23B7" w:rsidRPr="004B2AA7" w:rsidRDefault="005F11C2" w:rsidP="009F242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F56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Interné kapacity predkladateľa</w:t>
            </w:r>
          </w:p>
        </w:tc>
      </w:tr>
      <w:tr w:rsidR="00612E08" w:rsidRPr="00612E08" w14:paraId="1994B90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E9E01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6467F76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49BB2EAF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B96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97ED53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0549F88" w14:textId="5960F6A8" w:rsidR="001B23B7" w:rsidRPr="00612E08" w:rsidRDefault="00CF568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978C24D" w14:textId="35464B8F" w:rsidR="001B23B7" w:rsidRPr="00612E08" w:rsidRDefault="00CF568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8C2F005" w14:textId="5DECDBE2" w:rsidR="001B23B7" w:rsidRPr="00612E08" w:rsidRDefault="00CF568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1C5AFCB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7F59CF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492AB1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A41CDE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CFABD6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A3C0B5D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983C49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310BB0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F19DA3B" w14:textId="5B2EBC3D" w:rsidR="001B23B7" w:rsidRPr="00612E08" w:rsidRDefault="00CF568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DD5C932" w14:textId="555C7912" w:rsidR="001B23B7" w:rsidRPr="00612E08" w:rsidRDefault="00CF568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D94731B" w14:textId="77777777" w:rsidR="001B23B7" w:rsidRPr="00612E08" w:rsidRDefault="00CF568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3E4152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00C14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A7088C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8CDD4D" w14:textId="77777777" w:rsidR="00274130" w:rsidRPr="00612E08" w:rsidRDefault="00CF568A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6C11" w14:textId="77777777" w:rsidR="00802A7B" w:rsidRDefault="00802A7B" w:rsidP="001B23B7">
      <w:pPr>
        <w:spacing w:after="0" w:line="240" w:lineRule="auto"/>
      </w:pPr>
      <w:r>
        <w:separator/>
      </w:r>
    </w:p>
  </w:endnote>
  <w:endnote w:type="continuationSeparator" w:id="0">
    <w:p w14:paraId="6399A8BA" w14:textId="77777777" w:rsidR="00802A7B" w:rsidRDefault="00802A7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29D8" w14:textId="77777777" w:rsidR="00E66296" w:rsidRDefault="00E662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05D4A2" w14:textId="479431EE" w:rsidR="001B23B7" w:rsidRPr="006045CB" w:rsidRDefault="008B222D" w:rsidP="006B3D6E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68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BB2151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63E54" w14:textId="77777777" w:rsidR="00E66296" w:rsidRDefault="00E662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99662" w14:textId="77777777" w:rsidR="00802A7B" w:rsidRDefault="00802A7B" w:rsidP="001B23B7">
      <w:pPr>
        <w:spacing w:after="0" w:line="240" w:lineRule="auto"/>
      </w:pPr>
      <w:r>
        <w:separator/>
      </w:r>
    </w:p>
  </w:footnote>
  <w:footnote w:type="continuationSeparator" w:id="0">
    <w:p w14:paraId="3F0A5F70" w14:textId="77777777" w:rsidR="00802A7B" w:rsidRDefault="00802A7B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3C0D" w14:textId="77777777" w:rsidR="00E66296" w:rsidRDefault="00E66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1FBE" w14:textId="77777777" w:rsidR="00E66296" w:rsidRDefault="00E662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0C11" w14:textId="77777777" w:rsidR="00E66296" w:rsidRDefault="00E662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A0644"/>
    <w:rsid w:val="000D348F"/>
    <w:rsid w:val="000F2BE9"/>
    <w:rsid w:val="000F3B85"/>
    <w:rsid w:val="00113AE4"/>
    <w:rsid w:val="00156064"/>
    <w:rsid w:val="001616EA"/>
    <w:rsid w:val="00187182"/>
    <w:rsid w:val="001B23B7"/>
    <w:rsid w:val="001E045A"/>
    <w:rsid w:val="001E3562"/>
    <w:rsid w:val="001F464B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3C6443"/>
    <w:rsid w:val="003F52A9"/>
    <w:rsid w:val="00411898"/>
    <w:rsid w:val="004139FC"/>
    <w:rsid w:val="00417C0B"/>
    <w:rsid w:val="0049476D"/>
    <w:rsid w:val="004A4383"/>
    <w:rsid w:val="004B2AA7"/>
    <w:rsid w:val="004B2BE2"/>
    <w:rsid w:val="004C6831"/>
    <w:rsid w:val="00524B1E"/>
    <w:rsid w:val="00585598"/>
    <w:rsid w:val="00590747"/>
    <w:rsid w:val="00591EC6"/>
    <w:rsid w:val="00591ED3"/>
    <w:rsid w:val="005E590D"/>
    <w:rsid w:val="005F11C2"/>
    <w:rsid w:val="00612E08"/>
    <w:rsid w:val="00654A4F"/>
    <w:rsid w:val="006B3D6E"/>
    <w:rsid w:val="006F678E"/>
    <w:rsid w:val="006F6B62"/>
    <w:rsid w:val="00720322"/>
    <w:rsid w:val="00735A65"/>
    <w:rsid w:val="007409F3"/>
    <w:rsid w:val="00741FFF"/>
    <w:rsid w:val="00747D15"/>
    <w:rsid w:val="0075197E"/>
    <w:rsid w:val="00761208"/>
    <w:rsid w:val="007756BE"/>
    <w:rsid w:val="007B40C1"/>
    <w:rsid w:val="007C5312"/>
    <w:rsid w:val="007D6F2C"/>
    <w:rsid w:val="007F587A"/>
    <w:rsid w:val="0080042A"/>
    <w:rsid w:val="00802A7B"/>
    <w:rsid w:val="00865E81"/>
    <w:rsid w:val="008801B5"/>
    <w:rsid w:val="00881E07"/>
    <w:rsid w:val="008B222D"/>
    <w:rsid w:val="008C79B7"/>
    <w:rsid w:val="009009A8"/>
    <w:rsid w:val="009352EC"/>
    <w:rsid w:val="009431E3"/>
    <w:rsid w:val="009475F5"/>
    <w:rsid w:val="009717F5"/>
    <w:rsid w:val="00977498"/>
    <w:rsid w:val="0098472E"/>
    <w:rsid w:val="009C424C"/>
    <w:rsid w:val="009E09F7"/>
    <w:rsid w:val="009F2421"/>
    <w:rsid w:val="009F4832"/>
    <w:rsid w:val="00A32F47"/>
    <w:rsid w:val="00A340BB"/>
    <w:rsid w:val="00A51F4C"/>
    <w:rsid w:val="00A60413"/>
    <w:rsid w:val="00A63E66"/>
    <w:rsid w:val="00A7788F"/>
    <w:rsid w:val="00AC30D6"/>
    <w:rsid w:val="00AE7C31"/>
    <w:rsid w:val="00AF3FE4"/>
    <w:rsid w:val="00B00B6E"/>
    <w:rsid w:val="00B0698C"/>
    <w:rsid w:val="00B12817"/>
    <w:rsid w:val="00B13B34"/>
    <w:rsid w:val="00B233A1"/>
    <w:rsid w:val="00B547F5"/>
    <w:rsid w:val="00B84F87"/>
    <w:rsid w:val="00BA2BF4"/>
    <w:rsid w:val="00BF5390"/>
    <w:rsid w:val="00C42410"/>
    <w:rsid w:val="00C42F71"/>
    <w:rsid w:val="00C74A19"/>
    <w:rsid w:val="00C86714"/>
    <w:rsid w:val="00C94E4E"/>
    <w:rsid w:val="00CB08AE"/>
    <w:rsid w:val="00CD6E04"/>
    <w:rsid w:val="00CE39FC"/>
    <w:rsid w:val="00CE6AAE"/>
    <w:rsid w:val="00CF1A25"/>
    <w:rsid w:val="00CF568A"/>
    <w:rsid w:val="00D2313B"/>
    <w:rsid w:val="00D265EF"/>
    <w:rsid w:val="00D50F1E"/>
    <w:rsid w:val="00DF357C"/>
    <w:rsid w:val="00DF6E05"/>
    <w:rsid w:val="00E440B4"/>
    <w:rsid w:val="00E66296"/>
    <w:rsid w:val="00EB2596"/>
    <w:rsid w:val="00EC19AA"/>
    <w:rsid w:val="00ED165A"/>
    <w:rsid w:val="00ED1AC0"/>
    <w:rsid w:val="00ED204D"/>
    <w:rsid w:val="00EF5AD5"/>
    <w:rsid w:val="00F50A84"/>
    <w:rsid w:val="00F87681"/>
    <w:rsid w:val="00FA02DB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3A9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47D1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17C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7C0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7C0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7C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7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tej.hirjak@mirri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vplyvov"/>
    <f:field ref="objsubject" par="" edit="true" text=""/>
    <f:field ref="objcreatedby" par="" text="Stančik, Gabriel, Ing."/>
    <f:field ref="objcreatedat" par="" text="8.2.2024 15:50:50"/>
    <f:field ref="objchangedby" par="" text="Administrator, System"/>
    <f:field ref="objmodifiedat" par="" text="8.2.2024 15:50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2C81B7-1BBC-4A4A-BBF2-F633965F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2024-04-18T09:38:00Z</dcterms:created>
  <dcterms:modified xsi:type="dcterms:W3CDTF">2024-05-14T13:28:00Z</dcterms:modified>
</cp:coreProperties>
</file>