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6A6B4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58E62B1E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1111151D" w14:textId="77777777"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763ACA3" w14:textId="77777777"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5E2BE69" w14:textId="77777777"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06AF89C8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14:paraId="68BC063F" w14:textId="77777777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174563A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5C0C8E4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14:paraId="79AC0732" w14:textId="77777777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10489CC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CB2EB09" w14:textId="77777777" w:rsidR="007D5748" w:rsidRPr="007B7470" w:rsidRDefault="00AC387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06EF9E53" w14:textId="77777777" w:rsidR="007D5748" w:rsidRPr="007B7470" w:rsidRDefault="00AC387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319998C4" w14:textId="77777777" w:rsidR="007D5748" w:rsidRPr="007B7470" w:rsidRDefault="00AC387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C865D09" w14:textId="77777777" w:rsidR="007D5748" w:rsidRPr="007B7470" w:rsidRDefault="00AC387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14:paraId="0C07981E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579CFCC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3C9A429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4FAAFE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03BA24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ACCC0A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2D742384" w14:textId="77777777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1A637B6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7581393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97BD76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F046D81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7E9BFE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545FDB2B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B83389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541E2D0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4B2464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63ED86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3FFB8C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14:paraId="6D1593AB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C67E1A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3848A62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619E72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AC6831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CA0BA3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14:paraId="2F1A7147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FCEFB55" w14:textId="77777777"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728CE197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1B7457C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F1619E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D3AAD62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182413DE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478811E" w14:textId="77777777" w:rsidR="007D5748" w:rsidRPr="007B747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3DFE2AF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AC277F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180B70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1F9D31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55A5EE61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B1ADE8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10D7A15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B550DE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902159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039CD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691A6E53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9B6D14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5587B36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1F9BCF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4D283E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B1B15A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446D2666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6074B0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50D551E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B51F3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7BF95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1A6A4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D5FBB" w:rsidRPr="007B7470" w14:paraId="6A1D7EB3" w14:textId="77777777" w:rsidTr="0043226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2A66FEC2" w14:textId="77777777" w:rsidR="006D5FBB" w:rsidRPr="007B7470" w:rsidRDefault="006D5FBB" w:rsidP="006D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C481AF0" w14:textId="77777777" w:rsidR="006D5FBB" w:rsidRPr="007B7470" w:rsidRDefault="006D5FBB" w:rsidP="006D5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C3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59 066 775</w:t>
            </w:r>
          </w:p>
        </w:tc>
        <w:tc>
          <w:tcPr>
            <w:tcW w:w="1267" w:type="dxa"/>
            <w:shd w:val="clear" w:color="auto" w:fill="C0C0C0"/>
            <w:noWrap/>
            <w:vAlign w:val="bottom"/>
          </w:tcPr>
          <w:p w14:paraId="053E4774" w14:textId="11007445" w:rsidR="006D5FBB" w:rsidRPr="007B7470" w:rsidRDefault="006D5FBB" w:rsidP="006D5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3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69 614 413 </w:t>
            </w:r>
          </w:p>
        </w:tc>
        <w:tc>
          <w:tcPr>
            <w:tcW w:w="1267" w:type="dxa"/>
            <w:shd w:val="clear" w:color="auto" w:fill="C0C0C0"/>
            <w:noWrap/>
            <w:vAlign w:val="bottom"/>
          </w:tcPr>
          <w:p w14:paraId="4147CD96" w14:textId="6D5D7A3B" w:rsidR="006D5FBB" w:rsidRPr="007B7470" w:rsidRDefault="006D5FBB" w:rsidP="006D5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E6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76 353 088 </w:t>
            </w:r>
          </w:p>
        </w:tc>
        <w:tc>
          <w:tcPr>
            <w:tcW w:w="1267" w:type="dxa"/>
            <w:shd w:val="clear" w:color="auto" w:fill="C0C0C0"/>
            <w:noWrap/>
            <w:vAlign w:val="bottom"/>
          </w:tcPr>
          <w:p w14:paraId="7AA6BFEA" w14:textId="68316CD7" w:rsidR="006D5FBB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77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86 234 076 </w:t>
            </w:r>
          </w:p>
        </w:tc>
      </w:tr>
      <w:tr w:rsidR="007D5748" w:rsidRPr="007B7470" w14:paraId="6535E3E2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8927B4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14:paraId="768F71D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80EF6E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12400B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3C813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45CAEDD9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F744B3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0B75547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F3645E1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0238AC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E8EC28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77B25" w:rsidRPr="007B7470" w14:paraId="5C15B2C6" w14:textId="77777777" w:rsidTr="0043226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5136817" w14:textId="77777777" w:rsidR="00C77B25" w:rsidRPr="007B7470" w:rsidRDefault="00C77B25" w:rsidP="00C7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</w:tcPr>
          <w:p w14:paraId="248CEE0F" w14:textId="77777777" w:rsidR="00C77B25" w:rsidRPr="00AC387C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C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59 066 775</w:t>
            </w:r>
          </w:p>
        </w:tc>
        <w:tc>
          <w:tcPr>
            <w:tcW w:w="1267" w:type="dxa"/>
            <w:noWrap/>
            <w:vAlign w:val="bottom"/>
          </w:tcPr>
          <w:p w14:paraId="4D9575AA" w14:textId="5D928D1F" w:rsidR="00C77B25" w:rsidRPr="00AC387C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3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69 614 413 </w:t>
            </w:r>
          </w:p>
        </w:tc>
        <w:tc>
          <w:tcPr>
            <w:tcW w:w="1267" w:type="dxa"/>
            <w:noWrap/>
            <w:vAlign w:val="bottom"/>
          </w:tcPr>
          <w:p w14:paraId="79CFC7C8" w14:textId="127BBD2E" w:rsidR="00C77B25" w:rsidRPr="00AC387C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81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76 353 088 </w:t>
            </w:r>
          </w:p>
        </w:tc>
        <w:tc>
          <w:tcPr>
            <w:tcW w:w="1267" w:type="dxa"/>
            <w:noWrap/>
            <w:vAlign w:val="bottom"/>
          </w:tcPr>
          <w:p w14:paraId="3330395F" w14:textId="5AA9D802" w:rsidR="00C77B25" w:rsidRPr="00AC387C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77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86 234 076 </w:t>
            </w:r>
          </w:p>
        </w:tc>
      </w:tr>
      <w:tr w:rsidR="00C77B25" w:rsidRPr="007B7470" w14:paraId="0A58D160" w14:textId="77777777" w:rsidTr="00EE628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77837C9" w14:textId="77777777" w:rsidR="00C77B25" w:rsidRPr="007B7470" w:rsidRDefault="00C77B25" w:rsidP="00C77B25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</w:tcPr>
          <w:p w14:paraId="6A00FC66" w14:textId="77777777" w:rsidR="00C77B25" w:rsidRPr="00AC387C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C38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59 066 775</w:t>
            </w:r>
          </w:p>
        </w:tc>
        <w:tc>
          <w:tcPr>
            <w:tcW w:w="1267" w:type="dxa"/>
            <w:noWrap/>
          </w:tcPr>
          <w:p w14:paraId="42DFC1DA" w14:textId="5D9A3646" w:rsidR="00C77B25" w:rsidRPr="00AC387C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376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69 614 413 </w:t>
            </w:r>
          </w:p>
        </w:tc>
        <w:tc>
          <w:tcPr>
            <w:tcW w:w="1267" w:type="dxa"/>
            <w:noWrap/>
            <w:vAlign w:val="bottom"/>
          </w:tcPr>
          <w:p w14:paraId="1D1C9825" w14:textId="3DC299F5" w:rsidR="00C77B25" w:rsidRPr="006D5FBB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E62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76 353 088 </w:t>
            </w:r>
          </w:p>
        </w:tc>
        <w:tc>
          <w:tcPr>
            <w:tcW w:w="1267" w:type="dxa"/>
            <w:noWrap/>
            <w:vAlign w:val="bottom"/>
          </w:tcPr>
          <w:p w14:paraId="6D059603" w14:textId="0D7FDA10" w:rsidR="00C77B25" w:rsidRPr="00C77B25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77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86 234 076 </w:t>
            </w:r>
          </w:p>
        </w:tc>
      </w:tr>
      <w:tr w:rsidR="00C77B25" w:rsidRPr="007B7470" w14:paraId="0A6509AE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C651317" w14:textId="77777777" w:rsidR="00C77B25" w:rsidRPr="007B7470" w:rsidRDefault="00C77B25" w:rsidP="00C77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1C9A0A36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C867D93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8C66F1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B55ECAA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77B25" w:rsidRPr="007B7470" w14:paraId="57739D73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1311C78" w14:textId="77777777" w:rsidR="00C77B25" w:rsidRPr="007B7470" w:rsidRDefault="00C77B25" w:rsidP="00C77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341E13A4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E45193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21A2375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FCF1C0A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77B25" w:rsidRPr="007B7470" w14:paraId="305A927D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96C1B40" w14:textId="77777777" w:rsidR="00C77B25" w:rsidRPr="007B7470" w:rsidRDefault="00C77B25" w:rsidP="00C7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135E0AE5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D49FDA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052B91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650416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7B25" w:rsidRPr="007B7470" w14:paraId="1257546B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DB29EBA" w14:textId="77777777" w:rsidR="00C77B25" w:rsidRPr="007B7470" w:rsidRDefault="00C77B25" w:rsidP="00C77B25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68800CD3" w14:textId="77777777" w:rsidR="00C77B25" w:rsidRPr="007B7470" w:rsidRDefault="00C77B25" w:rsidP="00C77B25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1378F0E4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1BE266F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6D52E5E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608EEA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77B25" w:rsidRPr="007B7470" w14:paraId="50BAD1D8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B4E4332" w14:textId="77777777" w:rsidR="00C77B25" w:rsidRPr="007B7470" w:rsidRDefault="00C77B25" w:rsidP="00C7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4474A317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9A17F99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A8ED0B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29A9E62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7B25" w:rsidRPr="007B7470" w14:paraId="2CC63041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A1126CF" w14:textId="77777777" w:rsidR="00C77B25" w:rsidRPr="007B7470" w:rsidRDefault="00C77B25" w:rsidP="00C77B25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6F0A96C8" w14:textId="77777777" w:rsidR="00C77B25" w:rsidRPr="007B7470" w:rsidRDefault="00C77B25" w:rsidP="00C77B25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044770B8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BBF246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C4A4072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972729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77B25" w:rsidRPr="007B7470" w14:paraId="5FCF290B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A35F7B8" w14:textId="77777777" w:rsidR="00C77B25" w:rsidRPr="007B7470" w:rsidRDefault="00C77B25" w:rsidP="00C7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136D19F9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B8A2DE9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F103649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FF64EA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7B25" w:rsidRPr="007B7470" w14:paraId="14470E7E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29666224" w14:textId="77777777" w:rsidR="00C77B25" w:rsidRPr="007B7470" w:rsidRDefault="00C77B25" w:rsidP="00C7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7CFBC12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76ED2D5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19B1C7B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6A07220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77B25" w:rsidRPr="007B7470" w14:paraId="6E5FE2BF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503BB96" w14:textId="77777777" w:rsidR="00C77B25" w:rsidRPr="007B7470" w:rsidRDefault="00C77B25" w:rsidP="00C7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7B402BBA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DA6E49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1C5E021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F342442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7B25" w:rsidRPr="007B7470" w14:paraId="06E10883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F8AB35E" w14:textId="77777777" w:rsidR="00C77B25" w:rsidRPr="007B7470" w:rsidRDefault="00C77B25" w:rsidP="00C7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37101243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E996A94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E9AB297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C22A63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7B25" w:rsidRPr="007B7470" w14:paraId="6117D647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210367A" w14:textId="77777777" w:rsidR="00C77B25" w:rsidRPr="007B7470" w:rsidRDefault="00C77B25" w:rsidP="00C7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lastRenderedPageBreak/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4306923A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E24A5D8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FB3A18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6F0707A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7B25" w:rsidRPr="007B7470" w14:paraId="3CF090A3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A845974" w14:textId="77777777" w:rsidR="00C77B25" w:rsidRPr="007B7470" w:rsidRDefault="00C77B25" w:rsidP="00C7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7268940D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104998E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883A68B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98E0B1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7B25" w:rsidRPr="007B7470" w14:paraId="701539C7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73E988BD" w14:textId="77777777" w:rsidR="00C77B25" w:rsidRPr="007B7470" w:rsidRDefault="00C77B25" w:rsidP="00C7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12FBE75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FAA7BD2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A5D2804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2D4FDB0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C77B25" w:rsidRPr="007B7470" w14:paraId="24243A8F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9567669" w14:textId="77777777" w:rsidR="00C77B25" w:rsidRPr="007B7470" w:rsidRDefault="00C77B25" w:rsidP="00C7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05098260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8DB4376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EB7F49C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2FF059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7B25" w:rsidRPr="007B7470" w14:paraId="4A3C32CA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CE74A95" w14:textId="77777777" w:rsidR="00C77B25" w:rsidRPr="007B7470" w:rsidRDefault="00C77B25" w:rsidP="00C7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7024E64E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2A436AC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D2338A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B0FDA73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7B25" w:rsidRPr="007B7470" w14:paraId="7EE56A9F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2753987" w14:textId="77777777" w:rsidR="00C77B25" w:rsidRPr="007B7470" w:rsidRDefault="00C77B25" w:rsidP="00C7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662CAC6F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AE00799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F90714A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5715A0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7B25" w:rsidRPr="007B7470" w14:paraId="3E678F0D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2384B40" w14:textId="77777777" w:rsidR="00C77B25" w:rsidRPr="007B7470" w:rsidRDefault="00C77B25" w:rsidP="00C7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04ABA8E6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87B4071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B64146E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709096" w14:textId="777777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7B25" w:rsidRPr="007B7470" w14:paraId="0A9AF8AF" w14:textId="77777777" w:rsidTr="00EE4BD0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25E7C748" w14:textId="77777777" w:rsidR="00C77B25" w:rsidRPr="00AC387C" w:rsidRDefault="00C77B25" w:rsidP="00C7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</w:tcPr>
          <w:p w14:paraId="47D4DBAA" w14:textId="77777777" w:rsidR="00C77B25" w:rsidRPr="00A05138" w:rsidRDefault="00C77B25" w:rsidP="00C77B25">
            <w:pPr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59 066 775 </w:t>
            </w:r>
          </w:p>
        </w:tc>
        <w:tc>
          <w:tcPr>
            <w:tcW w:w="1267" w:type="dxa"/>
            <w:shd w:val="clear" w:color="auto" w:fill="C0C0C0"/>
            <w:noWrap/>
          </w:tcPr>
          <w:p w14:paraId="4BFBDFAD" w14:textId="69238495" w:rsidR="00C77B25" w:rsidRPr="00A05138" w:rsidRDefault="00C77B25" w:rsidP="00C77B25">
            <w:pPr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> 60 311 903</w:t>
            </w:r>
          </w:p>
        </w:tc>
        <w:tc>
          <w:tcPr>
            <w:tcW w:w="1267" w:type="dxa"/>
            <w:shd w:val="clear" w:color="auto" w:fill="C0C0C0"/>
            <w:noWrap/>
          </w:tcPr>
          <w:p w14:paraId="18C0BE4D" w14:textId="2CAC1E86" w:rsidR="00C77B25" w:rsidRPr="00A05138" w:rsidRDefault="00C77B25" w:rsidP="00C77B25">
            <w:pPr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> 60 677 393</w:t>
            </w:r>
            <w:r w:rsidRPr="00A05138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shd w:val="clear" w:color="auto" w:fill="C0C0C0"/>
            <w:noWrap/>
          </w:tcPr>
          <w:p w14:paraId="35514A45" w14:textId="4FAFF2D8" w:rsidR="00C77B25" w:rsidRPr="00A05138" w:rsidRDefault="00C77B25" w:rsidP="00C77B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>  61 171 307</w:t>
            </w:r>
            <w:r w:rsidRPr="00A05138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   </w:t>
            </w:r>
          </w:p>
        </w:tc>
      </w:tr>
      <w:tr w:rsidR="00C77B25" w:rsidRPr="007B7470" w14:paraId="23C9FB0C" w14:textId="77777777" w:rsidTr="00125DD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6430D37" w14:textId="22B4015F" w:rsidR="00C77B25" w:rsidRPr="007B7470" w:rsidRDefault="00C77B25" w:rsidP="00C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MK SR </w:t>
            </w:r>
          </w:p>
        </w:tc>
        <w:tc>
          <w:tcPr>
            <w:tcW w:w="1267" w:type="dxa"/>
            <w:noWrap/>
          </w:tcPr>
          <w:p w14:paraId="055EE74D" w14:textId="6EA57140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59 066 775 </w:t>
            </w:r>
          </w:p>
        </w:tc>
        <w:tc>
          <w:tcPr>
            <w:tcW w:w="1267" w:type="dxa"/>
            <w:noWrap/>
          </w:tcPr>
          <w:p w14:paraId="24DC333D" w14:textId="473B55AC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 60 311 903</w:t>
            </w:r>
          </w:p>
        </w:tc>
        <w:tc>
          <w:tcPr>
            <w:tcW w:w="1267" w:type="dxa"/>
            <w:noWrap/>
          </w:tcPr>
          <w:p w14:paraId="2EA682D4" w14:textId="0D246E8A" w:rsidR="00C77B25" w:rsidRPr="007B7470" w:rsidRDefault="00C77B25" w:rsidP="00C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 60 677 393</w:t>
            </w:r>
            <w:r w:rsidRPr="00A05138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noWrap/>
          </w:tcPr>
          <w:p w14:paraId="44F5C66C" w14:textId="55FDC133" w:rsidR="00C77B25" w:rsidRPr="007B7470" w:rsidRDefault="00C77B25" w:rsidP="00C7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>  61 171 307</w:t>
            </w:r>
            <w:r w:rsidRPr="00A05138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   </w:t>
            </w:r>
          </w:p>
        </w:tc>
      </w:tr>
      <w:tr w:rsidR="00C77B25" w:rsidRPr="007B7470" w14:paraId="3F76614A" w14:textId="77777777" w:rsidTr="008C716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6B0BEB9" w14:textId="77777777" w:rsidR="00C77B25" w:rsidRPr="007B7470" w:rsidRDefault="00C77B25" w:rsidP="00C7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</w:tcPr>
          <w:p w14:paraId="15917E00" w14:textId="02E9AC61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noWrap/>
          </w:tcPr>
          <w:p w14:paraId="099B81B9" w14:textId="5986B976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noWrap/>
          </w:tcPr>
          <w:p w14:paraId="2DCC40C5" w14:textId="2085D4DD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noWrap/>
          </w:tcPr>
          <w:p w14:paraId="0FDD7FA4" w14:textId="4943E977" w:rsidR="00C77B25" w:rsidRPr="007B7470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77B25" w:rsidRPr="00AC387C" w14:paraId="1558F18B" w14:textId="77777777" w:rsidTr="0090395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3B7F1BE4" w14:textId="77777777" w:rsidR="00C77B25" w:rsidRPr="00AC387C" w:rsidRDefault="00C77B25" w:rsidP="00C7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165DC2A9" w14:textId="146CF583" w:rsidR="00C77B25" w:rsidRPr="00A531EE" w:rsidRDefault="00C77B25" w:rsidP="00C7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14:paraId="26019627" w14:textId="2894AB9E" w:rsidR="00C77B25" w:rsidRPr="00A531EE" w:rsidRDefault="00C77B25" w:rsidP="00C77B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>9 302 510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14:paraId="25EA17F5" w14:textId="1769C351" w:rsidR="00C77B25" w:rsidRPr="00A531EE" w:rsidRDefault="00C77B25" w:rsidP="00C77B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</w:pPr>
            <w:r w:rsidRPr="00EE6283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>15 675 695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14:paraId="20A5D7EA" w14:textId="4F76C355" w:rsidR="00C77B25" w:rsidRPr="00A531EE" w:rsidRDefault="00C77B25" w:rsidP="00C77B2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</w:pPr>
            <w:r w:rsidRPr="00C77B25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>25 062 769</w:t>
            </w:r>
          </w:p>
        </w:tc>
      </w:tr>
    </w:tbl>
    <w:bookmarkEnd w:id="1"/>
    <w:p w14:paraId="10372A8E" w14:textId="77777777" w:rsidR="001F624A" w:rsidRPr="007B7470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275"/>
        <w:gridCol w:w="1276"/>
        <w:gridCol w:w="1276"/>
        <w:gridCol w:w="1276"/>
      </w:tblGrid>
      <w:tr w:rsidR="00AC387C" w:rsidRPr="007B7470" w14:paraId="4AF39132" w14:textId="77777777" w:rsidTr="00AC387C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F6840E2" w14:textId="77777777" w:rsidR="00AC387C" w:rsidRPr="007B7470" w:rsidRDefault="00AC387C" w:rsidP="00AC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D8DF9E3" w14:textId="77777777" w:rsidR="00AC387C" w:rsidRPr="007B7470" w:rsidRDefault="00AC387C" w:rsidP="00AC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AB866DC" w14:textId="77777777" w:rsidR="00AC387C" w:rsidRPr="007B7470" w:rsidRDefault="00AC387C" w:rsidP="00AC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4EE740" w14:textId="77777777" w:rsidR="00AC387C" w:rsidRPr="007B7470" w:rsidRDefault="00AC387C" w:rsidP="00AC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10A8094" w14:textId="77777777" w:rsidR="00AC387C" w:rsidRPr="007B7470" w:rsidRDefault="00AC387C" w:rsidP="00AC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332A42" w:rsidRPr="007B7470" w14:paraId="60FC9A5B" w14:textId="77777777" w:rsidTr="00AC387C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D16066C" w14:textId="77777777" w:rsidR="00332A42" w:rsidRPr="007B7470" w:rsidRDefault="00332A42" w:rsidP="0033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16694" w14:textId="42F28C44" w:rsidR="00332A42" w:rsidRPr="0023376A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913A8" w14:textId="6DFBE87D" w:rsidR="00332A42" w:rsidRPr="0023376A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EE62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9 302 510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3F057" w14:textId="7412F0CD" w:rsidR="00332A42" w:rsidRPr="00332A42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E6283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15 675 695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8316B" w14:textId="60DD1F21" w:rsidR="00332A42" w:rsidRPr="00C77B25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77B25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</w:t>
            </w:r>
            <w:r w:rsidR="00C77B25" w:rsidRPr="00C77B25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25 062 769</w:t>
            </w:r>
            <w:r w:rsidRPr="00C77B25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  </w:t>
            </w:r>
          </w:p>
        </w:tc>
      </w:tr>
      <w:tr w:rsidR="00332A42" w:rsidRPr="007B7470" w14:paraId="2CFE8F0A" w14:textId="77777777" w:rsidTr="00AC387C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5BA6FA5" w14:textId="77777777" w:rsidR="00332A42" w:rsidRPr="007B7470" w:rsidRDefault="00332A42" w:rsidP="00332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v tom: </w:t>
            </w:r>
            <w:r w:rsidRPr="00AC3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Registrované cirkvi a náboženské spoločnosti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9FDEE" w14:textId="268679AA" w:rsidR="00332A42" w:rsidRPr="0023376A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F905E" w14:textId="0FF632A5" w:rsidR="00332A42" w:rsidRPr="0023376A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155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9 302 510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23831" w14:textId="7301AD25" w:rsidR="00332A42" w:rsidRPr="00332A42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E6283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15 675 695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AC08" w14:textId="1CEE0163" w:rsidR="00332A42" w:rsidRPr="00332A42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E6283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</w:t>
            </w:r>
            <w:r w:rsidR="00C77B25" w:rsidRPr="00C77B25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25 062 769   </w:t>
            </w:r>
          </w:p>
        </w:tc>
      </w:tr>
      <w:tr w:rsidR="001C721D" w:rsidRPr="007B7470" w14:paraId="01D39FE0" w14:textId="77777777" w:rsidTr="00AC387C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C24E32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ACA9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705D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76A0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C5F9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32A42" w:rsidRPr="007B7470" w14:paraId="3D039F61" w14:textId="77777777" w:rsidTr="00AC387C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A9139E" w14:textId="77777777" w:rsidR="00332A42" w:rsidRPr="007B7470" w:rsidRDefault="00332A42" w:rsidP="0033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25391" w14:textId="4A77632D" w:rsidR="00332A42" w:rsidRPr="0023376A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CB0E1" w14:textId="6124A37E" w:rsidR="00332A42" w:rsidRPr="006D5FBB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E6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9 302 510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5AFE" w14:textId="55A0F310" w:rsidR="00332A42" w:rsidRPr="006D5FBB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81550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 15 675 695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17F0A" w14:textId="72A3F229" w:rsidR="00332A42" w:rsidRPr="00C77B25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81550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 </w:t>
            </w:r>
            <w:r w:rsidR="00C77B25" w:rsidRPr="00C77B25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</w:t>
            </w:r>
            <w:r w:rsidR="00C77B25" w:rsidRPr="00C77B25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25 062 769   </w:t>
            </w:r>
          </w:p>
        </w:tc>
      </w:tr>
      <w:tr w:rsidR="001C721D" w:rsidRPr="007B7470" w14:paraId="4E6656EE" w14:textId="77777777" w:rsidTr="00AC387C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06275A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7CBD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3EB9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ED70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BE4D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7B7470" w14:paraId="1A6F36CA" w14:textId="77777777" w:rsidTr="00AC387C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721C2D3" w14:textId="77777777" w:rsidR="002135D4" w:rsidRPr="007B7470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F4BC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D991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F6085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CE25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37959297" w14:textId="77777777"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0256EF8" w14:textId="77777777"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371ED7D7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354B3257" w14:textId="77777777"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0D716AA" w14:textId="77777777"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68D302D" w14:textId="7B6F3305" w:rsidR="007D5748" w:rsidRPr="007B7470" w:rsidRDefault="00A531EE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D3A1C">
        <w:rPr>
          <w:rFonts w:ascii="Times New Roman" w:hAnsi="Times New Roman" w:cs="Times New Roman"/>
        </w:rPr>
        <w:lastRenderedPageBreak/>
        <w:t xml:space="preserve">Návrh si vyžaduje vplyv na rozpočet verejnej správy vo výške </w:t>
      </w:r>
      <w:r w:rsidR="00A05138" w:rsidRPr="00A05138">
        <w:rPr>
          <w:rFonts w:ascii="Times New Roman" w:eastAsia="Times New Roman" w:hAnsi="Times New Roman" w:cs="Times New Roman"/>
          <w:color w:val="000000"/>
          <w:lang w:eastAsia="sk-SK"/>
        </w:rPr>
        <w:t xml:space="preserve">69 614 413 </w:t>
      </w:r>
      <w:r w:rsidRPr="002D3A1C">
        <w:rPr>
          <w:rFonts w:ascii="Times New Roman" w:hAnsi="Times New Roman" w:cs="Times New Roman"/>
        </w:rPr>
        <w:t>€ v r. 2025</w:t>
      </w:r>
      <w:r w:rsidR="007D1B4F">
        <w:rPr>
          <w:rFonts w:ascii="Times New Roman" w:hAnsi="Times New Roman" w:cs="Times New Roman"/>
        </w:rPr>
        <w:t xml:space="preserve">, z toho nekryté výdavky vo výške </w:t>
      </w:r>
      <w:r w:rsidR="0043226D">
        <w:rPr>
          <w:rFonts w:ascii="Times New Roman" w:hAnsi="Times New Roman" w:cs="Times New Roman"/>
        </w:rPr>
        <w:t>9 302 510</w:t>
      </w:r>
      <w:r w:rsidR="007D1B4F" w:rsidRPr="00125DDA">
        <w:rPr>
          <w:rFonts w:ascii="Times New Roman" w:hAnsi="Times New Roman" w:cs="Times New Roman"/>
        </w:rPr>
        <w:t xml:space="preserve"> €</w:t>
      </w:r>
      <w:r w:rsidRPr="002D3A1C">
        <w:rPr>
          <w:rFonts w:ascii="Times New Roman" w:hAnsi="Times New Roman" w:cs="Times New Roman"/>
        </w:rPr>
        <w:t>,</w:t>
      </w:r>
      <w:r w:rsidR="007D1B4F">
        <w:rPr>
          <w:rFonts w:ascii="Times New Roman" w:hAnsi="Times New Roman" w:cs="Times New Roman"/>
        </w:rPr>
        <w:t xml:space="preserve"> </w:t>
      </w:r>
      <w:r w:rsidRPr="002D3A1C">
        <w:rPr>
          <w:rFonts w:ascii="Times New Roman" w:hAnsi="Times New Roman" w:cs="Times New Roman"/>
        </w:rPr>
        <w:t> </w:t>
      </w:r>
      <w:r w:rsidR="007D1B4F" w:rsidRPr="002D3A1C">
        <w:rPr>
          <w:rFonts w:ascii="Times New Roman" w:hAnsi="Times New Roman" w:cs="Times New Roman"/>
        </w:rPr>
        <w:t>v r. 2026</w:t>
      </w:r>
      <w:r w:rsidR="007D1B4F">
        <w:rPr>
          <w:rFonts w:ascii="Times New Roman" w:hAnsi="Times New Roman" w:cs="Times New Roman"/>
        </w:rPr>
        <w:t xml:space="preserve"> vplyv vo výške </w:t>
      </w:r>
      <w:r w:rsidR="00C77B25" w:rsidRPr="00EE628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76 353</w:t>
      </w:r>
      <w:r w:rsidR="00C77B2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C77B25" w:rsidRPr="00EE628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088 </w:t>
      </w:r>
      <w:r w:rsidRPr="002D3A1C">
        <w:rPr>
          <w:rFonts w:ascii="Times New Roman" w:hAnsi="Times New Roman" w:cs="Times New Roman"/>
        </w:rPr>
        <w:t>€</w:t>
      </w:r>
      <w:r w:rsidR="007D1B4F">
        <w:rPr>
          <w:rFonts w:ascii="Times New Roman" w:hAnsi="Times New Roman" w:cs="Times New Roman"/>
        </w:rPr>
        <w:t>,</w:t>
      </w:r>
      <w:r w:rsidRPr="002D3A1C">
        <w:rPr>
          <w:rFonts w:ascii="Times New Roman" w:hAnsi="Times New Roman" w:cs="Times New Roman"/>
        </w:rPr>
        <w:t xml:space="preserve"> </w:t>
      </w:r>
      <w:r w:rsidR="007D1B4F">
        <w:rPr>
          <w:rFonts w:ascii="Times New Roman" w:hAnsi="Times New Roman" w:cs="Times New Roman"/>
        </w:rPr>
        <w:t xml:space="preserve">z toho nekryté výdavky vo výške </w:t>
      </w:r>
      <w:r w:rsidR="00C77B25">
        <w:rPr>
          <w:rFonts w:ascii="Times New Roman" w:hAnsi="Times New Roman" w:cs="Times New Roman"/>
        </w:rPr>
        <w:t xml:space="preserve">15 675 695 </w:t>
      </w:r>
      <w:r w:rsidR="007D1B4F">
        <w:rPr>
          <w:rFonts w:ascii="Times New Roman" w:hAnsi="Times New Roman" w:cs="Times New Roman"/>
        </w:rPr>
        <w:t>€</w:t>
      </w:r>
      <w:r w:rsidRPr="002D3A1C">
        <w:rPr>
          <w:rFonts w:ascii="Times New Roman" w:hAnsi="Times New Roman" w:cs="Times New Roman"/>
        </w:rPr>
        <w:t xml:space="preserve"> </w:t>
      </w:r>
      <w:r w:rsidR="00FC775A">
        <w:rPr>
          <w:rFonts w:ascii="Times New Roman" w:hAnsi="Times New Roman" w:cs="Times New Roman"/>
        </w:rPr>
        <w:t>a</w:t>
      </w:r>
      <w:r w:rsidR="007D1B4F">
        <w:rPr>
          <w:rFonts w:ascii="Times New Roman" w:hAnsi="Times New Roman" w:cs="Times New Roman"/>
        </w:rPr>
        <w:t xml:space="preserve"> </w:t>
      </w:r>
      <w:r w:rsidR="007D1B4F" w:rsidRPr="002D3A1C">
        <w:rPr>
          <w:rFonts w:ascii="Times New Roman" w:hAnsi="Times New Roman" w:cs="Times New Roman"/>
        </w:rPr>
        <w:t>v r. 2027</w:t>
      </w:r>
      <w:r w:rsidR="007D1B4F">
        <w:rPr>
          <w:rFonts w:ascii="Times New Roman" w:hAnsi="Times New Roman" w:cs="Times New Roman"/>
        </w:rPr>
        <w:t xml:space="preserve"> vplyv vo výške</w:t>
      </w:r>
      <w:r w:rsidRPr="002D3A1C">
        <w:rPr>
          <w:rFonts w:ascii="Times New Roman" w:hAnsi="Times New Roman" w:cs="Times New Roman"/>
        </w:rPr>
        <w:t> </w:t>
      </w:r>
      <w:r w:rsidR="00C77B25" w:rsidRPr="00C77B2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86 234 076</w:t>
      </w:r>
      <w:r w:rsidR="00C77B25" w:rsidRPr="00C77B2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2D3A1C">
        <w:rPr>
          <w:rFonts w:ascii="Times New Roman" w:hAnsi="Times New Roman" w:cs="Times New Roman"/>
        </w:rPr>
        <w:t>€</w:t>
      </w:r>
      <w:r w:rsidR="007D1B4F">
        <w:rPr>
          <w:rFonts w:ascii="Times New Roman" w:hAnsi="Times New Roman" w:cs="Times New Roman"/>
        </w:rPr>
        <w:t>,</w:t>
      </w:r>
      <w:r w:rsidRPr="002D3A1C">
        <w:rPr>
          <w:rFonts w:ascii="Times New Roman" w:hAnsi="Times New Roman" w:cs="Times New Roman"/>
        </w:rPr>
        <w:t xml:space="preserve"> </w:t>
      </w:r>
      <w:r w:rsidR="007D1B4F">
        <w:rPr>
          <w:rFonts w:ascii="Times New Roman" w:hAnsi="Times New Roman" w:cs="Times New Roman"/>
        </w:rPr>
        <w:t xml:space="preserve">z toho nekryté výdavky vo výške </w:t>
      </w:r>
      <w:r w:rsidR="003E525A">
        <w:rPr>
          <w:rFonts w:ascii="Times New Roman" w:hAnsi="Times New Roman" w:cs="Times New Roman"/>
        </w:rPr>
        <w:br/>
      </w:r>
      <w:r w:rsidR="00C77B25" w:rsidRPr="00C77B25">
        <w:rPr>
          <w:rFonts w:ascii="Times New Roman" w:eastAsia="Times New Roman" w:hAnsi="Times New Roman" w:cs="Times New Roman"/>
          <w:szCs w:val="24"/>
          <w:lang w:eastAsia="sk-SK"/>
        </w:rPr>
        <w:t>25 062 769</w:t>
      </w:r>
      <w:r w:rsidR="007D1B4F" w:rsidRPr="00125DDA">
        <w:rPr>
          <w:rFonts w:ascii="Times New Roman" w:hAnsi="Times New Roman" w:cs="Times New Roman"/>
        </w:rPr>
        <w:t xml:space="preserve"> €</w:t>
      </w:r>
      <w:r w:rsidRPr="002D3A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D3A1C">
        <w:rPr>
          <w:rFonts w:ascii="Times New Roman" w:hAnsi="Times New Roman" w:cs="Times New Roman"/>
        </w:rPr>
        <w:t xml:space="preserve">Financovanie sa navrhuje navýšením </w:t>
      </w:r>
      <w:r w:rsidRPr="00A05138">
        <w:rPr>
          <w:rFonts w:ascii="Times New Roman" w:hAnsi="Times New Roman" w:cs="Times New Roman"/>
        </w:rPr>
        <w:t xml:space="preserve">rozpočtu </w:t>
      </w:r>
      <w:r w:rsidR="00144100" w:rsidRPr="00A05138">
        <w:rPr>
          <w:rFonts w:ascii="Times New Roman" w:hAnsi="Times New Roman" w:cs="Times New Roman"/>
        </w:rPr>
        <w:t>kapitoly MK SR</w:t>
      </w:r>
      <w:r w:rsidR="001441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531EE">
        <w:rPr>
          <w:rFonts w:ascii="Times New Roman" w:hAnsi="Times New Roman" w:cs="Times New Roman"/>
        </w:rPr>
        <w:t>Rozpočtovo nekrytý vplyv bude riešený pri príprave rozpočtu verejnej správy na príslušný rozpočtový rok</w:t>
      </w:r>
      <w:r w:rsidR="008219D2">
        <w:rPr>
          <w:rFonts w:ascii="Times New Roman" w:hAnsi="Times New Roman" w:cs="Times New Roman"/>
        </w:rPr>
        <w:t xml:space="preserve"> z VPS</w:t>
      </w:r>
      <w:r>
        <w:rPr>
          <w:rFonts w:ascii="Times New Roman" w:hAnsi="Times New Roman" w:cs="Times New Roman"/>
        </w:rPr>
        <w:t xml:space="preserve">. </w:t>
      </w:r>
    </w:p>
    <w:p w14:paraId="217E25EF" w14:textId="77777777"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F8217C3" w14:textId="77777777"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CD6A12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10F14530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F80B1F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50CF5F14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E7F72A9" w14:textId="77777777" w:rsid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3A5E828E" w14:textId="77777777" w:rsidR="00144100" w:rsidRDefault="00144100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5A97CF" w14:textId="6A70C105" w:rsidR="007D5748" w:rsidRPr="007B7470" w:rsidRDefault="00144100" w:rsidP="00E97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6478">
        <w:rPr>
          <w:rFonts w:ascii="Times New Roman" w:hAnsi="Times New Roman"/>
          <w:sz w:val="24"/>
          <w:szCs w:val="24"/>
        </w:rPr>
        <w:t>Cieľom predloženého návrhu zákona je upraviť podporu činnosti registrovaných cirkví a náboženských spoločností</w:t>
      </w:r>
      <w:r w:rsidR="00E9772E">
        <w:rPr>
          <w:rFonts w:ascii="Times New Roman" w:hAnsi="Times New Roman"/>
          <w:sz w:val="24"/>
          <w:szCs w:val="24"/>
        </w:rPr>
        <w:t xml:space="preserve"> </w:t>
      </w:r>
      <w:r w:rsidRPr="00FB6478">
        <w:rPr>
          <w:rFonts w:ascii="Times New Roman" w:hAnsi="Times New Roman"/>
          <w:sz w:val="24"/>
          <w:szCs w:val="24"/>
        </w:rPr>
        <w:t xml:space="preserve">zo strany štátu. </w:t>
      </w:r>
      <w:r w:rsidR="00E9772E">
        <w:rPr>
          <w:rFonts w:ascii="Times New Roman" w:hAnsi="Times New Roman"/>
          <w:sz w:val="24"/>
          <w:szCs w:val="24"/>
        </w:rPr>
        <w:t xml:space="preserve">Právna úprava sa týka zmeny výpočtu príspevku štátu pre cirkvi. Výpočet výšky finančného príspevku štátu pre cirkvi sa podľa návrhu viaže na ukazovateľ </w:t>
      </w:r>
      <w:r w:rsidR="00A05138" w:rsidRPr="00A05138">
        <w:rPr>
          <w:rFonts w:ascii="Times New Roman" w:hAnsi="Times New Roman"/>
          <w:sz w:val="24"/>
          <w:szCs w:val="24"/>
        </w:rPr>
        <w:t>miery medziročného rastu sumy mesačnej minimálnej mzdy v roku predchádzajúcom výpočtu sumy</w:t>
      </w:r>
      <w:r w:rsidR="00A05138">
        <w:rPr>
          <w:rFonts w:ascii="Times New Roman" w:hAnsi="Times New Roman"/>
          <w:sz w:val="24"/>
          <w:szCs w:val="24"/>
        </w:rPr>
        <w:t xml:space="preserve">. </w:t>
      </w:r>
      <w:r w:rsidR="00744D88">
        <w:rPr>
          <w:rFonts w:ascii="Times New Roman" w:hAnsi="Times New Roman"/>
          <w:sz w:val="24"/>
          <w:szCs w:val="24"/>
        </w:rPr>
        <w:t xml:space="preserve">Medziročné navýšenie príspevku štátu sa navrhuje na 1,1-násobok </w:t>
      </w:r>
      <w:r w:rsidR="00744D88">
        <w:rPr>
          <w:rFonts w:ascii="Times New Roman" w:hAnsi="Times New Roman"/>
          <w:sz w:val="24"/>
          <w:szCs w:val="24"/>
        </w:rPr>
        <w:lastRenderedPageBreak/>
        <w:t xml:space="preserve">sumy nárastu príspevku štátu podľa tejto miery rastu minimálnej mzdy. </w:t>
      </w:r>
    </w:p>
    <w:p w14:paraId="567EB8D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5685E55F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BD6279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2177AA8E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D6C0F6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144100" w:rsidRPr="00A0513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>x</w:t>
      </w:r>
      <w:r w:rsidRPr="00A0513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</w:t>
      </w:r>
      <w:r w:rsidRPr="00A051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A0513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77B559C2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034150C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7BC3B78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1E64B7D3" w14:textId="7C334135"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555984DD" w14:textId="77777777" w:rsidR="00E9772E" w:rsidRPr="007B7470" w:rsidRDefault="00E9772E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10E51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60327F3F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487B71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53B45293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14:paraId="0CD5AE14" w14:textId="77777777" w:rsidTr="00AC387C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47D0B7E7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14:paraId="2D2C0557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AC387C" w:rsidRPr="007B7470" w14:paraId="36EAE424" w14:textId="77777777" w:rsidTr="00AC387C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7C83F613" w14:textId="77777777" w:rsidR="00AC387C" w:rsidRPr="007B7470" w:rsidRDefault="00AC387C" w:rsidP="00AC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D843BAC" w14:textId="77777777" w:rsidR="00AC387C" w:rsidRPr="007B7470" w:rsidRDefault="00AC387C" w:rsidP="00AC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4F23098" w14:textId="77777777" w:rsidR="00AC387C" w:rsidRPr="007B7470" w:rsidRDefault="00AC387C" w:rsidP="00AC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A3EFB7A" w14:textId="77777777" w:rsidR="00AC387C" w:rsidRPr="007B7470" w:rsidRDefault="00AC387C" w:rsidP="00AC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D42635E" w14:textId="77777777" w:rsidR="00AC387C" w:rsidRPr="007B7470" w:rsidRDefault="00AC387C" w:rsidP="00AC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14:paraId="4019F149" w14:textId="77777777" w:rsidTr="00AC387C">
        <w:trPr>
          <w:trHeight w:val="70"/>
        </w:trPr>
        <w:tc>
          <w:tcPr>
            <w:tcW w:w="4530" w:type="dxa"/>
          </w:tcPr>
          <w:p w14:paraId="6C3F0E7E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4A1BFAAC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E6C7EE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34D961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28414AD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68029F12" w14:textId="77777777" w:rsidTr="00AC387C">
        <w:trPr>
          <w:trHeight w:val="70"/>
        </w:trPr>
        <w:tc>
          <w:tcPr>
            <w:tcW w:w="4530" w:type="dxa"/>
          </w:tcPr>
          <w:p w14:paraId="3E4A5F7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463CA820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00ABC4D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6E6A64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98680A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60F73FCD" w14:textId="77777777" w:rsidTr="00AC387C">
        <w:trPr>
          <w:trHeight w:val="70"/>
        </w:trPr>
        <w:tc>
          <w:tcPr>
            <w:tcW w:w="4530" w:type="dxa"/>
          </w:tcPr>
          <w:p w14:paraId="479D60E9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7B9BAFA5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EAE477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EF7E005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659E01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08578D1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CB86B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FCD80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59F85670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18F4FC" w14:textId="04F75A1A" w:rsid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</w:t>
      </w:r>
      <w:r w:rsidR="000606E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26CD9DD" w14:textId="77777777" w:rsidR="0055584B" w:rsidRDefault="0055584B" w:rsidP="00E9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F06E06" w14:textId="54388BC4" w:rsidR="00E929E8" w:rsidRDefault="00E929E8" w:rsidP="00E9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4100">
        <w:rPr>
          <w:rFonts w:ascii="Times New Roman" w:eastAsia="Times New Roman" w:hAnsi="Times New Roman" w:cs="Times New Roman"/>
          <w:sz w:val="24"/>
          <w:szCs w:val="24"/>
          <w:lang w:eastAsia="sk-SK"/>
        </w:rPr>
        <w:t>Pri výpočte výšky prísp</w:t>
      </w:r>
      <w:r w:rsidR="00E602F2">
        <w:rPr>
          <w:rFonts w:ascii="Times New Roman" w:eastAsia="Times New Roman" w:hAnsi="Times New Roman" w:cs="Times New Roman"/>
          <w:sz w:val="24"/>
          <w:szCs w:val="24"/>
          <w:lang w:eastAsia="sk-SK"/>
        </w:rPr>
        <w:t>evku</w:t>
      </w:r>
      <w:r w:rsidR="00271B7F">
        <w:rPr>
          <w:rFonts w:ascii="Times New Roman" w:eastAsia="Times New Roman" w:hAnsi="Times New Roman" w:cs="Times New Roman"/>
          <w:sz w:val="24"/>
          <w:szCs w:val="24"/>
          <w:lang w:eastAsia="sk-SK"/>
        </w:rPr>
        <w:t>, podľa navrhovaného vzorca</w:t>
      </w:r>
      <w:r w:rsidR="00E602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rok 2025</w:t>
      </w:r>
      <w:r w:rsidR="00271B7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602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bolo brané do úvahy</w:t>
      </w:r>
      <w:r w:rsidRPr="001441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jednorazové navýšenie</w:t>
      </w:r>
      <w:r w:rsidR="001B72A4">
        <w:t xml:space="preserve"> </w:t>
      </w:r>
      <w:r w:rsidR="001B72A4" w:rsidRPr="001B72A4">
        <w:rPr>
          <w:rFonts w:ascii="Times New Roman" w:eastAsia="Times New Roman" w:hAnsi="Times New Roman" w:cs="Times New Roman"/>
          <w:sz w:val="24"/>
          <w:szCs w:val="24"/>
          <w:lang w:eastAsia="sk-SK"/>
        </w:rPr>
        <w:t>o sumu zodpovedajúcu desiatim percentám sumy príspevku štátu poskytnutého cirkvám v roku 2024</w:t>
      </w:r>
      <w:r w:rsidR="00E602F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1441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874CFD5" w14:textId="77777777" w:rsidR="00E602F2" w:rsidRDefault="00E602F2" w:rsidP="00E9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67FEA7" w14:textId="626CB962" w:rsidR="00E602F2" w:rsidRDefault="00E602F2" w:rsidP="00E9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 xml:space="preserve">2025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= </w:t>
      </w:r>
      <w:r w:rsidRPr="005B3763">
        <w:rPr>
          <w:rFonts w:ascii="Times New Roman" w:hAnsi="Times New Roman"/>
          <w:bCs/>
          <w:sz w:val="24"/>
          <w:szCs w:val="24"/>
          <w:shd w:val="clear" w:color="auto" w:fill="FFFFFF"/>
        </w:rPr>
        <w:t>P</w:t>
      </w:r>
      <w:r>
        <w:rPr>
          <w:rFonts w:ascii="Times New Roman" w:hAnsi="Times New Roman"/>
          <w:bCs/>
          <w:sz w:val="24"/>
          <w:szCs w:val="24"/>
          <w:shd w:val="clear" w:color="auto" w:fill="FFFFFF"/>
          <w:vertAlign w:val="subscript"/>
        </w:rPr>
        <w:t>2024</w:t>
      </w:r>
      <w:r w:rsidRPr="005B376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37689D">
        <w:rPr>
          <w:rFonts w:ascii="Times New Roman" w:hAnsi="Times New Roman"/>
          <w:bCs/>
          <w:sz w:val="24"/>
          <w:szCs w:val="24"/>
          <w:shd w:val="clear" w:color="auto" w:fill="FFFFFF"/>
        </w:rPr>
        <w:t>+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1.1</w:t>
      </w:r>
      <w:r w:rsidRPr="005B3763">
        <w:rPr>
          <w:rFonts w:ascii="Times New Roman" w:hAnsi="Times New Roman"/>
          <w:bCs/>
          <w:sz w:val="24"/>
          <w:szCs w:val="24"/>
          <w:shd w:val="clear" w:color="auto" w:fill="FFFFFF"/>
        </w:rPr>
        <w:t>*</w:t>
      </w:r>
      <w:r w:rsidR="0037689D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37689D" w:rsidRPr="0037689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37689D" w:rsidRPr="005B3763">
        <w:rPr>
          <w:rFonts w:ascii="Times New Roman" w:hAnsi="Times New Roman"/>
          <w:bCs/>
          <w:sz w:val="24"/>
          <w:szCs w:val="24"/>
          <w:shd w:val="clear" w:color="auto" w:fill="FFFFFF"/>
        </w:rPr>
        <w:t>P</w:t>
      </w:r>
      <w:r w:rsidR="0037689D">
        <w:rPr>
          <w:rFonts w:ascii="Times New Roman" w:hAnsi="Times New Roman"/>
          <w:bCs/>
          <w:sz w:val="24"/>
          <w:szCs w:val="24"/>
          <w:shd w:val="clear" w:color="auto" w:fill="FFFFFF"/>
          <w:vertAlign w:val="subscript"/>
        </w:rPr>
        <w:t>2024</w:t>
      </w:r>
      <w:r w:rsidRPr="005B376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37689D">
        <w:rPr>
          <w:rFonts w:ascii="Times New Roman" w:hAnsi="Times New Roman"/>
          <w:bCs/>
          <w:sz w:val="24"/>
          <w:szCs w:val="24"/>
          <w:shd w:val="clear" w:color="auto" w:fill="FFFFFF"/>
        </w:rPr>
        <w:t>*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(M</w:t>
      </w:r>
      <w:r>
        <w:rPr>
          <w:rFonts w:ascii="Times New Roman" w:hAnsi="Times New Roman"/>
          <w:bCs/>
          <w:sz w:val="24"/>
          <w:szCs w:val="24"/>
          <w:shd w:val="clear" w:color="auto" w:fill="FFFFFF"/>
          <w:vertAlign w:val="subscript"/>
        </w:rPr>
        <w:t>2024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/M</w:t>
      </w:r>
      <w:r>
        <w:rPr>
          <w:rFonts w:ascii="Times New Roman" w:hAnsi="Times New Roman"/>
          <w:bCs/>
          <w:sz w:val="24"/>
          <w:szCs w:val="24"/>
          <w:shd w:val="clear" w:color="auto" w:fill="FFFFFF"/>
          <w:vertAlign w:val="subscript"/>
        </w:rPr>
        <w:t>2023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="0037689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- </w:t>
      </w:r>
      <w:r w:rsidR="0037689D" w:rsidRPr="005B3763">
        <w:rPr>
          <w:rFonts w:ascii="Times New Roman" w:hAnsi="Times New Roman"/>
          <w:bCs/>
          <w:sz w:val="24"/>
          <w:szCs w:val="24"/>
          <w:shd w:val="clear" w:color="auto" w:fill="FFFFFF"/>
        </w:rPr>
        <w:t>P</w:t>
      </w:r>
      <w:r w:rsidR="0037689D">
        <w:rPr>
          <w:rFonts w:ascii="Times New Roman" w:hAnsi="Times New Roman"/>
          <w:bCs/>
          <w:sz w:val="24"/>
          <w:szCs w:val="24"/>
          <w:shd w:val="clear" w:color="auto" w:fill="FFFFFF"/>
          <w:vertAlign w:val="subscript"/>
        </w:rPr>
        <w:t>2024</w:t>
      </w:r>
      <w:r w:rsidR="0037689D" w:rsidRPr="0037689D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="0037689D">
        <w:rPr>
          <w:rFonts w:ascii="Times New Roman" w:hAnsi="Times New Roman"/>
          <w:bCs/>
          <w:sz w:val="24"/>
          <w:szCs w:val="24"/>
          <w:shd w:val="clear" w:color="auto" w:fill="FFFFFF"/>
          <w:vertAlign w:val="subscript"/>
        </w:rPr>
        <w:t xml:space="preserve"> + </w:t>
      </w:r>
      <w:r w:rsidR="0037689D" w:rsidRPr="00282B83">
        <w:rPr>
          <w:rFonts w:ascii="Times New Roman" w:hAnsi="Times New Roman"/>
          <w:bCs/>
          <w:sz w:val="24"/>
          <w:szCs w:val="24"/>
          <w:shd w:val="clear" w:color="auto" w:fill="FFFFFF"/>
        </w:rPr>
        <w:t>0,1* P</w:t>
      </w:r>
      <w:r w:rsidR="0037689D" w:rsidRPr="00282B83">
        <w:rPr>
          <w:rFonts w:ascii="Times New Roman" w:hAnsi="Times New Roman"/>
          <w:bCs/>
          <w:sz w:val="24"/>
          <w:szCs w:val="24"/>
          <w:shd w:val="clear" w:color="auto" w:fill="FFFFFF"/>
          <w:vertAlign w:val="subscript"/>
        </w:rPr>
        <w:t>2024</w:t>
      </w:r>
      <w:r w:rsidR="0037689D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</w:p>
    <w:p w14:paraId="0F4ABA21" w14:textId="1112BBA9" w:rsidR="00E602F2" w:rsidRDefault="000F57B7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 xml:space="preserve">2025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=</w:t>
      </w:r>
      <w:r w:rsidR="00E929E8" w:rsidRPr="00E929E8">
        <w:rPr>
          <w:rFonts w:ascii="Times New Roman" w:eastAsia="Times New Roman" w:hAnsi="Times New Roman" w:cs="Times New Roman"/>
          <w:sz w:val="24"/>
          <w:szCs w:val="24"/>
          <w:lang w:eastAsia="sk-SK"/>
        </w:rPr>
        <w:t>59 066</w:t>
      </w:r>
      <w:r w:rsidR="0037689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E929E8" w:rsidRPr="00E929E8">
        <w:rPr>
          <w:rFonts w:ascii="Times New Roman" w:eastAsia="Times New Roman" w:hAnsi="Times New Roman" w:cs="Times New Roman"/>
          <w:sz w:val="24"/>
          <w:szCs w:val="24"/>
          <w:lang w:eastAsia="sk-SK"/>
        </w:rPr>
        <w:t>775</w:t>
      </w:r>
      <w:r w:rsidR="0037689D">
        <w:rPr>
          <w:rFonts w:ascii="Times New Roman" w:eastAsia="Times New Roman" w:hAnsi="Times New Roman" w:cs="Times New Roman"/>
          <w:sz w:val="24"/>
          <w:szCs w:val="24"/>
          <w:lang w:eastAsia="sk-SK"/>
        </w:rPr>
        <w:t>+</w:t>
      </w:r>
      <w:r w:rsidR="00E929E8">
        <w:rPr>
          <w:rFonts w:ascii="Times New Roman" w:eastAsia="Times New Roman" w:hAnsi="Times New Roman" w:cs="Times New Roman"/>
          <w:sz w:val="24"/>
          <w:szCs w:val="24"/>
          <w:lang w:eastAsia="sk-SK"/>
        </w:rPr>
        <w:t>1,1*(</w:t>
      </w:r>
      <w:r w:rsidR="0037689D" w:rsidRPr="00E929E8">
        <w:rPr>
          <w:rFonts w:ascii="Times New Roman" w:eastAsia="Times New Roman" w:hAnsi="Times New Roman" w:cs="Times New Roman"/>
          <w:sz w:val="24"/>
          <w:szCs w:val="24"/>
          <w:lang w:eastAsia="sk-SK"/>
        </w:rPr>
        <w:t>59 066</w:t>
      </w:r>
      <w:r w:rsidR="0037689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7689D" w:rsidRPr="00E929E8">
        <w:rPr>
          <w:rFonts w:ascii="Times New Roman" w:eastAsia="Times New Roman" w:hAnsi="Times New Roman" w:cs="Times New Roman"/>
          <w:sz w:val="24"/>
          <w:szCs w:val="24"/>
          <w:lang w:eastAsia="sk-SK"/>
        </w:rPr>
        <w:t>775</w:t>
      </w:r>
      <w:r w:rsidR="0037689D">
        <w:rPr>
          <w:rFonts w:ascii="Times New Roman" w:eastAsia="Times New Roman" w:hAnsi="Times New Roman" w:cs="Times New Roman"/>
          <w:sz w:val="24"/>
          <w:szCs w:val="24"/>
          <w:lang w:eastAsia="sk-SK"/>
        </w:rPr>
        <w:t>*(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750</w:t>
      </w:r>
      <w:r w:rsidR="00E929E8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700</w:t>
      </w:r>
      <w:r w:rsidR="00E929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37689D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37689D" w:rsidRPr="00E929E8">
        <w:rPr>
          <w:rFonts w:ascii="Times New Roman" w:eastAsia="Times New Roman" w:hAnsi="Times New Roman" w:cs="Times New Roman"/>
          <w:sz w:val="24"/>
          <w:szCs w:val="24"/>
          <w:lang w:eastAsia="sk-SK"/>
        </w:rPr>
        <w:t>59 066</w:t>
      </w:r>
      <w:r w:rsidR="0037689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7689D" w:rsidRPr="00E929E8">
        <w:rPr>
          <w:rFonts w:ascii="Times New Roman" w:eastAsia="Times New Roman" w:hAnsi="Times New Roman" w:cs="Times New Roman"/>
          <w:sz w:val="24"/>
          <w:szCs w:val="24"/>
          <w:lang w:eastAsia="sk-SK"/>
        </w:rPr>
        <w:t>775</w:t>
      </w:r>
      <w:r w:rsidR="0037689D">
        <w:rPr>
          <w:rFonts w:ascii="Times New Roman" w:eastAsia="Times New Roman" w:hAnsi="Times New Roman" w:cs="Times New Roman"/>
          <w:sz w:val="24"/>
          <w:szCs w:val="24"/>
          <w:lang w:eastAsia="sk-SK"/>
        </w:rPr>
        <w:t>) +0,1*</w:t>
      </w:r>
      <w:r w:rsidR="0037689D" w:rsidRPr="00E929E8">
        <w:rPr>
          <w:rFonts w:ascii="Times New Roman" w:eastAsia="Times New Roman" w:hAnsi="Times New Roman" w:cs="Times New Roman"/>
          <w:sz w:val="24"/>
          <w:szCs w:val="24"/>
          <w:lang w:eastAsia="sk-SK"/>
        </w:rPr>
        <w:t>59 066</w:t>
      </w:r>
      <w:r w:rsidR="0037689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7689D" w:rsidRPr="00E929E8">
        <w:rPr>
          <w:rFonts w:ascii="Times New Roman" w:eastAsia="Times New Roman" w:hAnsi="Times New Roman" w:cs="Times New Roman"/>
          <w:sz w:val="24"/>
          <w:szCs w:val="24"/>
          <w:lang w:eastAsia="sk-SK"/>
        </w:rPr>
        <w:t>775</w:t>
      </w:r>
      <w:r w:rsidR="00376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= </w:t>
      </w:r>
      <w:r w:rsidR="0037689D" w:rsidRPr="003768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69 614 413</w:t>
      </w:r>
      <w:r w:rsidR="00376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2281CF9" w14:textId="77777777" w:rsidR="00E602F2" w:rsidRDefault="00E602F2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BC4FF2" w14:textId="6336DA5F" w:rsidR="00144100" w:rsidRDefault="00E602F2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 výpočet príspevku</w:t>
      </w:r>
      <w:r w:rsidR="00271B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navrhovaného vzorca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roky 2026 a 2027 </w:t>
      </w:r>
      <w:r w:rsidR="00144100">
        <w:rPr>
          <w:rFonts w:ascii="Times New Roman" w:eastAsia="Times New Roman" w:hAnsi="Times New Roman" w:cs="Times New Roman"/>
          <w:sz w:val="24"/>
          <w:szCs w:val="24"/>
          <w:lang w:eastAsia="sk-SK"/>
        </w:rPr>
        <w:t>bol použitý navrhovaný vzorec na výpočet príspevku štátu pre cirkvi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jednorazového navýšenia</w:t>
      </w:r>
      <w:r w:rsidR="001441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34F0F757" w14:textId="77777777" w:rsidR="00E602F2" w:rsidRPr="000F57B7" w:rsidRDefault="00E602F2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EC3D3B" w14:textId="1DB295EA" w:rsidR="00144100" w:rsidRPr="00776FA1" w:rsidRDefault="00144100" w:rsidP="00776FA1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= P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 w:rsidR="0037689D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+ 1,1*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</w:t>
      </w:r>
      <w:r w:rsidR="0037689D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(</w:t>
      </w:r>
      <w:r w:rsidR="0037689D"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</w:t>
      </w:r>
      <w:r w:rsidR="0037689D"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 w:rsidR="0037689D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* 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(M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/M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t-2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)</w:t>
      </w:r>
      <w:r w:rsidR="0037689D" w:rsidRPr="0037689D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</w:t>
      </w:r>
      <w:r w:rsidR="0037689D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- </w:t>
      </w:r>
      <w:r w:rsidR="0037689D"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</w:t>
      </w:r>
      <w:r w:rsidR="0037689D"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 w:rsidR="0037689D" w:rsidRPr="0037689D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)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,</w:t>
      </w:r>
      <w:r w:rsidR="000F57B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pre t≥2026</w:t>
      </w:r>
      <w:r w:rsidR="00776FA1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, 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</w:t>
      </w:r>
      <w:r w:rsidRPr="00776FA1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pričom</w:t>
      </w:r>
    </w:p>
    <w:p w14:paraId="79F5E369" w14:textId="77777777" w:rsidR="00144100" w:rsidRPr="005B3763" w:rsidRDefault="00144100" w:rsidP="00144100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</w:p>
    <w:p w14:paraId="69223152" w14:textId="77777777" w:rsidR="00144100" w:rsidRPr="005B3763" w:rsidRDefault="00144100" w:rsidP="00144100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(M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/M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t-2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)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≥ 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1</w:t>
      </w:r>
    </w:p>
    <w:p w14:paraId="0C9167B5" w14:textId="1C11C48F" w:rsidR="00144100" w:rsidRDefault="00144100" w:rsidP="00144100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Ak hodnota 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(M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/M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t-2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)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&lt; 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1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, dosadí sa do vzorca hodnota 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(M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/M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t-2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)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= 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1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, kde</w:t>
      </w:r>
    </w:p>
    <w:p w14:paraId="70AE745E" w14:textId="77777777" w:rsidR="00776FA1" w:rsidRPr="005B3763" w:rsidRDefault="00776FA1" w:rsidP="00144100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</w:p>
    <w:p w14:paraId="41444EDD" w14:textId="77777777" w:rsidR="00144100" w:rsidRPr="005B3763" w:rsidRDefault="00144100" w:rsidP="00144100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je príspevok štátu na príslušný rozpočtovaný rok (t), na ktorý sa príspevok štátu určuje,</w:t>
      </w:r>
    </w:p>
    <w:p w14:paraId="74925264" w14:textId="77777777" w:rsidR="00144100" w:rsidRPr="005B3763" w:rsidRDefault="00144100" w:rsidP="00144100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 w:rsidRPr="005B3763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je príspevok štátu na rok predchádzajúci príslušnému rozpočtovanému roku,</w:t>
      </w:r>
    </w:p>
    <w:p w14:paraId="2C6FCBED" w14:textId="77777777" w:rsidR="00144100" w:rsidRDefault="00144100" w:rsidP="00144100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t-1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je suma mesačnej minimálnej mzdy </w:t>
      </w:r>
      <w:r w:rsidRPr="006F410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určenej na rok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(t-1)</w:t>
      </w:r>
      <w:r w:rsidRPr="006F410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, ktorý predchádza roku, na ktorý sa príspevok štátu určuje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,</w:t>
      </w:r>
    </w:p>
    <w:p w14:paraId="57EF17D7" w14:textId="6227A29C" w:rsidR="00144100" w:rsidRDefault="00144100" w:rsidP="00E929E8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M</w:t>
      </w:r>
      <w:r w:rsidRPr="00C12076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vertAlign w:val="subscript"/>
        </w:rPr>
        <w:t>t-2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je suma mesačnej minimálnej mzdy </w:t>
      </w:r>
      <w:r w:rsidRPr="006F410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určenej na rok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(t-2)</w:t>
      </w:r>
      <w:r w:rsidRPr="006F410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, ktorý 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dva roky </w:t>
      </w:r>
      <w:r w:rsidRPr="006F410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predchádza roku, na ktorý sa príspevok štátu určuje</w:t>
      </w:r>
      <w:r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,</w:t>
      </w:r>
    </w:p>
    <w:p w14:paraId="2F59356B" w14:textId="7CBBEF79" w:rsidR="00E602F2" w:rsidRDefault="00E602F2" w:rsidP="00E929E8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</w:p>
    <w:p w14:paraId="50DEF289" w14:textId="404D04F2" w:rsidR="00E602F2" w:rsidRDefault="00E602F2" w:rsidP="00E929E8">
      <w:pPr>
        <w:pStyle w:val="Odsekzoznamu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sk-SK"/>
        </w:rPr>
        <w:t>2026=</w:t>
      </w:r>
      <w:r w:rsidRPr="00E602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5B3763">
        <w:rPr>
          <w:rFonts w:ascii="Times New Roman" w:hAnsi="Times New Roman"/>
          <w:bCs/>
          <w:sz w:val="24"/>
          <w:szCs w:val="24"/>
          <w:shd w:val="clear" w:color="auto" w:fill="FFFFFF"/>
        </w:rPr>
        <w:t>P</w:t>
      </w:r>
      <w:r>
        <w:rPr>
          <w:rFonts w:ascii="Times New Roman" w:hAnsi="Times New Roman"/>
          <w:bCs/>
          <w:sz w:val="24"/>
          <w:szCs w:val="24"/>
          <w:shd w:val="clear" w:color="auto" w:fill="FFFFFF"/>
          <w:vertAlign w:val="subscript"/>
        </w:rPr>
        <w:t>2025</w:t>
      </w:r>
      <w:r w:rsidRPr="005B376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776FA1">
        <w:rPr>
          <w:rFonts w:ascii="Times New Roman" w:hAnsi="Times New Roman"/>
          <w:bCs/>
          <w:sz w:val="24"/>
          <w:szCs w:val="24"/>
          <w:shd w:val="clear" w:color="auto" w:fill="FFFFFF"/>
        </w:rPr>
        <w:t>+1,1</w:t>
      </w:r>
      <w:r w:rsidRPr="005B376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*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776FA1" w:rsidRPr="005B3763">
        <w:rPr>
          <w:rFonts w:ascii="Times New Roman" w:hAnsi="Times New Roman"/>
          <w:bCs/>
          <w:sz w:val="24"/>
          <w:szCs w:val="24"/>
          <w:shd w:val="clear" w:color="auto" w:fill="FFFFFF"/>
        </w:rPr>
        <w:t>P</w:t>
      </w:r>
      <w:r w:rsidR="00776FA1">
        <w:rPr>
          <w:rFonts w:ascii="Times New Roman" w:hAnsi="Times New Roman"/>
          <w:bCs/>
          <w:sz w:val="24"/>
          <w:szCs w:val="24"/>
          <w:shd w:val="clear" w:color="auto" w:fill="FFFFFF"/>
          <w:vertAlign w:val="subscript"/>
        </w:rPr>
        <w:t>2025</w:t>
      </w:r>
      <w:r w:rsidR="00776FA1" w:rsidRPr="005B376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776FA1">
        <w:rPr>
          <w:rFonts w:ascii="Times New Roman" w:hAnsi="Times New Roman"/>
          <w:bCs/>
          <w:sz w:val="24"/>
          <w:szCs w:val="24"/>
          <w:shd w:val="clear" w:color="auto" w:fill="FFFFFF"/>
        </w:rPr>
        <w:t>*(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M</w:t>
      </w:r>
      <w:r>
        <w:rPr>
          <w:rFonts w:ascii="Times New Roman" w:hAnsi="Times New Roman"/>
          <w:bCs/>
          <w:sz w:val="24"/>
          <w:szCs w:val="24"/>
          <w:shd w:val="clear" w:color="auto" w:fill="FFFFFF"/>
          <w:vertAlign w:val="subscript"/>
        </w:rPr>
        <w:t>2025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/M</w:t>
      </w:r>
      <w:r>
        <w:rPr>
          <w:rFonts w:ascii="Times New Roman" w:hAnsi="Times New Roman"/>
          <w:bCs/>
          <w:sz w:val="24"/>
          <w:szCs w:val="24"/>
          <w:shd w:val="clear" w:color="auto" w:fill="FFFFFF"/>
          <w:vertAlign w:val="subscript"/>
        </w:rPr>
        <w:t>2024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="00776FA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- </w:t>
      </w:r>
      <w:r w:rsidR="00776FA1" w:rsidRPr="005B3763">
        <w:rPr>
          <w:rFonts w:ascii="Times New Roman" w:hAnsi="Times New Roman"/>
          <w:bCs/>
          <w:sz w:val="24"/>
          <w:szCs w:val="24"/>
          <w:shd w:val="clear" w:color="auto" w:fill="FFFFFF"/>
        </w:rPr>
        <w:t>P</w:t>
      </w:r>
      <w:r w:rsidR="00776FA1">
        <w:rPr>
          <w:rFonts w:ascii="Times New Roman" w:hAnsi="Times New Roman"/>
          <w:bCs/>
          <w:sz w:val="24"/>
          <w:szCs w:val="24"/>
          <w:shd w:val="clear" w:color="auto" w:fill="FFFFFF"/>
          <w:vertAlign w:val="subscript"/>
        </w:rPr>
        <w:t>2025</w:t>
      </w:r>
      <w:r w:rsidR="00776FA1" w:rsidRPr="00776FA1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</w:p>
    <w:p w14:paraId="47C59AD2" w14:textId="270D81E3" w:rsidR="00E602F2" w:rsidRPr="00282B83" w:rsidRDefault="00E602F2" w:rsidP="00E929E8">
      <w:pPr>
        <w:pStyle w:val="Odsekzoznamu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82B83"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Pr="00282B83">
        <w:rPr>
          <w:rFonts w:ascii="Times New Roman" w:eastAsia="Times New Roman" w:hAnsi="Times New Roman"/>
          <w:sz w:val="24"/>
          <w:szCs w:val="24"/>
          <w:vertAlign w:val="subscript"/>
          <w:lang w:eastAsia="sk-SK"/>
        </w:rPr>
        <w:t>2026=</w:t>
      </w:r>
      <w:r w:rsidRPr="00282B8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282B83" w:rsidRPr="00282B83">
        <w:rPr>
          <w:rFonts w:ascii="Times New Roman" w:eastAsia="Times New Roman" w:hAnsi="Times New Roman"/>
          <w:sz w:val="24"/>
          <w:szCs w:val="24"/>
          <w:lang w:eastAsia="sk-SK"/>
        </w:rPr>
        <w:t xml:space="preserve">69 614 413 </w:t>
      </w:r>
      <w:r w:rsidR="00282B83" w:rsidRPr="00282B8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+1,1* (</w:t>
      </w:r>
      <w:r w:rsidR="00282B83" w:rsidRPr="00282B83">
        <w:rPr>
          <w:rFonts w:ascii="Times New Roman" w:eastAsia="Times New Roman" w:hAnsi="Times New Roman"/>
          <w:sz w:val="24"/>
          <w:szCs w:val="24"/>
          <w:lang w:eastAsia="sk-SK"/>
        </w:rPr>
        <w:t xml:space="preserve">69 614 413 </w:t>
      </w:r>
      <w:r w:rsidR="00282B83" w:rsidRPr="00282B83">
        <w:rPr>
          <w:rFonts w:ascii="Times New Roman" w:hAnsi="Times New Roman"/>
          <w:bCs/>
          <w:sz w:val="24"/>
          <w:szCs w:val="24"/>
          <w:shd w:val="clear" w:color="auto" w:fill="FFFFFF"/>
        </w:rPr>
        <w:t>*(81</w:t>
      </w:r>
      <w:r w:rsidR="00332A42">
        <w:rPr>
          <w:rFonts w:ascii="Times New Roman" w:hAnsi="Times New Roman"/>
          <w:bCs/>
          <w:sz w:val="24"/>
          <w:szCs w:val="24"/>
          <w:shd w:val="clear" w:color="auto" w:fill="FFFFFF"/>
        </w:rPr>
        <w:t>6</w:t>
      </w:r>
      <w:r w:rsidR="00282B83" w:rsidRPr="00282B8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/750) - </w:t>
      </w:r>
      <w:r w:rsidR="00282B83" w:rsidRPr="00282B83">
        <w:rPr>
          <w:rFonts w:ascii="Times New Roman" w:eastAsia="Times New Roman" w:hAnsi="Times New Roman"/>
          <w:sz w:val="24"/>
          <w:szCs w:val="24"/>
          <w:lang w:eastAsia="sk-SK"/>
        </w:rPr>
        <w:t>69 614 413</w:t>
      </w:r>
      <w:r w:rsidR="00282B83" w:rsidRPr="00282B8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)= </w:t>
      </w:r>
      <w:r w:rsidR="00332A42" w:rsidRPr="0058155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76 353</w:t>
      </w:r>
      <w:r w:rsidR="00332A4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  <w:r w:rsidR="00332A42" w:rsidRPr="0058155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088 </w:t>
      </w:r>
    </w:p>
    <w:p w14:paraId="204C03D3" w14:textId="6469FE9F" w:rsidR="00676C35" w:rsidRPr="00282B83" w:rsidRDefault="00676C35" w:rsidP="00676C35">
      <w:pPr>
        <w:pStyle w:val="Odsekzoznamu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82B83"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Pr="00282B83">
        <w:rPr>
          <w:rFonts w:ascii="Times New Roman" w:eastAsia="Times New Roman" w:hAnsi="Times New Roman"/>
          <w:sz w:val="24"/>
          <w:szCs w:val="24"/>
          <w:vertAlign w:val="subscript"/>
          <w:lang w:eastAsia="sk-SK"/>
        </w:rPr>
        <w:t>2027=</w:t>
      </w:r>
      <w:r w:rsidRPr="00282B8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282B83" w:rsidRPr="00282B83">
        <w:rPr>
          <w:rFonts w:ascii="Times New Roman" w:hAnsi="Times New Roman"/>
          <w:bCs/>
          <w:sz w:val="24"/>
          <w:szCs w:val="24"/>
          <w:shd w:val="clear" w:color="auto" w:fill="FFFFFF"/>
        </w:rPr>
        <w:t>P</w:t>
      </w:r>
      <w:r w:rsidR="00282B83" w:rsidRPr="00282B83">
        <w:rPr>
          <w:rFonts w:ascii="Times New Roman" w:hAnsi="Times New Roman"/>
          <w:bCs/>
          <w:sz w:val="24"/>
          <w:szCs w:val="24"/>
          <w:shd w:val="clear" w:color="auto" w:fill="FFFFFF"/>
          <w:vertAlign w:val="subscript"/>
        </w:rPr>
        <w:t>2026</w:t>
      </w:r>
      <w:r w:rsidR="00282B83" w:rsidRPr="00282B8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+1,1* (P</w:t>
      </w:r>
      <w:r w:rsidR="00282B83" w:rsidRPr="00282B83">
        <w:rPr>
          <w:rFonts w:ascii="Times New Roman" w:hAnsi="Times New Roman"/>
          <w:bCs/>
          <w:sz w:val="24"/>
          <w:szCs w:val="24"/>
          <w:shd w:val="clear" w:color="auto" w:fill="FFFFFF"/>
          <w:vertAlign w:val="subscript"/>
        </w:rPr>
        <w:t>2026</w:t>
      </w:r>
      <w:r w:rsidR="00282B83" w:rsidRPr="00282B8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*(M</w:t>
      </w:r>
      <w:r w:rsidR="00282B83" w:rsidRPr="00282B83">
        <w:rPr>
          <w:rFonts w:ascii="Times New Roman" w:hAnsi="Times New Roman"/>
          <w:bCs/>
          <w:sz w:val="24"/>
          <w:szCs w:val="24"/>
          <w:shd w:val="clear" w:color="auto" w:fill="FFFFFF"/>
          <w:vertAlign w:val="subscript"/>
        </w:rPr>
        <w:t>2026</w:t>
      </w:r>
      <w:r w:rsidR="00282B83" w:rsidRPr="00282B83">
        <w:rPr>
          <w:rFonts w:ascii="Times New Roman" w:hAnsi="Times New Roman"/>
          <w:bCs/>
          <w:sz w:val="24"/>
          <w:szCs w:val="24"/>
          <w:shd w:val="clear" w:color="auto" w:fill="FFFFFF"/>
        </w:rPr>
        <w:t>/M</w:t>
      </w:r>
      <w:r w:rsidR="00282B83" w:rsidRPr="00282B83">
        <w:rPr>
          <w:rFonts w:ascii="Times New Roman" w:hAnsi="Times New Roman"/>
          <w:bCs/>
          <w:sz w:val="24"/>
          <w:szCs w:val="24"/>
          <w:shd w:val="clear" w:color="auto" w:fill="FFFFFF"/>
          <w:vertAlign w:val="subscript"/>
        </w:rPr>
        <w:t>2025</w:t>
      </w:r>
      <w:r w:rsidR="00282B83" w:rsidRPr="00282B83">
        <w:rPr>
          <w:rFonts w:ascii="Times New Roman" w:hAnsi="Times New Roman"/>
          <w:bCs/>
          <w:sz w:val="24"/>
          <w:szCs w:val="24"/>
          <w:shd w:val="clear" w:color="auto" w:fill="FFFFFF"/>
        </w:rPr>
        <w:t>) - P</w:t>
      </w:r>
      <w:r w:rsidR="00282B83" w:rsidRPr="00282B83">
        <w:rPr>
          <w:rFonts w:ascii="Times New Roman" w:hAnsi="Times New Roman"/>
          <w:bCs/>
          <w:sz w:val="24"/>
          <w:szCs w:val="24"/>
          <w:shd w:val="clear" w:color="auto" w:fill="FFFFFF"/>
          <w:vertAlign w:val="subscript"/>
        </w:rPr>
        <w:t>2026</w:t>
      </w:r>
      <w:r w:rsidR="00282B83" w:rsidRPr="00282B83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</w:p>
    <w:p w14:paraId="5A510C7F" w14:textId="57C10470" w:rsidR="0090395D" w:rsidRDefault="0090395D" w:rsidP="0090395D">
      <w:pPr>
        <w:pStyle w:val="Odsekzoznamu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82B83"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Pr="00282B83">
        <w:rPr>
          <w:rFonts w:ascii="Times New Roman" w:eastAsia="Times New Roman" w:hAnsi="Times New Roman"/>
          <w:sz w:val="24"/>
          <w:szCs w:val="24"/>
          <w:vertAlign w:val="subscript"/>
          <w:lang w:eastAsia="sk-SK"/>
        </w:rPr>
        <w:t>2027=</w:t>
      </w:r>
      <w:r w:rsidRPr="00282B8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332A42" w:rsidRPr="00EE6283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76 353 088 </w:t>
      </w:r>
      <w:r w:rsidR="00282B83" w:rsidRPr="00332A42">
        <w:rPr>
          <w:rFonts w:ascii="Times New Roman" w:hAnsi="Times New Roman"/>
          <w:bCs/>
          <w:sz w:val="24"/>
          <w:szCs w:val="24"/>
          <w:shd w:val="clear" w:color="auto" w:fill="FFFFFF"/>
        </w:rPr>
        <w:t>+1,1* (</w:t>
      </w:r>
      <w:r w:rsidR="00332A42" w:rsidRPr="00EE6283">
        <w:rPr>
          <w:rFonts w:ascii="Times New Roman" w:eastAsia="Times New Roman" w:hAnsi="Times New Roman"/>
          <w:bCs/>
          <w:sz w:val="24"/>
          <w:szCs w:val="24"/>
          <w:lang w:eastAsia="sk-SK"/>
        </w:rPr>
        <w:t>76 353 088</w:t>
      </w:r>
      <w:r w:rsidR="00332A42" w:rsidRPr="0058155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="00282B83">
        <w:rPr>
          <w:rFonts w:ascii="Times New Roman" w:hAnsi="Times New Roman"/>
          <w:bCs/>
          <w:sz w:val="24"/>
          <w:szCs w:val="24"/>
          <w:shd w:val="clear" w:color="auto" w:fill="FFFFFF"/>
        </w:rPr>
        <w:t>*(</w:t>
      </w:r>
      <w:r w:rsidR="00C77B25">
        <w:rPr>
          <w:rFonts w:ascii="Times New Roman" w:hAnsi="Times New Roman"/>
          <w:bCs/>
          <w:sz w:val="24"/>
          <w:szCs w:val="24"/>
          <w:shd w:val="clear" w:color="auto" w:fill="FFFFFF"/>
        </w:rPr>
        <w:t>912</w:t>
      </w:r>
      <w:r w:rsidR="00282B83">
        <w:rPr>
          <w:rFonts w:ascii="Times New Roman" w:hAnsi="Times New Roman"/>
          <w:bCs/>
          <w:sz w:val="24"/>
          <w:szCs w:val="24"/>
          <w:shd w:val="clear" w:color="auto" w:fill="FFFFFF"/>
        </w:rPr>
        <w:t>/81</w:t>
      </w:r>
      <w:r w:rsidR="00332A42">
        <w:rPr>
          <w:rFonts w:ascii="Times New Roman" w:hAnsi="Times New Roman"/>
          <w:bCs/>
          <w:sz w:val="24"/>
          <w:szCs w:val="24"/>
          <w:shd w:val="clear" w:color="auto" w:fill="FFFFFF"/>
        </w:rPr>
        <w:t>6</w:t>
      </w:r>
      <w:r w:rsidR="00282B8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) - </w:t>
      </w:r>
      <w:r w:rsidR="00332A42" w:rsidRPr="00EE6283">
        <w:rPr>
          <w:rFonts w:ascii="Times New Roman" w:eastAsia="Times New Roman" w:hAnsi="Times New Roman"/>
          <w:bCs/>
          <w:sz w:val="24"/>
          <w:szCs w:val="24"/>
          <w:lang w:eastAsia="sk-SK"/>
        </w:rPr>
        <w:t>76 353 088</w:t>
      </w:r>
      <w:r w:rsidR="00282B83" w:rsidRPr="00776FA1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="00282B8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= </w:t>
      </w:r>
      <w:r w:rsidR="00C77B25" w:rsidRPr="00C77B25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>86</w:t>
      </w:r>
      <w:r w:rsidR="00C77B25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> </w:t>
      </w:r>
      <w:r w:rsidR="00C77B25" w:rsidRPr="00C77B25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>234</w:t>
      </w:r>
      <w:r w:rsidR="00C77B25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 xml:space="preserve"> </w:t>
      </w:r>
      <w:r w:rsidR="00C77B25" w:rsidRPr="00C77B25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sk-SK"/>
        </w:rPr>
        <w:t>076</w:t>
      </w:r>
    </w:p>
    <w:p w14:paraId="380C608E" w14:textId="77777777" w:rsidR="00282B83" w:rsidRDefault="00282B83" w:rsidP="00282B83">
      <w:p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7A04E586" w14:textId="4638245B" w:rsidR="0042031F" w:rsidRPr="0042031F" w:rsidRDefault="0042031F" w:rsidP="0042031F">
      <w:p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 xml:space="preserve">Hodnota mesačnej minimálnej mzdy (M) na rok 2025, bola určená podľa zákona č. </w:t>
      </w:r>
      <w:r w:rsidRPr="00282B83">
        <w:rPr>
          <w:rFonts w:ascii="Times New Roman" w:hAnsi="Times New Roman"/>
          <w:bCs/>
          <w:sz w:val="24"/>
          <w:szCs w:val="24"/>
          <w:shd w:val="clear" w:color="auto" w:fill="FFFFFF"/>
        </w:rPr>
        <w:t>663/2007 Z. z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Pr="00282B83">
        <w:rPr>
          <w:rFonts w:ascii="Times New Roman" w:hAnsi="Times New Roman"/>
          <w:bCs/>
          <w:sz w:val="24"/>
          <w:szCs w:val="24"/>
          <w:shd w:val="clear" w:color="auto" w:fill="FFFFFF"/>
        </w:rPr>
        <w:t>o minimálnej mzde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ako 57% </w:t>
      </w:r>
      <w:r w:rsidRPr="0042031F">
        <w:rPr>
          <w:rFonts w:ascii="Times New Roman" w:hAnsi="Times New Roman"/>
          <w:bCs/>
          <w:sz w:val="24"/>
          <w:szCs w:val="24"/>
          <w:shd w:val="clear" w:color="auto" w:fill="FFFFFF"/>
        </w:rPr>
        <w:t>priemernej mesačnej nominálnej mzdy zamestnanca v hospodárstve SR zverejnenej Štatistickým úradom SR za kalendárny rok, ktorý dva roky predchádza kalendárnemu roku, na ktorý sa určuj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e suma mesačnej minimálnej mzdy.</w:t>
      </w:r>
    </w:p>
    <w:p w14:paraId="1E6AE04F" w14:textId="0E60F2A0" w:rsidR="001D30C5" w:rsidRPr="001C60C2" w:rsidRDefault="0042031F" w:rsidP="001C60C2">
      <w:p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Hodnota mesačnej minimálnej mzdy (M) na rok 2026 </w:t>
      </w:r>
      <w:r w:rsidR="00282B83">
        <w:rPr>
          <w:rFonts w:ascii="Times New Roman" w:hAnsi="Times New Roman"/>
          <w:bCs/>
          <w:sz w:val="24"/>
          <w:szCs w:val="24"/>
          <w:shd w:val="clear" w:color="auto" w:fill="FFFFFF"/>
        </w:rPr>
        <w:t>bola určená na základe</w:t>
      </w:r>
      <w:r w:rsidR="00332A4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novely</w:t>
      </w:r>
      <w:r w:rsidR="005A221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zákona č</w:t>
      </w:r>
      <w:r w:rsidR="00282B8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="00282B83" w:rsidRPr="00282B83">
        <w:rPr>
          <w:rFonts w:ascii="Times New Roman" w:hAnsi="Times New Roman"/>
          <w:bCs/>
          <w:sz w:val="24"/>
          <w:szCs w:val="24"/>
          <w:shd w:val="clear" w:color="auto" w:fill="FFFFFF"/>
        </w:rPr>
        <w:t>663/2007 Z. z</w:t>
      </w:r>
      <w:r w:rsidR="00C82B64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="00282B8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282B83" w:rsidRPr="00282B83">
        <w:rPr>
          <w:rFonts w:ascii="Times New Roman" w:hAnsi="Times New Roman"/>
          <w:bCs/>
          <w:sz w:val="24"/>
          <w:szCs w:val="24"/>
          <w:shd w:val="clear" w:color="auto" w:fill="FFFFFF"/>
        </w:rPr>
        <w:t>o minimálnej mzde</w:t>
      </w:r>
      <w:r w:rsidR="00282B8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282B83" w:rsidRPr="005A221D">
        <w:rPr>
          <w:rFonts w:ascii="Times New Roman" w:hAnsi="Times New Roman"/>
          <w:bCs/>
          <w:sz w:val="24"/>
          <w:szCs w:val="24"/>
          <w:shd w:val="clear" w:color="auto" w:fill="FFFFFF"/>
        </w:rPr>
        <w:t>v znení neskorších predpisov</w:t>
      </w:r>
      <w:r w:rsidR="00282B8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332A42" w:rsidRPr="00332A42">
        <w:rPr>
          <w:rFonts w:ascii="Times New Roman" w:hAnsi="Times New Roman"/>
          <w:bCs/>
          <w:sz w:val="24"/>
          <w:szCs w:val="24"/>
          <w:shd w:val="clear" w:color="auto" w:fill="FFFFFF"/>
        </w:rPr>
        <w:t>kde sa v § 8 slová „je 57 %“ nahrádzajú slovami „je 60 %“</w:t>
      </w:r>
      <w:r w:rsidR="00C82B6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hyperlink r:id="rId12" w:history="1">
        <w:r w:rsidR="00332A42" w:rsidRPr="00332A42">
          <w:rPr>
            <w:rStyle w:val="Hypertextovprepojenie"/>
            <w:rFonts w:ascii="Times New Roman" w:hAnsi="Times New Roman"/>
            <w:bCs/>
            <w:sz w:val="24"/>
            <w:szCs w:val="24"/>
            <w:shd w:val="clear" w:color="auto" w:fill="FFFFFF"/>
          </w:rPr>
          <w:t>LP/2024/130</w:t>
        </w:r>
      </w:hyperlink>
      <w:r w:rsidR="00332A42" w:rsidRPr="00332A4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z</w:t>
      </w:r>
      <w:r w:rsidR="00332A42" w:rsidRPr="00332A42">
        <w:rPr>
          <w:rFonts w:ascii="Times New Roman" w:hAnsi="Times New Roman"/>
          <w:bCs/>
          <w:sz w:val="24"/>
          <w:szCs w:val="24"/>
          <w:shd w:val="clear" w:color="auto" w:fill="FFFFFF"/>
        </w:rPr>
        <w:t>ákon, ktorým sa mení a dopĺňa zákon č. 663/2007 Z. z. o minimálnej mzde v znení neskorších predpisov a ktorým sa menia a dopĺňajú niektoré zákony</w:t>
      </w:r>
      <w:r w:rsidR="00332A4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="001C60C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Odhad minimálnej mzdy na rok 2026 bol určený pod</w:t>
      </w:r>
      <w:r w:rsidR="00C77B25">
        <w:rPr>
          <w:rFonts w:ascii="Times New Roman" w:hAnsi="Times New Roman"/>
          <w:bCs/>
          <w:sz w:val="24"/>
          <w:szCs w:val="24"/>
          <w:shd w:val="clear" w:color="auto" w:fill="FFFFFF"/>
        </w:rPr>
        <w:t>ľa aktuálnej makroekonomickej prognózy Inštitútu finančnej politiky z marca 2024</w:t>
      </w:r>
      <w:r w:rsidR="00C77B25">
        <w:rPr>
          <w:rStyle w:val="Odkaznapoznmkupodiarou"/>
          <w:rFonts w:ascii="Times New Roman" w:hAnsi="Times New Roman"/>
          <w:bCs/>
          <w:sz w:val="24"/>
          <w:szCs w:val="24"/>
          <w:shd w:val="clear" w:color="auto" w:fill="FFFFFF"/>
        </w:rPr>
        <w:footnoteReference w:id="1"/>
      </w:r>
      <w:r w:rsidR="00C77B2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</w:p>
    <w:p w14:paraId="0A727DA8" w14:textId="56C8FB9B" w:rsidR="00E929E8" w:rsidRDefault="00144100" w:rsidP="000606E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 výpočet výšky nekrytého vplyvu sme po</w:t>
      </w:r>
      <w:r w:rsidR="00E929E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užili </w:t>
      </w:r>
      <w:r w:rsidR="00E929E8" w:rsidRPr="00E929E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rozdiel</w:t>
      </w:r>
      <w:r w:rsidRPr="00E929E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príspevku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 roky 2025, 2026 a 2027 </w:t>
      </w:r>
      <w:r w:rsidR="00E929E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podľa vzorca z</w:t>
      </w:r>
      <w:r w:rsidR="000606E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aktuálneho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znenia zákona </w:t>
      </w:r>
      <w:r w:rsidR="00E929E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(Zákon </w:t>
      </w:r>
      <w:r w:rsidR="000606E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č. 370/2019 Z. z. </w:t>
      </w:r>
      <w:r w:rsidR="000606E0" w:rsidRPr="000606E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Zákon o finančnej podpore činnosti c</w:t>
      </w:r>
      <w:r w:rsidR="00E929E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ir</w:t>
      </w:r>
      <w:r w:rsidR="00FC77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kví a náboženských spoločností) </w:t>
      </w:r>
      <w:r w:rsidR="00E929E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 príspevku vypočítaného podľa</w:t>
      </w:r>
      <w:r w:rsidR="001D30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vzorca v predkladanom materiáli</w:t>
      </w:r>
      <w:r w:rsidR="00E929E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0606E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77695EA5" w14:textId="77777777" w:rsidR="00CF7153" w:rsidRDefault="00CF7153" w:rsidP="000606E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5FEFE81" w14:textId="77777777" w:rsidR="000606E0" w:rsidRDefault="000606E0" w:rsidP="000606E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aktuálne platnom vzorci pre výpočet finančného príspevku sa zohľadňujú dva ukazovatele, a to p</w:t>
      </w:r>
      <w:r>
        <w:rPr>
          <w:rFonts w:ascii="Times" w:hAnsi="Times" w:cs="Times"/>
          <w:sz w:val="24"/>
          <w:szCs w:val="24"/>
        </w:rPr>
        <w:t>riemerná miera</w:t>
      </w:r>
      <w:r w:rsidRPr="002F3AB4">
        <w:rPr>
          <w:rFonts w:ascii="Times" w:hAnsi="Times" w:cs="Times"/>
          <w:sz w:val="24"/>
          <w:szCs w:val="24"/>
        </w:rPr>
        <w:t xml:space="preserve"> </w:t>
      </w:r>
      <w:r w:rsidRPr="00845D1B">
        <w:rPr>
          <w:rFonts w:ascii="Times" w:hAnsi="Times" w:cs="Times"/>
          <w:sz w:val="24"/>
          <w:szCs w:val="24"/>
        </w:rPr>
        <w:t xml:space="preserve">medziročného rastu </w:t>
      </w:r>
      <w:r w:rsidRPr="00845D1B">
        <w:rPr>
          <w:rFonts w:ascii="Times" w:hAnsi="Times"/>
          <w:sz w:val="24"/>
          <w:szCs w:val="24"/>
        </w:rPr>
        <w:t>inflácie</w:t>
      </w:r>
      <w:r>
        <w:rPr>
          <w:rFonts w:ascii="Times" w:hAnsi="Times"/>
          <w:sz w:val="24"/>
          <w:szCs w:val="24"/>
        </w:rPr>
        <w:t xml:space="preserve"> </w:t>
      </w:r>
      <w:r w:rsidRPr="00845D1B">
        <w:rPr>
          <w:rFonts w:ascii="Times" w:hAnsi="Times"/>
          <w:sz w:val="24"/>
          <w:szCs w:val="24"/>
        </w:rPr>
        <w:t>v</w:t>
      </w:r>
      <w:r w:rsidRPr="003511F4">
        <w:rPr>
          <w:rFonts w:ascii="Times" w:hAnsi="Times"/>
          <w:sz w:val="24"/>
          <w:szCs w:val="24"/>
        </w:rPr>
        <w:t> </w:t>
      </w:r>
      <w:r w:rsidRPr="00845D1B">
        <w:rPr>
          <w:rFonts w:ascii="Times" w:hAnsi="Times"/>
          <w:sz w:val="24"/>
          <w:szCs w:val="24"/>
        </w:rPr>
        <w:t>hospodárstve Slovenskej republiky</w:t>
      </w:r>
      <w:r>
        <w:rPr>
          <w:rFonts w:ascii="Times New Roman" w:hAnsi="Times New Roman"/>
          <w:sz w:val="24"/>
          <w:szCs w:val="24"/>
        </w:rPr>
        <w:t xml:space="preserve"> a miera </w:t>
      </w:r>
      <w:r w:rsidRPr="000F5833">
        <w:rPr>
          <w:rFonts w:ascii="Times New Roman" w:hAnsi="Times New Roman"/>
          <w:sz w:val="24"/>
          <w:szCs w:val="24"/>
        </w:rPr>
        <w:t xml:space="preserve">valorizácie </w:t>
      </w:r>
      <w:r>
        <w:rPr>
          <w:rFonts w:ascii="Times New Roman" w:hAnsi="Times New Roman"/>
          <w:sz w:val="24"/>
          <w:szCs w:val="24"/>
        </w:rPr>
        <w:t>platov</w:t>
      </w:r>
      <w:r w:rsidRPr="000F5833">
        <w:rPr>
          <w:rFonts w:ascii="Times New Roman" w:hAnsi="Times New Roman"/>
          <w:sz w:val="24"/>
          <w:szCs w:val="24"/>
        </w:rPr>
        <w:t xml:space="preserve"> zamestnancov pri</w:t>
      </w:r>
      <w:r>
        <w:rPr>
          <w:rFonts w:ascii="Times New Roman" w:hAnsi="Times New Roman"/>
          <w:sz w:val="24"/>
          <w:szCs w:val="24"/>
        </w:rPr>
        <w:t xml:space="preserve"> výkone práce vo verejnom záujme:  </w:t>
      </w:r>
      <w:r w:rsidR="0014410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7276498A" w14:textId="77777777" w:rsidR="007D5748" w:rsidRPr="007B7470" w:rsidRDefault="00144100" w:rsidP="000606E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3EF0398E" w14:textId="77777777" w:rsidR="000606E0" w:rsidRPr="000606E0" w:rsidRDefault="000606E0" w:rsidP="000606E0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 w:rsidRPr="000606E0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Pt = Pt-1 * 0,2 * (1 + CPIt-2) + Pt-1 * 0,8 * (1 + Vt), pričom</w:t>
      </w:r>
    </w:p>
    <w:p w14:paraId="20DCD155" w14:textId="77777777" w:rsidR="000606E0" w:rsidRPr="000606E0" w:rsidRDefault="000606E0" w:rsidP="000606E0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</w:p>
    <w:p w14:paraId="52576E10" w14:textId="77777777" w:rsidR="000606E0" w:rsidRPr="000606E0" w:rsidRDefault="000606E0" w:rsidP="000606E0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 w:rsidRPr="000606E0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CPIt-2 ≥ 0</w:t>
      </w:r>
    </w:p>
    <w:p w14:paraId="7F2640E3" w14:textId="77777777" w:rsidR="000606E0" w:rsidRPr="000606E0" w:rsidRDefault="000606E0" w:rsidP="000606E0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</w:p>
    <w:p w14:paraId="799445F0" w14:textId="77777777" w:rsidR="000606E0" w:rsidRPr="000606E0" w:rsidRDefault="000606E0" w:rsidP="000606E0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 w:rsidRPr="000606E0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Ak hodnota CPIt-2 &lt; 0, dosadí sa do vzorca hodnota CPIt-2 = 0, kde</w:t>
      </w:r>
    </w:p>
    <w:p w14:paraId="484C0398" w14:textId="77777777" w:rsidR="000606E0" w:rsidRPr="000606E0" w:rsidRDefault="000606E0" w:rsidP="000606E0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</w:p>
    <w:p w14:paraId="2732BE5B" w14:textId="77777777" w:rsidR="000606E0" w:rsidRPr="000606E0" w:rsidRDefault="000606E0" w:rsidP="000606E0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 w:rsidRPr="000606E0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Pt je príspevok štátu na príslušný rozpočtovaný rok (t), na ktorý sa príspevok štátu určuje,</w:t>
      </w:r>
    </w:p>
    <w:p w14:paraId="60BD5E42" w14:textId="77777777" w:rsidR="000606E0" w:rsidRPr="000606E0" w:rsidRDefault="000606E0" w:rsidP="000606E0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</w:p>
    <w:p w14:paraId="5BD5E277" w14:textId="77777777" w:rsidR="000606E0" w:rsidRPr="000606E0" w:rsidRDefault="000606E0" w:rsidP="000606E0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 w:rsidRPr="000606E0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Pt-1 je príspevok štátu na rok predchádzajúci príslušnému rozpočtovanému roku,</w:t>
      </w:r>
    </w:p>
    <w:p w14:paraId="375DDCED" w14:textId="77777777" w:rsidR="000606E0" w:rsidRPr="000606E0" w:rsidRDefault="000606E0" w:rsidP="000606E0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</w:p>
    <w:p w14:paraId="26F146F1" w14:textId="77777777" w:rsidR="000606E0" w:rsidRPr="000606E0" w:rsidRDefault="000606E0" w:rsidP="000606E0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 w:rsidRPr="000606E0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CPIt-2 je priemerná miera medziročného rastu inflácie v hospodárstve Slovenskej republiky zistená štatistickým úradom </w:t>
      </w:r>
      <w:r w:rsidRPr="000606E0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lastRenderedPageBreak/>
        <w:t>vyjadrená indexom CPI za rok, ktorý dva roky predchádza príslušnému rozpočtovanému roku, na ktorý sa príspevok štátu určuje, vyjadrená v percentách, pričom do vzorca sa vkladá percento v tvare desatinného čísla zaokrúhleného na tri desatinné miesta (napríklad 1 % = 0,010),</w:t>
      </w:r>
    </w:p>
    <w:p w14:paraId="113B5309" w14:textId="77777777" w:rsidR="000606E0" w:rsidRPr="000606E0" w:rsidRDefault="000606E0" w:rsidP="000606E0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</w:p>
    <w:p w14:paraId="2BED3EB0" w14:textId="1D08E3A5" w:rsidR="000606E0" w:rsidRDefault="000606E0" w:rsidP="000606E0">
      <w:pPr>
        <w:pStyle w:val="Odsekzoznamu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 w:rsidRPr="000606E0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Vt je miera zvýšenia základnej stupnice platových taríf zamestnancov pri výkone práce vo verejnom záujme schválenej na rok, na ktorý sa príspevok štátu určuje, vyjadrená v percentách, pričom do vzorca sa vkladá percento v tvare desatinného čísla zaokrúhleného na tri desatinné miesta (napríklad 1 % = 0,010).</w:t>
      </w:r>
      <w:r w:rsidR="002E2E8B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</w:t>
      </w:r>
    </w:p>
    <w:p w14:paraId="32FE9333" w14:textId="4FCA3405" w:rsidR="00CF7153" w:rsidRDefault="00CF7153" w:rsidP="008C716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E418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Výška príspevku na rok 2025 – 2027 podľa aktuálneho platného zákona vyplýva z oznámenia MF SR o návrhu limitov príjmov a výdavkov kapitoly MK SR na roky 2025 – 2027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</w:p>
    <w:p w14:paraId="1B3A792A" w14:textId="77777777" w:rsidR="00CF7153" w:rsidRPr="008C7164" w:rsidRDefault="00CF7153" w:rsidP="008C716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43400CF" w14:textId="6AB94855" w:rsidR="0090395D" w:rsidRPr="005143ED" w:rsidRDefault="00834294" w:rsidP="002E2E8B">
      <w:p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Hodnota </w:t>
      </w:r>
      <w:r w:rsidR="00CF7153" w:rsidRPr="00CF7153">
        <w:rPr>
          <w:rFonts w:ascii="Times New Roman" w:hAnsi="Times New Roman"/>
          <w:bCs/>
          <w:sz w:val="24"/>
          <w:szCs w:val="24"/>
          <w:shd w:val="clear" w:color="auto" w:fill="FFFFFF"/>
        </w:rPr>
        <w:t>60 311 903</w:t>
      </w:r>
      <w:r w:rsidR="003E525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CF7153">
        <w:rPr>
          <w:rFonts w:ascii="Times New Roman" w:hAnsi="Times New Roman"/>
          <w:bCs/>
          <w:sz w:val="24"/>
          <w:szCs w:val="24"/>
          <w:shd w:val="clear" w:color="auto" w:fill="FFFFFF"/>
        </w:rPr>
        <w:t>predstavuje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výšku príspevku</w:t>
      </w:r>
      <w:r w:rsidR="00C356D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v roku 2025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podľa aktuálne platného vzorca. Ro</w:t>
      </w:r>
      <w:r w:rsidR="00E929E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zdiel medzi výškou príspevku podľa vzorca navrhovaného v predkladanom materiály </w:t>
      </w:r>
      <w:r w:rsidR="003E525A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="00E929E8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C356D0" w:rsidRPr="00C356D0">
        <w:rPr>
          <w:rFonts w:ascii="Times New Roman" w:hAnsi="Times New Roman"/>
          <w:bCs/>
          <w:sz w:val="24"/>
          <w:szCs w:val="24"/>
          <w:shd w:val="clear" w:color="auto" w:fill="FFFFFF"/>
        </w:rPr>
        <w:t>69 614 413</w:t>
      </w:r>
      <w:r w:rsidR="00E929E8">
        <w:rPr>
          <w:rFonts w:ascii="Times New Roman" w:hAnsi="Times New Roman"/>
          <w:bCs/>
          <w:sz w:val="24"/>
          <w:szCs w:val="24"/>
          <w:shd w:val="clear" w:color="auto" w:fill="FFFFFF"/>
        </w:rPr>
        <w:t>) a výškou príspevku podľa aktuálne platného vzorca (</w:t>
      </w:r>
      <w:r w:rsidR="00CF7153" w:rsidRPr="00CF7153">
        <w:rPr>
          <w:rFonts w:ascii="Times New Roman" w:hAnsi="Times New Roman"/>
          <w:bCs/>
          <w:sz w:val="24"/>
          <w:szCs w:val="24"/>
          <w:shd w:val="clear" w:color="auto" w:fill="FFFFFF"/>
        </w:rPr>
        <w:t>60 311</w:t>
      </w:r>
      <w:r w:rsidR="00CF7153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="00CF7153" w:rsidRPr="00CF7153">
        <w:rPr>
          <w:rFonts w:ascii="Times New Roman" w:hAnsi="Times New Roman"/>
          <w:bCs/>
          <w:sz w:val="24"/>
          <w:szCs w:val="24"/>
          <w:shd w:val="clear" w:color="auto" w:fill="FFFFFF"/>
        </w:rPr>
        <w:t>903</w:t>
      </w:r>
      <w:r w:rsidR="00E929E8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="00E9772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tvorí rozpočtovo nekrytý vplyv</w:t>
      </w:r>
      <w:r w:rsidR="00E929E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v hodnote </w:t>
      </w:r>
      <w:r w:rsidR="00CF7153" w:rsidRPr="00CF7153">
        <w:rPr>
          <w:rFonts w:ascii="Times New Roman" w:hAnsi="Times New Roman"/>
          <w:bCs/>
          <w:sz w:val="24"/>
          <w:szCs w:val="24"/>
          <w:shd w:val="clear" w:color="auto" w:fill="FFFFFF"/>
        </w:rPr>
        <w:t>9 302</w:t>
      </w:r>
      <w:r w:rsidR="00CF7153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="00CF7153" w:rsidRPr="00CF7153">
        <w:rPr>
          <w:rFonts w:ascii="Times New Roman" w:hAnsi="Times New Roman"/>
          <w:bCs/>
          <w:sz w:val="24"/>
          <w:szCs w:val="24"/>
          <w:shd w:val="clear" w:color="auto" w:fill="FFFFFF"/>
        </w:rPr>
        <w:t>510</w:t>
      </w:r>
      <w:r w:rsidR="00CF71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90395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€. </w:t>
      </w:r>
    </w:p>
    <w:p w14:paraId="251E669D" w14:textId="45616952" w:rsidR="005143ED" w:rsidRPr="005143ED" w:rsidRDefault="005143ED" w:rsidP="005143ED">
      <w:pPr>
        <w:pStyle w:val="Popis"/>
        <w:keepNext/>
        <w:rPr>
          <w:rFonts w:ascii="Times New Roman" w:hAnsi="Times New Roman"/>
          <w:bCs/>
          <w:i w:val="0"/>
          <w:iCs w:val="0"/>
          <w:color w:val="auto"/>
          <w:sz w:val="22"/>
          <w:szCs w:val="24"/>
          <w:shd w:val="clear" w:color="auto" w:fill="FFFFFF"/>
        </w:rPr>
      </w:pPr>
      <w:r w:rsidRPr="005143ED">
        <w:rPr>
          <w:rFonts w:ascii="Times New Roman" w:hAnsi="Times New Roman"/>
          <w:bCs/>
          <w:i w:val="0"/>
          <w:iCs w:val="0"/>
          <w:color w:val="auto"/>
          <w:sz w:val="22"/>
          <w:szCs w:val="24"/>
          <w:shd w:val="clear" w:color="auto" w:fill="FFFFFF"/>
        </w:rPr>
        <w:lastRenderedPageBreak/>
        <w:t xml:space="preserve">Porovnanie príspevku pre cirkvi v prípade použitia aktuálneho platného vzorca </w:t>
      </w:r>
      <w:r w:rsidR="00A100DC">
        <w:rPr>
          <w:rFonts w:ascii="Times New Roman" w:hAnsi="Times New Roman"/>
          <w:bCs/>
          <w:i w:val="0"/>
          <w:iCs w:val="0"/>
          <w:color w:val="auto"/>
          <w:sz w:val="22"/>
          <w:szCs w:val="24"/>
          <w:shd w:val="clear" w:color="auto" w:fill="FFFFFF"/>
        </w:rPr>
        <w:t xml:space="preserve">a </w:t>
      </w:r>
      <w:r w:rsidRPr="005143ED">
        <w:rPr>
          <w:rFonts w:ascii="Times New Roman" w:hAnsi="Times New Roman"/>
          <w:bCs/>
          <w:i w:val="0"/>
          <w:iCs w:val="0"/>
          <w:color w:val="auto"/>
          <w:sz w:val="22"/>
          <w:szCs w:val="24"/>
          <w:shd w:val="clear" w:color="auto" w:fill="FFFFFF"/>
        </w:rPr>
        <w:t>navrhovaného vzorca:</w:t>
      </w: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701"/>
      </w:tblGrid>
      <w:tr w:rsidR="0090395D" w:rsidRPr="0090395D" w14:paraId="3BFE06B4" w14:textId="77777777" w:rsidTr="008C7164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73FEC6A" w14:textId="2965A620" w:rsidR="0090395D" w:rsidRPr="0090395D" w:rsidRDefault="0090395D" w:rsidP="009039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0395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5D6FF4" w14:textId="77777777" w:rsidR="0090395D" w:rsidRPr="0090395D" w:rsidRDefault="0090395D" w:rsidP="00903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0395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9CCE7C" w14:textId="77777777" w:rsidR="0090395D" w:rsidRPr="0090395D" w:rsidRDefault="0090395D" w:rsidP="00903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0395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AA6C01" w14:textId="77777777" w:rsidR="0090395D" w:rsidRPr="0090395D" w:rsidRDefault="0090395D" w:rsidP="00903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0395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2027</w:t>
            </w:r>
          </w:p>
        </w:tc>
      </w:tr>
      <w:tr w:rsidR="0090395D" w:rsidRPr="0090395D" w14:paraId="4E11518F" w14:textId="77777777" w:rsidTr="008C7164">
        <w:trPr>
          <w:trHeight w:val="288"/>
        </w:trPr>
        <w:tc>
          <w:tcPr>
            <w:tcW w:w="1980" w:type="dxa"/>
            <w:shd w:val="clear" w:color="auto" w:fill="auto"/>
            <w:vAlign w:val="bottom"/>
            <w:hideMark/>
          </w:tcPr>
          <w:p w14:paraId="1B5404E7" w14:textId="3B6D1F11" w:rsidR="0090395D" w:rsidRPr="0090395D" w:rsidRDefault="0090395D" w:rsidP="009039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0395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Výška príspevku podľa aktuálneho znenia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4CDFC6" w14:textId="58D54075" w:rsidR="0090395D" w:rsidRPr="0090395D" w:rsidRDefault="00432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60 311 903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3157D6" w14:textId="0816B408" w:rsidR="0090395D" w:rsidRPr="0090395D" w:rsidRDefault="0043226D" w:rsidP="00C35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60 677 393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03B3B0" w14:textId="6A053D1E" w:rsidR="0090395D" w:rsidRPr="0090395D" w:rsidRDefault="00432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61 171 307</w:t>
            </w:r>
          </w:p>
        </w:tc>
      </w:tr>
      <w:tr w:rsidR="00332A42" w:rsidRPr="0090395D" w14:paraId="36A39C5B" w14:textId="77777777" w:rsidTr="00EE6283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972C700" w14:textId="092D3DEE" w:rsidR="00332A42" w:rsidRPr="0090395D" w:rsidRDefault="00332A42" w:rsidP="00332A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0395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Výška príspevku podľa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predloženého </w:t>
            </w:r>
            <w:r w:rsidRPr="0090395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návrhu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E341F0" w14:textId="77777777" w:rsidR="00332A42" w:rsidRDefault="00332A42" w:rsidP="0033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3393400F" w14:textId="77777777" w:rsidR="00332A42" w:rsidRDefault="00332A42" w:rsidP="0033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200F5D8C" w14:textId="77777777" w:rsidR="00332A42" w:rsidRDefault="00332A42" w:rsidP="0033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1348FBA2" w14:textId="0A3FAACF" w:rsidR="00332A42" w:rsidRPr="0090395D" w:rsidRDefault="00332A42" w:rsidP="0033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356D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69 614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C356D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860947" w14:textId="77777777" w:rsidR="00332A42" w:rsidRDefault="00332A42" w:rsidP="0033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E62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        </w:t>
            </w:r>
          </w:p>
          <w:p w14:paraId="71EA24E7" w14:textId="76581079" w:rsidR="00332A42" w:rsidRPr="0090395D" w:rsidRDefault="00332A42" w:rsidP="0033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E62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76 353 088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B18AF5" w14:textId="77777777" w:rsidR="00332A42" w:rsidRDefault="00332A42" w:rsidP="0033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E62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            </w:t>
            </w:r>
          </w:p>
          <w:p w14:paraId="3E96B4D1" w14:textId="1A868926" w:rsidR="00332A42" w:rsidRPr="0090395D" w:rsidRDefault="00332A42" w:rsidP="0033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E62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77B25" w:rsidRPr="00C77B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86</w:t>
            </w:r>
            <w:r w:rsidR="00C77B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="00C77B25" w:rsidRPr="00C77B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234</w:t>
            </w:r>
            <w:r w:rsidR="00C77B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77B25" w:rsidRPr="00C77B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076</w:t>
            </w:r>
          </w:p>
        </w:tc>
      </w:tr>
      <w:tr w:rsidR="00332A42" w:rsidRPr="0090395D" w14:paraId="0EAFE5BE" w14:textId="77777777" w:rsidTr="00EE6283">
        <w:trPr>
          <w:trHeight w:val="797"/>
        </w:trPr>
        <w:tc>
          <w:tcPr>
            <w:tcW w:w="1980" w:type="dxa"/>
            <w:shd w:val="clear" w:color="auto" w:fill="auto"/>
            <w:vAlign w:val="bottom"/>
            <w:hideMark/>
          </w:tcPr>
          <w:p w14:paraId="3DB20E26" w14:textId="77777777" w:rsidR="00332A42" w:rsidRPr="0090395D" w:rsidRDefault="00332A42" w:rsidP="00332A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0395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Rozdiel (rozpočtovo nekrytý vplyv)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C032EB" w14:textId="77777777" w:rsidR="00332A42" w:rsidRDefault="00332A42" w:rsidP="0033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4AFAFAA4" w14:textId="77777777" w:rsidR="00332A42" w:rsidRDefault="00332A42" w:rsidP="0033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72D59F65" w14:textId="1FF9ED26" w:rsidR="00332A42" w:rsidRPr="0090395D" w:rsidRDefault="00332A42" w:rsidP="0033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     9 302 510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6D7374" w14:textId="77777777" w:rsidR="00332A42" w:rsidRDefault="00332A42" w:rsidP="0033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E62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           </w:t>
            </w:r>
          </w:p>
          <w:p w14:paraId="0850CC7F" w14:textId="3A4AE9AB" w:rsidR="00332A42" w:rsidRPr="0090395D" w:rsidRDefault="00332A42" w:rsidP="0033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E62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15 675 695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8C4B3B" w14:textId="77777777" w:rsidR="00332A42" w:rsidRDefault="00332A42" w:rsidP="0033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E62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           </w:t>
            </w:r>
          </w:p>
          <w:p w14:paraId="1EC1DFB5" w14:textId="52D936B5" w:rsidR="00332A42" w:rsidRPr="0090395D" w:rsidRDefault="00C77B25" w:rsidP="0033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77B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25 062 769   </w:t>
            </w:r>
          </w:p>
        </w:tc>
      </w:tr>
      <w:tr w:rsidR="00332A42" w:rsidRPr="0090395D" w14:paraId="3942B743" w14:textId="77777777" w:rsidTr="00EE6283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D0D6C57" w14:textId="033CE6A7" w:rsidR="00332A42" w:rsidRPr="0090395D" w:rsidRDefault="00332A42" w:rsidP="00332A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0395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%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navýšenie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01EF90" w14:textId="067BABA9" w:rsidR="00332A42" w:rsidRPr="0090395D" w:rsidRDefault="00332A42" w:rsidP="0033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E62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15%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505CBB" w14:textId="1E6DEADE" w:rsidR="00332A42" w:rsidRPr="0090395D" w:rsidRDefault="00332A42" w:rsidP="0033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E62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26%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021740" w14:textId="0785DCEF" w:rsidR="00332A42" w:rsidRPr="0090395D" w:rsidRDefault="00C77B25" w:rsidP="0033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41</w:t>
            </w:r>
            <w:r w:rsidR="00332A42" w:rsidRPr="00EE62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%</w:t>
            </w:r>
          </w:p>
        </w:tc>
      </w:tr>
    </w:tbl>
    <w:p w14:paraId="5BB1C7DE" w14:textId="77777777" w:rsidR="00151E84" w:rsidRDefault="00151E84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sk-SK"/>
        </w:rPr>
      </w:pPr>
    </w:p>
    <w:p w14:paraId="5324C40B" w14:textId="77777777" w:rsidR="005143ED" w:rsidRPr="005143ED" w:rsidRDefault="005143E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sk-SK"/>
        </w:rPr>
        <w:sectPr w:rsidR="005143ED" w:rsidRPr="005143ED" w:rsidSect="002B63F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5B17459B" w14:textId="77777777"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14:paraId="6F046E56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D6402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6C5EC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5C3AE5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AC387C" w:rsidRPr="007B7470" w14:paraId="30E7068B" w14:textId="77777777" w:rsidTr="00AC387C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C990" w14:textId="77777777" w:rsidR="00AC387C" w:rsidRPr="007B7470" w:rsidRDefault="00AC387C" w:rsidP="00AC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865794" w14:textId="77777777" w:rsidR="00AC387C" w:rsidRPr="007B7470" w:rsidRDefault="00AC387C" w:rsidP="00AC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DAA06F" w14:textId="77777777" w:rsidR="00AC387C" w:rsidRPr="007B7470" w:rsidRDefault="00AC387C" w:rsidP="00AC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4989BB" w14:textId="77777777" w:rsidR="00AC387C" w:rsidRPr="007B7470" w:rsidRDefault="00AC387C" w:rsidP="00AC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35A8BE" w14:textId="77777777" w:rsidR="00AC387C" w:rsidRPr="007B7470" w:rsidRDefault="00AC387C" w:rsidP="00AC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6AC0" w14:textId="77777777" w:rsidR="00AC387C" w:rsidRPr="007B7470" w:rsidRDefault="00AC387C" w:rsidP="00AC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14:paraId="2E35827C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E37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814E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6C259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AC7C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E98B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5C7F9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0B60E344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9F98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66E2C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D73A9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B06E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4334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F9AC3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2907FDFA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5291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B344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0889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3EC2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881D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9185A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799A3191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C06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B19A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4F76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5F0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43A9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4A13B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3EFA31BA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F6A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C32C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5BA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1803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13D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7F68C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6ECFCB16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527062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AE21D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54FE7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B2C809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B0F2F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664A9B8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4AF03A1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392AFC0C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11439EB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3FFEB2E1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292138A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7A87537A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49A765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4BACDB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D736EE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0716F7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ACD7414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6EB1349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34FA03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0C1A5B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FFF012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4DBD3F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05F774F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970DD9A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9F236D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C2F6E9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2B15F9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9ACA5BB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14:paraId="2A465FD2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5EBF2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D88BF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E7F7207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AC387C" w:rsidRPr="007B7470" w14:paraId="4934E9C2" w14:textId="77777777" w:rsidTr="00AC387C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6B6B4" w14:textId="77777777" w:rsidR="00AC387C" w:rsidRPr="007B7470" w:rsidRDefault="00AC387C" w:rsidP="00AC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2C192B" w14:textId="77777777" w:rsidR="00AC387C" w:rsidRPr="007B7470" w:rsidRDefault="00AC387C" w:rsidP="00AC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CE512E" w14:textId="77777777" w:rsidR="00AC387C" w:rsidRPr="007B7470" w:rsidRDefault="00AC387C" w:rsidP="00AC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0CFAEC" w14:textId="77777777" w:rsidR="00AC387C" w:rsidRPr="007B7470" w:rsidRDefault="00AC387C" w:rsidP="00AC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0305D3" w14:textId="77777777" w:rsidR="00AC387C" w:rsidRPr="007B7470" w:rsidRDefault="00AC387C" w:rsidP="00AC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648B" w14:textId="77777777" w:rsidR="00AC387C" w:rsidRPr="007B7470" w:rsidRDefault="00AC387C" w:rsidP="00AC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21E6C" w:rsidRPr="007B7470" w14:paraId="7BEC59AE" w14:textId="77777777" w:rsidTr="00EE628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9956" w14:textId="77777777" w:rsidR="00721E6C" w:rsidRPr="00A05138" w:rsidRDefault="00721E6C" w:rsidP="0072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F3443" w14:textId="712A06B0" w:rsidR="00721E6C" w:rsidRPr="00A05138" w:rsidRDefault="00721E6C" w:rsidP="0072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C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59 066 775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4B4C5" w14:textId="744F71AA" w:rsidR="00721E6C" w:rsidRPr="00A05138" w:rsidRDefault="00721E6C" w:rsidP="0072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23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69 614 413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7DFE1" w14:textId="26C87DF8" w:rsidR="00721E6C" w:rsidRPr="00A05138" w:rsidRDefault="00721E6C" w:rsidP="0072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581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76 353 088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48D4F" w14:textId="5AE2FE00" w:rsidR="00721E6C" w:rsidRPr="00A05138" w:rsidRDefault="00C77B25" w:rsidP="0072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C77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86 234 076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DEFFB" w14:textId="77777777" w:rsidR="00721E6C" w:rsidRPr="00A05138" w:rsidRDefault="00721E6C" w:rsidP="0072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7EF52A23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5ED3" w14:textId="77777777" w:rsidR="007D5748" w:rsidRPr="00A0513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78CCE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1B7F7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B65C3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B93F4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7AE43" w14:textId="77777777" w:rsidR="007D5748" w:rsidRPr="00A0513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1890BFB6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6CD7" w14:textId="77777777" w:rsidR="007D5748" w:rsidRPr="00A0513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22BC7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6498F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0CBBE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4F4DE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2AF02" w14:textId="77777777" w:rsidR="007D5748" w:rsidRPr="00A0513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139888FF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76BF" w14:textId="77777777" w:rsidR="007D5748" w:rsidRPr="00A0513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A051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337C2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ED40F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A2156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DAA93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58413" w14:textId="77777777" w:rsidR="007D5748" w:rsidRPr="00A0513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21E6C" w:rsidRPr="007B7470" w14:paraId="769B5284" w14:textId="77777777" w:rsidTr="00EE628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6C09" w14:textId="77777777" w:rsidR="00721E6C" w:rsidRPr="00A05138" w:rsidRDefault="00721E6C" w:rsidP="0072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A051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98777" w14:textId="23755F04" w:rsidR="00721E6C" w:rsidRPr="00721E6C" w:rsidRDefault="00721E6C" w:rsidP="0072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2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59 066 775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E8CD0" w14:textId="68CAE01C" w:rsidR="00721E6C" w:rsidRPr="00721E6C" w:rsidRDefault="00721E6C" w:rsidP="0072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2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69 614 413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CE453" w14:textId="4A049333" w:rsidR="00721E6C" w:rsidRPr="00721E6C" w:rsidRDefault="00721E6C" w:rsidP="0072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2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76 353 088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0190B" w14:textId="2FA9C39F" w:rsidR="00721E6C" w:rsidRPr="00721E6C" w:rsidRDefault="00C77B25" w:rsidP="0072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77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86 234 076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DB37B" w14:textId="77777777" w:rsidR="00721E6C" w:rsidRPr="00A05138" w:rsidRDefault="00721E6C" w:rsidP="0072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06779824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942E" w14:textId="77777777" w:rsidR="007D5748" w:rsidRPr="00A05138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 w:rsidRPr="00A05138">
              <w:t xml:space="preserve"> </w:t>
            </w:r>
            <w:r w:rsidR="008D339D" w:rsidRPr="00A05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A05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A051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676DC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AC112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D9FA4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210B9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8613F" w14:textId="77777777" w:rsidR="007D5748" w:rsidRPr="00A0513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220C83B2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3FEC" w14:textId="77777777" w:rsidR="007D5748" w:rsidRPr="00A0513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505F7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2CEA4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E315B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870B7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8CB4F" w14:textId="77777777" w:rsidR="007D5748" w:rsidRPr="00A0513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39D99E31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004" w14:textId="77777777" w:rsidR="007D5748" w:rsidRPr="00A0513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A051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446D1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D7FD8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E32A0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8DD98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9F645" w14:textId="77777777" w:rsidR="007D5748" w:rsidRPr="00A0513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2F01221F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9191" w14:textId="77777777" w:rsidR="007D5748" w:rsidRPr="00A0513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A051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B6AB9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A2F92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FD140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B5C97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BEC9D" w14:textId="77777777" w:rsidR="007D5748" w:rsidRPr="00A0513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6339F479" w14:textId="77777777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C5FE" w14:textId="77777777" w:rsidR="007D5748" w:rsidRPr="00A0513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8D19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BA2B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E567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7BD4" w14:textId="77777777" w:rsidR="007D5748" w:rsidRPr="00A0513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164EF" w14:textId="77777777" w:rsidR="007D5748" w:rsidRPr="00A0513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21E6C" w:rsidRPr="007B7470" w14:paraId="11F4A9D0" w14:textId="77777777" w:rsidTr="00EE6283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4A305" w14:textId="77777777" w:rsidR="00721E6C" w:rsidRPr="00A05138" w:rsidRDefault="00721E6C" w:rsidP="0072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CEC138" w14:textId="2622E70C" w:rsidR="00721E6C" w:rsidRPr="00A05138" w:rsidRDefault="00721E6C" w:rsidP="0072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C3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59 066 775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2D76958" w14:textId="240689B5" w:rsidR="00721E6C" w:rsidRPr="00A05138" w:rsidRDefault="00721E6C" w:rsidP="0072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23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69 614 413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CF1334F" w14:textId="29DDB022" w:rsidR="00721E6C" w:rsidRPr="00A05138" w:rsidRDefault="00721E6C" w:rsidP="0072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581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76 353 088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C4A051D" w14:textId="2B68E7B5" w:rsidR="00721E6C" w:rsidRPr="00A05138" w:rsidRDefault="00C77B25" w:rsidP="0072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C77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86 234 076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EB2F1D7" w14:textId="77777777" w:rsidR="00721E6C" w:rsidRPr="00A05138" w:rsidRDefault="00721E6C" w:rsidP="0072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722348D5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4EADFD0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03D0D3E2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7D5D2C83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7A818C4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6EEA4C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C3365CB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AD4E2E0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410AC2D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EAA1D7B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F39B712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4312100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BCBF9C1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B394B82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012B7BC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91F645D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45A1F0D" w14:textId="777777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065F258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20ECB6C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C9EC393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1C1DA55" w14:textId="777777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14:paraId="241A7E82" w14:textId="77777777" w:rsidTr="00C77B25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E1D981" w14:textId="77777777"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61EF9F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33284B8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5547D4" w:rsidRPr="007B7470" w14:paraId="04CEF429" w14:textId="77777777" w:rsidTr="00C77B25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3F7C7" w14:textId="77777777" w:rsidR="005547D4" w:rsidRPr="007B7470" w:rsidRDefault="005547D4" w:rsidP="00554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F549C3" w14:textId="77777777" w:rsidR="005547D4" w:rsidRPr="007B7470" w:rsidRDefault="005547D4" w:rsidP="005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1B87B9" w14:textId="77777777" w:rsidR="005547D4" w:rsidRPr="007B7470" w:rsidRDefault="005547D4" w:rsidP="005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327B6E" w14:textId="77777777" w:rsidR="005547D4" w:rsidRPr="007B7470" w:rsidRDefault="005547D4" w:rsidP="005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B5FFC7" w14:textId="77777777" w:rsidR="005547D4" w:rsidRPr="007B7470" w:rsidRDefault="005547D4" w:rsidP="0055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66D0" w14:textId="77777777" w:rsidR="005547D4" w:rsidRPr="007B7470" w:rsidRDefault="005547D4" w:rsidP="00554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13E0E0ED" w14:textId="77777777" w:rsidTr="00C77B2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7E06" w14:textId="77777777" w:rsidR="00F20986" w:rsidRPr="00A05138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45756" w14:textId="77777777" w:rsidR="00F20986" w:rsidRPr="00A05138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7700F" w14:textId="77777777" w:rsidR="00F20986" w:rsidRPr="00A05138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2C5EA" w14:textId="77777777" w:rsidR="00F20986" w:rsidRPr="00A05138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F9360" w14:textId="77777777" w:rsidR="00F20986" w:rsidRPr="00A05138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59CE6" w14:textId="77777777" w:rsidR="00F20986" w:rsidRPr="00A05138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332A42" w:rsidRPr="007B7470" w14:paraId="5DD272E9" w14:textId="77777777" w:rsidTr="00C77B2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8E82" w14:textId="77777777" w:rsidR="00332A42" w:rsidRPr="00A05138" w:rsidRDefault="00332A42" w:rsidP="0033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4E3B9" w14:textId="72F79551" w:rsidR="00332A42" w:rsidRPr="00C77B25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C77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10986" w14:textId="1F283D70" w:rsidR="00332A42" w:rsidRPr="00C77B25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C77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9 302 510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720EF" w14:textId="65C9B2A6" w:rsidR="00332A42" w:rsidRPr="00C77B25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C77B25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 15 675 695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7670F" w14:textId="6CAB1D03" w:rsidR="00332A42" w:rsidRPr="00C77B25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C77B25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 </w:t>
            </w:r>
            <w:r w:rsidR="00C77B25" w:rsidRPr="00C77B25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25 062 769 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99C6A" w14:textId="77777777" w:rsidR="00332A42" w:rsidRPr="00A05138" w:rsidRDefault="00332A42" w:rsidP="00332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4CCA209A" w14:textId="77777777" w:rsidTr="00C77B2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3DC4" w14:textId="77777777" w:rsidR="00440A16" w:rsidRPr="00A05138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18256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1FA15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3AD21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598FE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AFF1F" w14:textId="77777777" w:rsidR="00440A16" w:rsidRPr="00A05138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6AA24212" w14:textId="77777777" w:rsidTr="00C77B2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218" w14:textId="77777777" w:rsidR="00440A16" w:rsidRPr="00A05138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426A5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B5D11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DFAFA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227F0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325EA" w14:textId="77777777" w:rsidR="00440A16" w:rsidRPr="00A05138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491B2389" w14:textId="77777777" w:rsidTr="00C77B2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1FD" w14:textId="77777777" w:rsidR="00440A16" w:rsidRPr="00A05138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694DE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9C92A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712CC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8F1F9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7E3CE" w14:textId="77777777" w:rsidR="00440A16" w:rsidRPr="00A05138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332A42" w:rsidRPr="007B7470" w14:paraId="4F0EAC76" w14:textId="77777777" w:rsidTr="00C77B2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2679" w14:textId="77777777" w:rsidR="00332A42" w:rsidRPr="00A05138" w:rsidRDefault="00332A42" w:rsidP="00332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3B26A" w14:textId="35EFB12C" w:rsidR="00332A42" w:rsidRPr="00FC775A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09121" w14:textId="2EBF7A68" w:rsidR="00332A42" w:rsidRPr="00FC775A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8155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9 302 510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C8C50" w14:textId="02C7C00D" w:rsidR="00332A42" w:rsidRPr="00FC775A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81550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15 675 695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F8D11" w14:textId="614A9C9C" w:rsidR="00332A42" w:rsidRPr="00FC775A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81550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</w:t>
            </w:r>
            <w:r w:rsidR="00C77B25" w:rsidRPr="00C77B25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25 062 769 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37AE7" w14:textId="77777777" w:rsidR="00332A42" w:rsidRPr="00A05138" w:rsidRDefault="00332A42" w:rsidP="00332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72326718" w14:textId="77777777" w:rsidTr="00C77B2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FBB8" w14:textId="77777777" w:rsidR="00440A16" w:rsidRPr="00A05138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A05138">
              <w:rPr>
                <w:color w:val="000000" w:themeColor="text1"/>
              </w:rPr>
              <w:t xml:space="preserve"> </w:t>
            </w: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78069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60952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0778A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6C06D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0E087" w14:textId="77777777" w:rsidR="00440A16" w:rsidRPr="00A05138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0AADBDFC" w14:textId="77777777" w:rsidTr="00C77B2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B93" w14:textId="77777777" w:rsidR="00440A16" w:rsidRPr="00A05138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F1097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C2E73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EB117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CABD9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9A4A2" w14:textId="77777777" w:rsidR="00440A16" w:rsidRPr="00A05138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62102121" w14:textId="77777777" w:rsidTr="00C77B2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2BF0" w14:textId="77777777" w:rsidR="00440A16" w:rsidRPr="00A05138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8634A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5E434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05BF4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4A145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B90D5" w14:textId="77777777" w:rsidR="00440A16" w:rsidRPr="00A05138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6B176D8D" w14:textId="77777777" w:rsidTr="00C77B2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E274" w14:textId="77777777" w:rsidR="00440A16" w:rsidRPr="00A05138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35276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F35EE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4ED16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84820" w14:textId="77777777" w:rsidR="00440A16" w:rsidRPr="00A05138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3B303" w14:textId="77777777" w:rsidR="00440A16" w:rsidRPr="00A05138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332A42" w:rsidRPr="007B7470" w14:paraId="38525D00" w14:textId="77777777" w:rsidTr="00C77B25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D2B6E6" w14:textId="77777777" w:rsidR="00332A42" w:rsidRPr="00A05138" w:rsidRDefault="00332A42" w:rsidP="0033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BF9F59" w14:textId="03784604" w:rsidR="00332A42" w:rsidRPr="00C77B25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C77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50F4AB" w14:textId="3822BE74" w:rsidR="00332A42" w:rsidRPr="00C77B25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C77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9 302 510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C72E13" w14:textId="27F1280E" w:rsidR="00332A42" w:rsidRPr="00C77B25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C77B25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 15 675 695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3F3C3C" w14:textId="08BB7286" w:rsidR="00332A42" w:rsidRPr="00C77B25" w:rsidRDefault="00332A42" w:rsidP="0033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C77B25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 </w:t>
            </w:r>
            <w:r w:rsidR="00C77B25" w:rsidRPr="00C77B25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 xml:space="preserve">25 062 769 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8F69F84" w14:textId="77777777" w:rsidR="00332A42" w:rsidRPr="00A05138" w:rsidRDefault="00332A42" w:rsidP="00332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A051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4AC69EDE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40C98AA2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0ED8367B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17AEC70E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27172AA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ECCC00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FEED70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8BD151F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8E0025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4C72A7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7B4BCB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BB7CB9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50AFC6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183033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A1F4D7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DEBAB1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50E870A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95F58A2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9D81C10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2B96A27" w14:textId="77777777" w:rsidR="007D5748" w:rsidRPr="007B7470" w:rsidRDefault="007D5748" w:rsidP="002177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E2A39E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4FD1830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14:paraId="7C9589CE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14:paraId="5EEB7288" w14:textId="77777777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D48FA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98088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B8D185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14:paraId="3BCD4BD2" w14:textId="77777777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95BCB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74EB14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6B461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6DBD4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03E2A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1A020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14:paraId="2168B39C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797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A198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2275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BD92B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7390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3F63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5E6ADD01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1A2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C0B2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5036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15D24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F0154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29F6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611830BD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696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229F4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047B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B00C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ABED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74BE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652E298A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AF9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7AB3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F679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50DB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D642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716B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76CED256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FC778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82ABE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943F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81110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78140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FA48D5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57EB86BB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32F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8F697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8E13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5A7AB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E220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CBF1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7B76C104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A8A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A82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38A1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534C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768F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303D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15D195D3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B0F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CA69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06EF7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DA75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A6604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8690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4D9B8618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6B3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5D85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A766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C0DC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86687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2127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743ACED4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74344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5DD9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13796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24FBB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D9AE7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07D9C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51149FC4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0F1DA0EA" w14:textId="77777777" w:rsidR="007D5748" w:rsidRPr="007B7470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B2FB4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5E136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1B3D2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58F6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5B4FE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3897AF98" w14:textId="77777777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1F41F60D" w14:textId="77777777" w:rsidR="007D5748" w:rsidRPr="007B7470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40890E0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EB794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1AFEBF85" w14:textId="77777777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8332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F76A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888F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BB357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A060804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46E4BDC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660F88F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12C6449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F10124C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69AB5EA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841B6B7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C0B42C0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70CA966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BCB8C64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AD5A61A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152221E" w14:textId="77777777"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 </w:t>
      </w:r>
    </w:p>
    <w:p w14:paraId="66F39750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2A00BDAB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790848" w14:textId="77777777"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333FB715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5F5D19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1B8351F7" w14:textId="77777777"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14:paraId="42AA02C6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17EC27F5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59C59075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0B43CA06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14:paraId="1C0AFA0B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0F39416C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228F7765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4E42924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00B46E8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BAC23CB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5E62A25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39EB899C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17997693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6C273FB3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38C3AFB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4638B25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81F33B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300FA11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62A4A0C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60B840C4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6CB83829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756690EF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7AD30F1E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DF7DA21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7877CA9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26A3582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63796F4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44AE45C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46E350FD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724F7EAB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6EBB570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2406EA4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856A94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6FA9739E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52C5584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77D87A9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9A6CFDB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80C526" w14:textId="77777777"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7A180C4E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0EAD9CF0" w14:textId="067C2F69" w:rsidR="00572275" w:rsidRPr="00572275" w:rsidRDefault="002B63FD" w:rsidP="00572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572275" w:rsidRPr="005722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</w:t>
      </w:r>
      <w:r w:rsidR="00572275">
        <w:rPr>
          <w:rFonts w:ascii="Times New Roman" w:eastAsia="Times New Roman" w:hAnsi="Times New Roman" w:cs="Times New Roman"/>
          <w:sz w:val="24"/>
          <w:szCs w:val="24"/>
          <w:lang w:eastAsia="sk-SK"/>
        </w:rPr>
        <w:t>ia všetkých opatrení súčasne.“</w:t>
      </w:r>
    </w:p>
    <w:p w14:paraId="6DF4D0D2" w14:textId="77777777" w:rsidR="00CB3623" w:rsidRPr="00A738C0" w:rsidRDefault="00CB3623" w:rsidP="00572275">
      <w:pPr>
        <w:spacing w:after="0" w:line="240" w:lineRule="auto"/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EEB85B" w16cid:durableId="29D4F6F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3F3AC" w14:textId="77777777" w:rsidR="00A329FA" w:rsidRDefault="00A329FA">
      <w:pPr>
        <w:spacing w:after="0" w:line="240" w:lineRule="auto"/>
      </w:pPr>
      <w:r>
        <w:separator/>
      </w:r>
    </w:p>
  </w:endnote>
  <w:endnote w:type="continuationSeparator" w:id="0">
    <w:p w14:paraId="27C10EB6" w14:textId="77777777" w:rsidR="00A329FA" w:rsidRDefault="00A3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08102" w14:textId="77777777" w:rsidR="001C60C2" w:rsidRDefault="001C60C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3721FF5F" w14:textId="77777777" w:rsidR="001C60C2" w:rsidRDefault="001C60C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33CD9" w14:textId="0B2975FA" w:rsidR="001C60C2" w:rsidRDefault="001C60C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C83881">
      <w:rPr>
        <w:noProof/>
      </w:rPr>
      <w:t>1</w:t>
    </w:r>
    <w:r>
      <w:fldChar w:fldCharType="end"/>
    </w:r>
  </w:p>
  <w:p w14:paraId="00720A15" w14:textId="77777777" w:rsidR="001C60C2" w:rsidRDefault="001C60C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F9FCA" w14:textId="77777777" w:rsidR="001C60C2" w:rsidRDefault="001C60C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64C20416" w14:textId="77777777" w:rsidR="001C60C2" w:rsidRDefault="001C60C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55CF4" w14:textId="77777777" w:rsidR="00A329FA" w:rsidRDefault="00A329FA">
      <w:pPr>
        <w:spacing w:after="0" w:line="240" w:lineRule="auto"/>
      </w:pPr>
      <w:r>
        <w:separator/>
      </w:r>
    </w:p>
  </w:footnote>
  <w:footnote w:type="continuationSeparator" w:id="0">
    <w:p w14:paraId="51978600" w14:textId="77777777" w:rsidR="00A329FA" w:rsidRDefault="00A329FA">
      <w:pPr>
        <w:spacing w:after="0" w:line="240" w:lineRule="auto"/>
      </w:pPr>
      <w:r>
        <w:continuationSeparator/>
      </w:r>
    </w:p>
  </w:footnote>
  <w:footnote w:id="1">
    <w:p w14:paraId="3848A29E" w14:textId="330DF8E2" w:rsidR="00C77B25" w:rsidRDefault="00C77B2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Pr="00330C0E">
          <w:rPr>
            <w:rStyle w:val="Hypertextovprepojenie"/>
          </w:rPr>
          <w:t>https://ifp.sk/prognozy/makroekonomicke-prognozy/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334C0" w14:textId="77777777" w:rsidR="001C60C2" w:rsidRDefault="001C60C2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19EB689E" w14:textId="77777777" w:rsidR="001C60C2" w:rsidRPr="00EB59C8" w:rsidRDefault="001C60C2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970CC" w14:textId="77777777" w:rsidR="001C60C2" w:rsidRPr="0024067A" w:rsidRDefault="001C60C2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1B7C" w14:textId="77777777" w:rsidR="001C60C2" w:rsidRPr="000A15AE" w:rsidRDefault="001C60C2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1DFF"/>
    <w:rsid w:val="00024E31"/>
    <w:rsid w:val="00035EB6"/>
    <w:rsid w:val="00057135"/>
    <w:rsid w:val="000606E0"/>
    <w:rsid w:val="00087A66"/>
    <w:rsid w:val="000A1B92"/>
    <w:rsid w:val="000B509B"/>
    <w:rsid w:val="000D7AAC"/>
    <w:rsid w:val="000F00DA"/>
    <w:rsid w:val="000F57B7"/>
    <w:rsid w:val="001127A8"/>
    <w:rsid w:val="00116F99"/>
    <w:rsid w:val="00125DDA"/>
    <w:rsid w:val="00144100"/>
    <w:rsid w:val="00151E84"/>
    <w:rsid w:val="00170D2B"/>
    <w:rsid w:val="001B72A4"/>
    <w:rsid w:val="001C60C2"/>
    <w:rsid w:val="001C721D"/>
    <w:rsid w:val="001D30C5"/>
    <w:rsid w:val="001F5D86"/>
    <w:rsid w:val="001F624A"/>
    <w:rsid w:val="00200898"/>
    <w:rsid w:val="00212894"/>
    <w:rsid w:val="002135D4"/>
    <w:rsid w:val="002177DB"/>
    <w:rsid w:val="002309F4"/>
    <w:rsid w:val="0023376A"/>
    <w:rsid w:val="002450AE"/>
    <w:rsid w:val="00271B7F"/>
    <w:rsid w:val="00282B83"/>
    <w:rsid w:val="002B5AD4"/>
    <w:rsid w:val="002B63FD"/>
    <w:rsid w:val="002E2E8B"/>
    <w:rsid w:val="00317B90"/>
    <w:rsid w:val="00332A42"/>
    <w:rsid w:val="003408F5"/>
    <w:rsid w:val="00340F3B"/>
    <w:rsid w:val="0037689D"/>
    <w:rsid w:val="003B7684"/>
    <w:rsid w:val="003C5D33"/>
    <w:rsid w:val="003E525A"/>
    <w:rsid w:val="003F35B7"/>
    <w:rsid w:val="0042031F"/>
    <w:rsid w:val="0042072D"/>
    <w:rsid w:val="0042480F"/>
    <w:rsid w:val="0043226D"/>
    <w:rsid w:val="00440A16"/>
    <w:rsid w:val="00446310"/>
    <w:rsid w:val="00447C49"/>
    <w:rsid w:val="00474F11"/>
    <w:rsid w:val="00487203"/>
    <w:rsid w:val="004A4209"/>
    <w:rsid w:val="004D169C"/>
    <w:rsid w:val="004E5E76"/>
    <w:rsid w:val="004F68FA"/>
    <w:rsid w:val="005005EC"/>
    <w:rsid w:val="005143ED"/>
    <w:rsid w:val="005307FC"/>
    <w:rsid w:val="00553992"/>
    <w:rsid w:val="005547D4"/>
    <w:rsid w:val="0055584B"/>
    <w:rsid w:val="00556AE0"/>
    <w:rsid w:val="00572275"/>
    <w:rsid w:val="00592E96"/>
    <w:rsid w:val="005A221D"/>
    <w:rsid w:val="005B051A"/>
    <w:rsid w:val="005C1A2B"/>
    <w:rsid w:val="005E3699"/>
    <w:rsid w:val="005F2ACA"/>
    <w:rsid w:val="00641A23"/>
    <w:rsid w:val="00676C35"/>
    <w:rsid w:val="006A2947"/>
    <w:rsid w:val="006D31A2"/>
    <w:rsid w:val="006D5FBB"/>
    <w:rsid w:val="00721E6C"/>
    <w:rsid w:val="007246BD"/>
    <w:rsid w:val="00727689"/>
    <w:rsid w:val="00744D88"/>
    <w:rsid w:val="0077530D"/>
    <w:rsid w:val="00776FA1"/>
    <w:rsid w:val="00782B91"/>
    <w:rsid w:val="00785085"/>
    <w:rsid w:val="007B7470"/>
    <w:rsid w:val="007C6650"/>
    <w:rsid w:val="007D1B4F"/>
    <w:rsid w:val="007D5748"/>
    <w:rsid w:val="008205B7"/>
    <w:rsid w:val="008219D2"/>
    <w:rsid w:val="00832D80"/>
    <w:rsid w:val="00834294"/>
    <w:rsid w:val="00852AF7"/>
    <w:rsid w:val="00893B20"/>
    <w:rsid w:val="00893B76"/>
    <w:rsid w:val="00897BE7"/>
    <w:rsid w:val="008C7164"/>
    <w:rsid w:val="008D339D"/>
    <w:rsid w:val="008E2736"/>
    <w:rsid w:val="008E5E06"/>
    <w:rsid w:val="0090395D"/>
    <w:rsid w:val="009079D3"/>
    <w:rsid w:val="00943733"/>
    <w:rsid w:val="00945A2A"/>
    <w:rsid w:val="009706B7"/>
    <w:rsid w:val="00984229"/>
    <w:rsid w:val="00A05138"/>
    <w:rsid w:val="00A100DC"/>
    <w:rsid w:val="00A109F3"/>
    <w:rsid w:val="00A329FA"/>
    <w:rsid w:val="00A531EE"/>
    <w:rsid w:val="00A72E75"/>
    <w:rsid w:val="00A738C0"/>
    <w:rsid w:val="00A82EFF"/>
    <w:rsid w:val="00AB5919"/>
    <w:rsid w:val="00AC387C"/>
    <w:rsid w:val="00B15B33"/>
    <w:rsid w:val="00B5535C"/>
    <w:rsid w:val="00B801BA"/>
    <w:rsid w:val="00B92F23"/>
    <w:rsid w:val="00C15212"/>
    <w:rsid w:val="00C15D88"/>
    <w:rsid w:val="00C16C1B"/>
    <w:rsid w:val="00C356D0"/>
    <w:rsid w:val="00C455E9"/>
    <w:rsid w:val="00C51FD4"/>
    <w:rsid w:val="00C611AD"/>
    <w:rsid w:val="00C64BDB"/>
    <w:rsid w:val="00C653D7"/>
    <w:rsid w:val="00C77B25"/>
    <w:rsid w:val="00C82B64"/>
    <w:rsid w:val="00C83881"/>
    <w:rsid w:val="00CA18F2"/>
    <w:rsid w:val="00CB04E9"/>
    <w:rsid w:val="00CB3623"/>
    <w:rsid w:val="00CC0E46"/>
    <w:rsid w:val="00CE2186"/>
    <w:rsid w:val="00CE299A"/>
    <w:rsid w:val="00CE359E"/>
    <w:rsid w:val="00CF2C35"/>
    <w:rsid w:val="00CF7153"/>
    <w:rsid w:val="00D200BE"/>
    <w:rsid w:val="00D638F5"/>
    <w:rsid w:val="00D7236A"/>
    <w:rsid w:val="00D85029"/>
    <w:rsid w:val="00D9171A"/>
    <w:rsid w:val="00D922E5"/>
    <w:rsid w:val="00DE04C5"/>
    <w:rsid w:val="00DE5BF1"/>
    <w:rsid w:val="00E07CE9"/>
    <w:rsid w:val="00E4770B"/>
    <w:rsid w:val="00E602F2"/>
    <w:rsid w:val="00E929E8"/>
    <w:rsid w:val="00E963A3"/>
    <w:rsid w:val="00E9772E"/>
    <w:rsid w:val="00EA1E90"/>
    <w:rsid w:val="00ED2B29"/>
    <w:rsid w:val="00EE0CA3"/>
    <w:rsid w:val="00EE28EB"/>
    <w:rsid w:val="00EE4BD0"/>
    <w:rsid w:val="00EE6283"/>
    <w:rsid w:val="00F03306"/>
    <w:rsid w:val="00F20986"/>
    <w:rsid w:val="00F2530E"/>
    <w:rsid w:val="00F348E6"/>
    <w:rsid w:val="00F40136"/>
    <w:rsid w:val="00F82DBF"/>
    <w:rsid w:val="00FB4A4A"/>
    <w:rsid w:val="00FC775A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9839"/>
  <w15:docId w15:val="{DD18CAC3-3277-4B8F-8946-720C429B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144100"/>
    <w:pPr>
      <w:ind w:left="720"/>
      <w:contextualSpacing/>
    </w:pPr>
    <w:rPr>
      <w:rFonts w:cs="Times New Roman"/>
      <w:color w:val="00000A"/>
    </w:rPr>
  </w:style>
  <w:style w:type="character" w:styleId="Odkaznakomentr">
    <w:name w:val="annotation reference"/>
    <w:basedOn w:val="Predvolenpsmoodseku"/>
    <w:uiPriority w:val="99"/>
    <w:semiHidden/>
    <w:unhideWhenUsed/>
    <w:rsid w:val="008342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42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42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42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4294"/>
    <w:rPr>
      <w:b/>
      <w:bCs/>
      <w:sz w:val="20"/>
      <w:szCs w:val="20"/>
    </w:rPr>
  </w:style>
  <w:style w:type="paragraph" w:styleId="Popis">
    <w:name w:val="caption"/>
    <w:basedOn w:val="Normlny"/>
    <w:next w:val="Normlny"/>
    <w:uiPriority w:val="35"/>
    <w:unhideWhenUsed/>
    <w:qFormat/>
    <w:rsid w:val="005143E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100DC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513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513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51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lov-lex.sk/legislativne-procesy/SK/LP/2024/13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fp.sk/prognozy/makroekonomicke-prognozy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5AEB7-736A-4F1B-98AE-C5F22620C769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03AFD30-E8DD-4298-B393-DD0D977F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2308</Words>
  <Characters>13159</Characters>
  <Application>Microsoft Office Word</Application>
  <DocSecurity>4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Porubčin Karol</cp:lastModifiedBy>
  <cp:revision>2</cp:revision>
  <cp:lastPrinted>2024-05-16T10:30:00Z</cp:lastPrinted>
  <dcterms:created xsi:type="dcterms:W3CDTF">2024-06-13T12:41:00Z</dcterms:created>
  <dcterms:modified xsi:type="dcterms:W3CDTF">2024-06-13T12:41:00Z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