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607A9" w:rsidRDefault="007A7DA8" w:rsidP="00D607A9">
      <w:pPr>
        <w:spacing w:after="0"/>
        <w:jc w:val="center"/>
        <w:rPr>
          <w:rFonts w:ascii="Arial" w:hAnsi="Arial" w:cs="Arial"/>
          <w:b/>
          <w:smallCaps/>
          <w:color w:val="0070C0"/>
          <w:sz w:val="24"/>
          <w:szCs w:val="24"/>
        </w:rPr>
      </w:pPr>
      <w:r w:rsidRPr="00D13867">
        <w:rPr>
          <w:rFonts w:ascii="Arial" w:hAnsi="Arial" w:cs="Arial"/>
          <w:b/>
          <w:smallCaps/>
          <w:color w:val="0070C0"/>
          <w:sz w:val="24"/>
          <w:szCs w:val="24"/>
        </w:rPr>
        <w:t>Informatívne konsolidované znenie</w:t>
      </w:r>
    </w:p>
    <w:p w:rsidR="00D86310" w:rsidRPr="00D13867" w:rsidRDefault="00D86310" w:rsidP="00D607A9">
      <w:pPr>
        <w:spacing w:after="0"/>
        <w:jc w:val="center"/>
        <w:rPr>
          <w:rFonts w:ascii="Arial" w:hAnsi="Arial" w:cs="Arial"/>
          <w:b/>
          <w:smallCaps/>
          <w:color w:val="0070C0"/>
          <w:sz w:val="24"/>
          <w:szCs w:val="24"/>
        </w:rPr>
      </w:pPr>
      <w:bookmarkStart w:id="0" w:name="_GoBack"/>
      <w:bookmarkEnd w:id="0"/>
      <w:r>
        <w:rPr>
          <w:rFonts w:ascii="Arial" w:hAnsi="Arial" w:cs="Arial"/>
          <w:b/>
          <w:smallCaps/>
          <w:color w:val="0070C0"/>
          <w:sz w:val="24"/>
          <w:szCs w:val="24"/>
        </w:rPr>
        <w:t>od 1. 1. 2025</w:t>
      </w:r>
    </w:p>
    <w:p w:rsidR="00D607A9" w:rsidRDefault="00D607A9" w:rsidP="00D607A9">
      <w:pPr>
        <w:spacing w:after="0"/>
        <w:jc w:val="center"/>
        <w:rPr>
          <w:b/>
          <w:sz w:val="24"/>
          <w:szCs w:val="24"/>
        </w:rPr>
      </w:pPr>
    </w:p>
    <w:p w:rsidR="00247691" w:rsidRDefault="00D13867" w:rsidP="00D607A9">
      <w:pPr>
        <w:spacing w:after="0"/>
        <w:jc w:val="center"/>
        <w:rPr>
          <w:b/>
          <w:sz w:val="24"/>
          <w:szCs w:val="24"/>
        </w:rPr>
      </w:pPr>
      <w:r>
        <w:rPr>
          <w:b/>
          <w:sz w:val="24"/>
          <w:szCs w:val="24"/>
        </w:rPr>
        <w:t>Zákon</w:t>
      </w:r>
    </w:p>
    <w:p w:rsidR="00D13867" w:rsidRDefault="00D13867" w:rsidP="00D607A9">
      <w:pPr>
        <w:spacing w:after="0"/>
        <w:jc w:val="center"/>
        <w:rPr>
          <w:b/>
          <w:sz w:val="24"/>
          <w:szCs w:val="24"/>
        </w:rPr>
      </w:pPr>
    </w:p>
    <w:p w:rsidR="00C96282" w:rsidRPr="00D607A9" w:rsidRDefault="00C96282">
      <w:pPr>
        <w:spacing w:after="0"/>
        <w:jc w:val="center"/>
        <w:rPr>
          <w:sz w:val="24"/>
          <w:szCs w:val="24"/>
        </w:rPr>
      </w:pPr>
      <w:r w:rsidRPr="00D607A9">
        <w:rPr>
          <w:sz w:val="24"/>
          <w:szCs w:val="24"/>
        </w:rPr>
        <w:t>z</w:t>
      </w:r>
      <w:r w:rsidR="00932B1C">
        <w:rPr>
          <w:sz w:val="24"/>
          <w:szCs w:val="24"/>
        </w:rPr>
        <w:t>o 16. októbra</w:t>
      </w:r>
      <w:r w:rsidRPr="00D607A9">
        <w:rPr>
          <w:sz w:val="24"/>
          <w:szCs w:val="24"/>
        </w:rPr>
        <w:t xml:space="preserve"> 201</w:t>
      </w:r>
      <w:r w:rsidR="00F809B0" w:rsidRPr="00D607A9">
        <w:rPr>
          <w:sz w:val="24"/>
          <w:szCs w:val="24"/>
        </w:rPr>
        <w:t>9</w:t>
      </w:r>
    </w:p>
    <w:p w:rsidR="00C96282" w:rsidRDefault="00C96282">
      <w:pPr>
        <w:spacing w:after="0"/>
        <w:jc w:val="center"/>
        <w:rPr>
          <w:b/>
          <w:sz w:val="24"/>
          <w:szCs w:val="24"/>
        </w:rPr>
      </w:pPr>
    </w:p>
    <w:p w:rsidR="00247691" w:rsidRDefault="00247691" w:rsidP="00247691">
      <w:pPr>
        <w:spacing w:after="0"/>
        <w:jc w:val="center"/>
        <w:rPr>
          <w:b/>
          <w:sz w:val="24"/>
          <w:szCs w:val="24"/>
        </w:rPr>
      </w:pPr>
      <w:r>
        <w:rPr>
          <w:b/>
          <w:sz w:val="24"/>
          <w:szCs w:val="24"/>
        </w:rPr>
        <w:t>číslo 370/2019 Z. z.</w:t>
      </w:r>
    </w:p>
    <w:p w:rsidR="00247691" w:rsidRPr="00A22ACD" w:rsidRDefault="00247691">
      <w:pPr>
        <w:spacing w:after="0"/>
        <w:jc w:val="center"/>
        <w:rPr>
          <w:b/>
          <w:sz w:val="24"/>
          <w:szCs w:val="24"/>
        </w:rPr>
      </w:pPr>
    </w:p>
    <w:p w:rsidR="00C96282" w:rsidRPr="00045A60" w:rsidRDefault="00C96282" w:rsidP="00045A60">
      <w:pPr>
        <w:spacing w:after="0"/>
        <w:jc w:val="center"/>
        <w:rPr>
          <w:b/>
          <w:sz w:val="24"/>
          <w:szCs w:val="24"/>
        </w:rPr>
      </w:pPr>
      <w:r w:rsidRPr="00045A60">
        <w:rPr>
          <w:b/>
          <w:sz w:val="24"/>
          <w:szCs w:val="24"/>
        </w:rPr>
        <w:t>o</w:t>
      </w:r>
      <w:r w:rsidR="00126096" w:rsidRPr="00045A60">
        <w:rPr>
          <w:b/>
          <w:sz w:val="24"/>
          <w:szCs w:val="24"/>
        </w:rPr>
        <w:t> </w:t>
      </w:r>
      <w:r w:rsidR="00F32E4D">
        <w:rPr>
          <w:b/>
          <w:sz w:val="24"/>
          <w:szCs w:val="24"/>
        </w:rPr>
        <w:t>finanč</w:t>
      </w:r>
      <w:r w:rsidR="00126096" w:rsidRPr="00045A60">
        <w:rPr>
          <w:b/>
          <w:sz w:val="24"/>
          <w:szCs w:val="24"/>
        </w:rPr>
        <w:t>nej</w:t>
      </w:r>
      <w:r w:rsidR="00126096">
        <w:rPr>
          <w:b/>
          <w:sz w:val="24"/>
          <w:szCs w:val="24"/>
        </w:rPr>
        <w:t xml:space="preserve"> </w:t>
      </w:r>
      <w:r w:rsidRPr="00A22ACD">
        <w:rPr>
          <w:b/>
          <w:sz w:val="24"/>
          <w:szCs w:val="24"/>
        </w:rPr>
        <w:t>podpore činnosti cirkví a náboženských spoločností</w:t>
      </w:r>
    </w:p>
    <w:p w:rsidR="00C96282" w:rsidRDefault="00C96282">
      <w:pPr>
        <w:spacing w:after="0"/>
        <w:jc w:val="center"/>
        <w:rPr>
          <w:sz w:val="24"/>
          <w:szCs w:val="24"/>
        </w:rPr>
      </w:pPr>
    </w:p>
    <w:p w:rsidR="00FA491F" w:rsidRPr="00A22ACD" w:rsidRDefault="00FA491F">
      <w:pPr>
        <w:spacing w:after="0"/>
        <w:jc w:val="center"/>
        <w:rPr>
          <w:sz w:val="24"/>
          <w:szCs w:val="24"/>
        </w:rPr>
      </w:pPr>
    </w:p>
    <w:p w:rsidR="00C96282" w:rsidRPr="00A22ACD" w:rsidRDefault="00C96282">
      <w:pPr>
        <w:spacing w:after="0"/>
        <w:jc w:val="both"/>
        <w:rPr>
          <w:sz w:val="24"/>
          <w:szCs w:val="24"/>
        </w:rPr>
      </w:pPr>
      <w:r w:rsidRPr="00A22ACD">
        <w:rPr>
          <w:sz w:val="24"/>
          <w:szCs w:val="24"/>
        </w:rPr>
        <w:t xml:space="preserve">Národná rada Slovenskej </w:t>
      </w:r>
      <w:r w:rsidR="00045A60">
        <w:rPr>
          <w:sz w:val="24"/>
          <w:szCs w:val="24"/>
        </w:rPr>
        <w:t>republiky sa</w:t>
      </w:r>
      <w:r w:rsidRPr="00A22ACD">
        <w:rPr>
          <w:sz w:val="24"/>
          <w:szCs w:val="24"/>
        </w:rPr>
        <w:t xml:space="preserve"> uzniesla na tomto zákone:</w:t>
      </w:r>
    </w:p>
    <w:p w:rsidR="00C96282" w:rsidRPr="00A22ACD" w:rsidRDefault="00C96282" w:rsidP="00DE68E9">
      <w:pPr>
        <w:spacing w:after="0"/>
        <w:jc w:val="center"/>
        <w:rPr>
          <w:sz w:val="24"/>
          <w:szCs w:val="24"/>
        </w:rPr>
      </w:pPr>
    </w:p>
    <w:p w:rsidR="00C96282" w:rsidRPr="00C70F97" w:rsidRDefault="00C96282">
      <w:pPr>
        <w:spacing w:after="0"/>
        <w:jc w:val="center"/>
        <w:rPr>
          <w:b/>
          <w:sz w:val="24"/>
          <w:szCs w:val="24"/>
        </w:rPr>
      </w:pPr>
      <w:r w:rsidRPr="00C70F97">
        <w:rPr>
          <w:b/>
          <w:sz w:val="24"/>
          <w:szCs w:val="24"/>
        </w:rPr>
        <w:t>§ 1</w:t>
      </w:r>
    </w:p>
    <w:p w:rsidR="00C96282" w:rsidRPr="00A22ACD" w:rsidRDefault="00C96282">
      <w:pPr>
        <w:spacing w:after="0"/>
        <w:jc w:val="center"/>
        <w:rPr>
          <w:sz w:val="24"/>
          <w:szCs w:val="24"/>
        </w:rPr>
      </w:pPr>
    </w:p>
    <w:p w:rsidR="00C96282" w:rsidRPr="00A22ACD" w:rsidRDefault="00C96282">
      <w:pPr>
        <w:spacing w:after="0"/>
        <w:jc w:val="both"/>
        <w:rPr>
          <w:sz w:val="24"/>
          <w:szCs w:val="24"/>
        </w:rPr>
      </w:pPr>
      <w:r w:rsidRPr="00A22ACD">
        <w:rPr>
          <w:sz w:val="24"/>
          <w:szCs w:val="24"/>
        </w:rPr>
        <w:t xml:space="preserve">Tento zákon upravuje </w:t>
      </w:r>
      <w:r w:rsidR="00126096" w:rsidRPr="00045A60">
        <w:rPr>
          <w:sz w:val="24"/>
          <w:szCs w:val="24"/>
        </w:rPr>
        <w:t>finančn</w:t>
      </w:r>
      <w:r w:rsidR="009B7041">
        <w:rPr>
          <w:sz w:val="24"/>
          <w:szCs w:val="24"/>
        </w:rPr>
        <w:t>ú</w:t>
      </w:r>
      <w:r w:rsidR="00126096" w:rsidRPr="00045A60">
        <w:rPr>
          <w:sz w:val="24"/>
          <w:szCs w:val="24"/>
        </w:rPr>
        <w:t xml:space="preserve"> podpor</w:t>
      </w:r>
      <w:r w:rsidR="009B7041">
        <w:rPr>
          <w:sz w:val="24"/>
          <w:szCs w:val="24"/>
        </w:rPr>
        <w:t>u</w:t>
      </w:r>
      <w:r w:rsidR="00126096" w:rsidRPr="00045A60">
        <w:rPr>
          <w:sz w:val="24"/>
          <w:szCs w:val="24"/>
        </w:rPr>
        <w:t>, ktorú poskytuje štát na podporu</w:t>
      </w:r>
      <w:r w:rsidR="00126096">
        <w:rPr>
          <w:color w:val="6600CC"/>
          <w:sz w:val="24"/>
          <w:szCs w:val="24"/>
        </w:rPr>
        <w:t xml:space="preserve"> </w:t>
      </w:r>
      <w:r w:rsidRPr="00A22ACD">
        <w:rPr>
          <w:sz w:val="24"/>
          <w:szCs w:val="24"/>
        </w:rPr>
        <w:t>činnosti registrovaných cirkví a náboženských spoločností</w:t>
      </w:r>
      <w:r w:rsidRPr="00925647">
        <w:rPr>
          <w:rStyle w:val="Znakyprepoznmkupodiarou"/>
          <w:sz w:val="24"/>
          <w:szCs w:val="24"/>
        </w:rPr>
        <w:footnoteReference w:id="1"/>
      </w:r>
      <w:r w:rsidR="00242056" w:rsidRPr="00925647">
        <w:rPr>
          <w:sz w:val="24"/>
          <w:szCs w:val="24"/>
        </w:rPr>
        <w:t>)</w:t>
      </w:r>
      <w:r w:rsidRPr="00A22ACD">
        <w:rPr>
          <w:sz w:val="24"/>
          <w:szCs w:val="24"/>
        </w:rPr>
        <w:t xml:space="preserve"> (ďalej len „cirk</w:t>
      </w:r>
      <w:r w:rsidR="00FC489B">
        <w:rPr>
          <w:sz w:val="24"/>
          <w:szCs w:val="24"/>
        </w:rPr>
        <w:t>e</w:t>
      </w:r>
      <w:r w:rsidRPr="00A22ACD">
        <w:rPr>
          <w:sz w:val="24"/>
          <w:szCs w:val="24"/>
        </w:rPr>
        <w:t>v“).</w:t>
      </w:r>
    </w:p>
    <w:p w:rsidR="00C96282" w:rsidRPr="00A22ACD" w:rsidRDefault="00C96282" w:rsidP="00DE68E9">
      <w:pPr>
        <w:spacing w:after="0"/>
        <w:jc w:val="center"/>
        <w:rPr>
          <w:sz w:val="24"/>
          <w:szCs w:val="24"/>
        </w:rPr>
      </w:pPr>
    </w:p>
    <w:p w:rsidR="00C96282" w:rsidRPr="00C70F97" w:rsidRDefault="00C96282">
      <w:pPr>
        <w:spacing w:after="0"/>
        <w:jc w:val="center"/>
        <w:rPr>
          <w:b/>
          <w:sz w:val="24"/>
          <w:szCs w:val="24"/>
        </w:rPr>
      </w:pPr>
      <w:r w:rsidRPr="00C70F97">
        <w:rPr>
          <w:b/>
          <w:sz w:val="24"/>
          <w:szCs w:val="24"/>
        </w:rPr>
        <w:t>§ 2</w:t>
      </w:r>
    </w:p>
    <w:p w:rsidR="00C96282" w:rsidRPr="00DE68E9" w:rsidRDefault="00C96282" w:rsidP="00DE68E9">
      <w:pPr>
        <w:spacing w:after="0"/>
        <w:jc w:val="center"/>
        <w:rPr>
          <w:sz w:val="24"/>
          <w:szCs w:val="24"/>
        </w:rPr>
      </w:pPr>
    </w:p>
    <w:p w:rsidR="00C96282" w:rsidRPr="00A22ACD" w:rsidRDefault="00C96282" w:rsidP="00DE68E9">
      <w:pPr>
        <w:spacing w:after="0"/>
        <w:jc w:val="both"/>
        <w:rPr>
          <w:sz w:val="24"/>
          <w:szCs w:val="24"/>
        </w:rPr>
      </w:pPr>
      <w:r w:rsidRPr="00A22ACD">
        <w:rPr>
          <w:sz w:val="24"/>
          <w:szCs w:val="24"/>
        </w:rPr>
        <w:t>Na účely tohto zákona sa rozumie</w:t>
      </w:r>
    </w:p>
    <w:p w:rsidR="00C96282" w:rsidRPr="00A22ACD" w:rsidRDefault="00C96282" w:rsidP="00DE68E9">
      <w:pPr>
        <w:numPr>
          <w:ilvl w:val="0"/>
          <w:numId w:val="2"/>
        </w:numPr>
        <w:tabs>
          <w:tab w:val="clear" w:pos="0"/>
        </w:tabs>
        <w:spacing w:after="0"/>
        <w:ind w:left="426" w:hanging="426"/>
        <w:jc w:val="both"/>
        <w:rPr>
          <w:sz w:val="24"/>
          <w:szCs w:val="24"/>
        </w:rPr>
      </w:pPr>
      <w:r w:rsidRPr="00925647">
        <w:rPr>
          <w:sz w:val="24"/>
          <w:szCs w:val="24"/>
        </w:rPr>
        <w:t>príspevkom štátu</w:t>
      </w:r>
      <w:r w:rsidRPr="00A22ACD">
        <w:rPr>
          <w:sz w:val="24"/>
          <w:szCs w:val="24"/>
        </w:rPr>
        <w:t xml:space="preserve"> suma finančných prostriedkov každoročne poskytovaná cirkv</w:t>
      </w:r>
      <w:r w:rsidR="008E58D5">
        <w:rPr>
          <w:sz w:val="24"/>
          <w:szCs w:val="24"/>
        </w:rPr>
        <w:t>i</w:t>
      </w:r>
      <w:r w:rsidRPr="00A22ACD">
        <w:rPr>
          <w:sz w:val="24"/>
          <w:szCs w:val="24"/>
        </w:rPr>
        <w:t xml:space="preserve"> z rozpočtovej kapitoly Ministerstva kultúry Slovenskej republiky (ďalej len „ministerstvo</w:t>
      </w:r>
      <w:r w:rsidR="009B7041">
        <w:rPr>
          <w:sz w:val="24"/>
          <w:szCs w:val="24"/>
        </w:rPr>
        <w:t xml:space="preserve"> kultúry</w:t>
      </w:r>
      <w:r w:rsidRPr="00A22ACD">
        <w:rPr>
          <w:sz w:val="24"/>
          <w:szCs w:val="24"/>
        </w:rPr>
        <w:t>“),</w:t>
      </w:r>
    </w:p>
    <w:p w:rsidR="00C96282" w:rsidRPr="00045A60" w:rsidRDefault="00B523E4" w:rsidP="00DE68E9">
      <w:pPr>
        <w:numPr>
          <w:ilvl w:val="0"/>
          <w:numId w:val="2"/>
        </w:numPr>
        <w:spacing w:after="0"/>
        <w:ind w:left="426" w:hanging="426"/>
        <w:jc w:val="both"/>
        <w:rPr>
          <w:sz w:val="24"/>
          <w:szCs w:val="24"/>
        </w:rPr>
      </w:pPr>
      <w:r w:rsidRPr="00925647">
        <w:rPr>
          <w:sz w:val="24"/>
          <w:szCs w:val="24"/>
        </w:rPr>
        <w:t>počtom veriacich</w:t>
      </w:r>
      <w:r w:rsidRPr="00045A60">
        <w:rPr>
          <w:sz w:val="24"/>
          <w:szCs w:val="24"/>
        </w:rPr>
        <w:t xml:space="preserve"> údaj</w:t>
      </w:r>
      <w:r w:rsidR="00745DAD" w:rsidRPr="00045A60">
        <w:rPr>
          <w:sz w:val="24"/>
          <w:szCs w:val="24"/>
        </w:rPr>
        <w:t>e</w:t>
      </w:r>
      <w:r w:rsidRPr="00045A60">
        <w:rPr>
          <w:sz w:val="24"/>
          <w:szCs w:val="24"/>
        </w:rPr>
        <w:t xml:space="preserve"> o náboženskom vyznaní získan</w:t>
      </w:r>
      <w:r w:rsidR="00745DAD" w:rsidRPr="00045A60">
        <w:rPr>
          <w:sz w:val="24"/>
          <w:szCs w:val="24"/>
        </w:rPr>
        <w:t>é</w:t>
      </w:r>
      <w:r w:rsidRPr="00045A60">
        <w:rPr>
          <w:sz w:val="24"/>
          <w:szCs w:val="24"/>
        </w:rPr>
        <w:t xml:space="preserve"> z </w:t>
      </w:r>
      <w:r w:rsidR="0084301C">
        <w:rPr>
          <w:sz w:val="24"/>
          <w:szCs w:val="24"/>
        </w:rPr>
        <w:t>posled</w:t>
      </w:r>
      <w:r w:rsidRPr="00045A60">
        <w:rPr>
          <w:sz w:val="24"/>
          <w:szCs w:val="24"/>
        </w:rPr>
        <w:t>ného sčítania obyvateľov, domov a bytov</w:t>
      </w:r>
      <w:r w:rsidRPr="00925647">
        <w:rPr>
          <w:rStyle w:val="Odkaznapoznmkupodiarou"/>
          <w:sz w:val="24"/>
          <w:szCs w:val="24"/>
        </w:rPr>
        <w:footnoteReference w:id="2"/>
      </w:r>
      <w:r w:rsidR="00242056" w:rsidRPr="00925647">
        <w:rPr>
          <w:sz w:val="24"/>
          <w:szCs w:val="24"/>
        </w:rPr>
        <w:t>)</w:t>
      </w:r>
      <w:r w:rsidRPr="00045A60">
        <w:rPr>
          <w:sz w:val="24"/>
          <w:szCs w:val="24"/>
        </w:rPr>
        <w:t xml:space="preserve"> </w:t>
      </w:r>
      <w:r w:rsidR="00A0743D">
        <w:rPr>
          <w:rFonts w:ascii="Times" w:hAnsi="Times"/>
          <w:sz w:val="24"/>
          <w:szCs w:val="24"/>
        </w:rPr>
        <w:t>z</w:t>
      </w:r>
      <w:r w:rsidR="00613F77">
        <w:rPr>
          <w:rFonts w:ascii="Times" w:hAnsi="Times"/>
          <w:sz w:val="24"/>
          <w:szCs w:val="24"/>
        </w:rPr>
        <w:t>istené</w:t>
      </w:r>
      <w:r w:rsidR="00C24D98" w:rsidRPr="00845D1B">
        <w:rPr>
          <w:rFonts w:ascii="Times" w:hAnsi="Times"/>
          <w:sz w:val="24"/>
          <w:szCs w:val="24"/>
        </w:rPr>
        <w:t xml:space="preserve"> Štatistickým úradom Slovenskej republiky</w:t>
      </w:r>
      <w:r w:rsidR="00C24D98">
        <w:rPr>
          <w:rFonts w:ascii="Times" w:hAnsi="Times"/>
          <w:sz w:val="24"/>
          <w:szCs w:val="24"/>
        </w:rPr>
        <w:t xml:space="preserve"> (ďalej len „</w:t>
      </w:r>
      <w:r w:rsidR="009B7041">
        <w:rPr>
          <w:rFonts w:ascii="Times" w:hAnsi="Times"/>
          <w:sz w:val="24"/>
          <w:szCs w:val="24"/>
        </w:rPr>
        <w:t xml:space="preserve">štatistický </w:t>
      </w:r>
      <w:r w:rsidR="00C24D98">
        <w:rPr>
          <w:rFonts w:ascii="Times" w:hAnsi="Times"/>
          <w:sz w:val="24"/>
          <w:szCs w:val="24"/>
        </w:rPr>
        <w:t>úrad“)</w:t>
      </w:r>
      <w:r w:rsidR="00A0743D">
        <w:rPr>
          <w:rFonts w:ascii="Times" w:hAnsi="Times"/>
          <w:sz w:val="24"/>
          <w:szCs w:val="24"/>
        </w:rPr>
        <w:t xml:space="preserve">, alebo </w:t>
      </w:r>
      <w:r w:rsidR="00613F77">
        <w:rPr>
          <w:rFonts w:ascii="Times" w:hAnsi="Times"/>
          <w:sz w:val="24"/>
          <w:szCs w:val="24"/>
        </w:rPr>
        <w:t>údaje o počte členov cirkv</w:t>
      </w:r>
      <w:r w:rsidR="00991CB1">
        <w:rPr>
          <w:rFonts w:ascii="Times" w:hAnsi="Times"/>
          <w:sz w:val="24"/>
          <w:szCs w:val="24"/>
        </w:rPr>
        <w:t>i</w:t>
      </w:r>
      <w:r w:rsidR="00613F77">
        <w:rPr>
          <w:rFonts w:ascii="Times" w:hAnsi="Times"/>
          <w:sz w:val="24"/>
          <w:szCs w:val="24"/>
        </w:rPr>
        <w:t xml:space="preserve"> zistené </w:t>
      </w:r>
      <w:r w:rsidR="00A0743D">
        <w:rPr>
          <w:rFonts w:ascii="Times" w:hAnsi="Times"/>
          <w:sz w:val="24"/>
          <w:szCs w:val="24"/>
        </w:rPr>
        <w:t>z iného zdroja</w:t>
      </w:r>
      <w:r w:rsidR="009A5401">
        <w:rPr>
          <w:rStyle w:val="Odkaznapoznmkupodiarou"/>
          <w:rFonts w:ascii="Times" w:hAnsi="Times"/>
          <w:sz w:val="24"/>
          <w:szCs w:val="24"/>
        </w:rPr>
        <w:footnoteReference w:id="3"/>
      </w:r>
      <w:r w:rsidR="009A5401">
        <w:rPr>
          <w:rFonts w:ascii="Times" w:hAnsi="Times"/>
          <w:sz w:val="24"/>
          <w:szCs w:val="24"/>
        </w:rPr>
        <w:t>)</w:t>
      </w:r>
      <w:r w:rsidR="00C21223">
        <w:rPr>
          <w:rFonts w:ascii="Times" w:hAnsi="Times"/>
          <w:sz w:val="24"/>
          <w:szCs w:val="24"/>
        </w:rPr>
        <w:t xml:space="preserve"> ministerstva</w:t>
      </w:r>
      <w:r w:rsidR="009B7041">
        <w:rPr>
          <w:rFonts w:ascii="Times" w:hAnsi="Times"/>
          <w:sz w:val="24"/>
          <w:szCs w:val="24"/>
        </w:rPr>
        <w:t xml:space="preserve"> kultúry</w:t>
      </w:r>
      <w:r w:rsidR="00C21223">
        <w:rPr>
          <w:rFonts w:ascii="Times" w:hAnsi="Times"/>
          <w:sz w:val="24"/>
          <w:szCs w:val="24"/>
        </w:rPr>
        <w:t xml:space="preserve"> alebo </w:t>
      </w:r>
      <w:r w:rsidR="009B7041">
        <w:rPr>
          <w:rFonts w:ascii="Times" w:hAnsi="Times"/>
          <w:sz w:val="24"/>
          <w:szCs w:val="24"/>
        </w:rPr>
        <w:t xml:space="preserve">štatistického </w:t>
      </w:r>
      <w:r w:rsidR="00C21223">
        <w:rPr>
          <w:rFonts w:ascii="Times" w:hAnsi="Times"/>
          <w:sz w:val="24"/>
          <w:szCs w:val="24"/>
        </w:rPr>
        <w:t>úradu</w:t>
      </w:r>
      <w:r w:rsidR="00C96282" w:rsidRPr="00045A60">
        <w:rPr>
          <w:sz w:val="24"/>
          <w:szCs w:val="24"/>
        </w:rPr>
        <w:t>.</w:t>
      </w:r>
      <w:r w:rsidR="00A0743D">
        <w:rPr>
          <w:sz w:val="24"/>
          <w:szCs w:val="24"/>
        </w:rPr>
        <w:t xml:space="preserve"> </w:t>
      </w:r>
    </w:p>
    <w:p w:rsidR="00C96282" w:rsidRPr="00A22ACD" w:rsidRDefault="00C96282" w:rsidP="00DE68E9">
      <w:pPr>
        <w:spacing w:after="0"/>
        <w:jc w:val="center"/>
        <w:rPr>
          <w:sz w:val="24"/>
          <w:szCs w:val="24"/>
        </w:rPr>
      </w:pPr>
    </w:p>
    <w:p w:rsidR="00C96282" w:rsidRPr="00C70F97" w:rsidRDefault="00C96282" w:rsidP="00242056">
      <w:pPr>
        <w:spacing w:after="0"/>
        <w:jc w:val="center"/>
        <w:rPr>
          <w:b/>
          <w:sz w:val="24"/>
          <w:szCs w:val="24"/>
        </w:rPr>
      </w:pPr>
      <w:r w:rsidRPr="00C70F97">
        <w:rPr>
          <w:b/>
          <w:sz w:val="24"/>
          <w:szCs w:val="24"/>
        </w:rPr>
        <w:t>§ 3</w:t>
      </w:r>
    </w:p>
    <w:p w:rsidR="00C96282" w:rsidRDefault="00C96282">
      <w:pPr>
        <w:spacing w:after="0"/>
        <w:jc w:val="center"/>
        <w:rPr>
          <w:sz w:val="24"/>
          <w:szCs w:val="24"/>
        </w:rPr>
      </w:pPr>
    </w:p>
    <w:p w:rsidR="00242056" w:rsidRDefault="00242056" w:rsidP="00242056">
      <w:pPr>
        <w:numPr>
          <w:ilvl w:val="0"/>
          <w:numId w:val="23"/>
        </w:numPr>
        <w:spacing w:after="0"/>
        <w:ind w:left="426" w:hanging="426"/>
        <w:jc w:val="both"/>
        <w:rPr>
          <w:sz w:val="24"/>
          <w:szCs w:val="24"/>
        </w:rPr>
      </w:pPr>
      <w:r>
        <w:rPr>
          <w:sz w:val="24"/>
          <w:szCs w:val="24"/>
        </w:rPr>
        <w:t xml:space="preserve">Štát podporuje cirkvi </w:t>
      </w:r>
      <w:r w:rsidR="00D83318">
        <w:rPr>
          <w:sz w:val="24"/>
          <w:szCs w:val="24"/>
        </w:rPr>
        <w:t>poskytovaním</w:t>
      </w:r>
    </w:p>
    <w:p w:rsidR="00242056" w:rsidRDefault="00242056" w:rsidP="00AF579E">
      <w:pPr>
        <w:numPr>
          <w:ilvl w:val="0"/>
          <w:numId w:val="9"/>
        </w:numPr>
        <w:spacing w:after="0"/>
        <w:ind w:left="709" w:hanging="283"/>
        <w:jc w:val="both"/>
        <w:rPr>
          <w:sz w:val="24"/>
          <w:szCs w:val="24"/>
        </w:rPr>
      </w:pPr>
      <w:r>
        <w:rPr>
          <w:sz w:val="24"/>
          <w:szCs w:val="24"/>
        </w:rPr>
        <w:t xml:space="preserve">príspevku štátu, </w:t>
      </w:r>
    </w:p>
    <w:p w:rsidR="00D83318" w:rsidRPr="00D83318" w:rsidRDefault="00C2718A" w:rsidP="00D83318">
      <w:pPr>
        <w:numPr>
          <w:ilvl w:val="0"/>
          <w:numId w:val="9"/>
        </w:numPr>
        <w:spacing w:after="0"/>
        <w:ind w:left="709" w:hanging="283"/>
        <w:jc w:val="both"/>
        <w:rPr>
          <w:sz w:val="24"/>
          <w:szCs w:val="24"/>
        </w:rPr>
      </w:pPr>
      <w:r w:rsidRPr="00A22ACD">
        <w:rPr>
          <w:sz w:val="24"/>
          <w:szCs w:val="24"/>
        </w:rPr>
        <w:t>účelov</w:t>
      </w:r>
      <w:r>
        <w:rPr>
          <w:sz w:val="24"/>
          <w:szCs w:val="24"/>
        </w:rPr>
        <w:t>ej</w:t>
      </w:r>
      <w:r w:rsidRPr="00A22ACD">
        <w:rPr>
          <w:sz w:val="24"/>
          <w:szCs w:val="24"/>
        </w:rPr>
        <w:t xml:space="preserve"> dotácie podľa osobitných predpisov</w:t>
      </w:r>
      <w:r>
        <w:rPr>
          <w:sz w:val="24"/>
          <w:szCs w:val="24"/>
        </w:rPr>
        <w:t>.</w:t>
      </w:r>
      <w:r w:rsidRPr="0050731A">
        <w:rPr>
          <w:rStyle w:val="Odkaznapoznmkupodiarou"/>
          <w:sz w:val="24"/>
          <w:szCs w:val="24"/>
        </w:rPr>
        <w:footnoteReference w:id="4"/>
      </w:r>
      <w:r w:rsidRPr="0050731A">
        <w:rPr>
          <w:sz w:val="24"/>
          <w:szCs w:val="24"/>
        </w:rPr>
        <w:t>)</w:t>
      </w:r>
    </w:p>
    <w:p w:rsidR="00AF579E" w:rsidRDefault="00AF579E" w:rsidP="00AF579E">
      <w:pPr>
        <w:spacing w:after="0"/>
        <w:ind w:left="426" w:hanging="426"/>
        <w:jc w:val="both"/>
        <w:rPr>
          <w:sz w:val="24"/>
          <w:szCs w:val="24"/>
        </w:rPr>
      </w:pPr>
    </w:p>
    <w:p w:rsidR="00D83318" w:rsidRDefault="00C96282" w:rsidP="00D83318">
      <w:pPr>
        <w:numPr>
          <w:ilvl w:val="0"/>
          <w:numId w:val="23"/>
        </w:numPr>
        <w:spacing w:after="0"/>
        <w:ind w:left="426" w:hanging="426"/>
        <w:jc w:val="both"/>
        <w:rPr>
          <w:sz w:val="24"/>
          <w:szCs w:val="24"/>
        </w:rPr>
      </w:pPr>
      <w:r w:rsidRPr="00045A60">
        <w:rPr>
          <w:sz w:val="24"/>
          <w:szCs w:val="24"/>
        </w:rPr>
        <w:t>Štát podpor</w:t>
      </w:r>
      <w:r w:rsidR="00C2718A">
        <w:rPr>
          <w:sz w:val="24"/>
          <w:szCs w:val="24"/>
        </w:rPr>
        <w:t>uje</w:t>
      </w:r>
      <w:r w:rsidRPr="00045A60">
        <w:rPr>
          <w:sz w:val="24"/>
          <w:szCs w:val="24"/>
        </w:rPr>
        <w:t xml:space="preserve"> cirkvi aj poskytovaním </w:t>
      </w:r>
      <w:r w:rsidR="00C2718A" w:rsidRPr="00D83318">
        <w:rPr>
          <w:sz w:val="24"/>
          <w:szCs w:val="24"/>
        </w:rPr>
        <w:t>oslobodení a úľav na daniach</w:t>
      </w:r>
      <w:r w:rsidR="00316CF2">
        <w:rPr>
          <w:sz w:val="24"/>
          <w:szCs w:val="24"/>
        </w:rPr>
        <w:t xml:space="preserve"> a</w:t>
      </w:r>
      <w:r w:rsidR="00C2718A" w:rsidRPr="00D83318">
        <w:rPr>
          <w:sz w:val="24"/>
          <w:szCs w:val="24"/>
        </w:rPr>
        <w:t xml:space="preserve"> poplatkoch podľa osobitných predpisov.</w:t>
      </w:r>
      <w:r w:rsidR="00C2718A" w:rsidRPr="0050731A">
        <w:rPr>
          <w:rStyle w:val="Znakyprepoznmkupodiarou"/>
          <w:sz w:val="24"/>
          <w:szCs w:val="24"/>
        </w:rPr>
        <w:footnoteReference w:id="5"/>
      </w:r>
      <w:r w:rsidR="00C2718A" w:rsidRPr="00D83318">
        <w:rPr>
          <w:sz w:val="24"/>
          <w:szCs w:val="24"/>
        </w:rPr>
        <w:t>)</w:t>
      </w:r>
    </w:p>
    <w:p w:rsidR="00D13867" w:rsidRDefault="00D13867" w:rsidP="00D13867">
      <w:pPr>
        <w:spacing w:after="0"/>
        <w:jc w:val="center"/>
        <w:rPr>
          <w:b/>
          <w:sz w:val="24"/>
          <w:szCs w:val="24"/>
        </w:rPr>
      </w:pPr>
    </w:p>
    <w:p w:rsidR="00C96282" w:rsidRPr="00D13867" w:rsidRDefault="00C96282" w:rsidP="00681CF5">
      <w:pPr>
        <w:spacing w:after="0"/>
        <w:jc w:val="center"/>
        <w:rPr>
          <w:b/>
          <w:color w:val="0070C0"/>
          <w:sz w:val="24"/>
          <w:szCs w:val="24"/>
        </w:rPr>
      </w:pPr>
      <w:r w:rsidRPr="00D13867">
        <w:rPr>
          <w:b/>
          <w:color w:val="0070C0"/>
          <w:sz w:val="24"/>
          <w:szCs w:val="24"/>
        </w:rPr>
        <w:t>§ 4</w:t>
      </w:r>
    </w:p>
    <w:p w:rsidR="00C96282" w:rsidRPr="00D13867" w:rsidRDefault="00C96282">
      <w:pPr>
        <w:spacing w:after="0"/>
        <w:jc w:val="center"/>
        <w:rPr>
          <w:color w:val="0070C0"/>
          <w:sz w:val="24"/>
          <w:szCs w:val="24"/>
        </w:rPr>
      </w:pPr>
    </w:p>
    <w:p w:rsidR="00BB09ED" w:rsidRPr="00BB09ED" w:rsidRDefault="00D86310" w:rsidP="00D86310">
      <w:pPr>
        <w:pStyle w:val="Odsekzoznamu"/>
        <w:numPr>
          <w:ilvl w:val="0"/>
          <w:numId w:val="29"/>
        </w:numPr>
        <w:suppressAutoHyphens w:val="0"/>
        <w:ind w:left="426" w:hanging="426"/>
        <w:jc w:val="both"/>
        <w:rPr>
          <w:iCs/>
          <w:color w:val="0070C0"/>
          <w:sz w:val="24"/>
          <w:szCs w:val="24"/>
        </w:rPr>
      </w:pPr>
      <w:r w:rsidRPr="00D86310">
        <w:rPr>
          <w:color w:val="0070C0"/>
          <w:sz w:val="24"/>
          <w:szCs w:val="24"/>
        </w:rPr>
        <w:t>Príspevok štátu na každý rok sa určuje zo sumy príspevku štátu na predchádzajúci rok zvýšenej o 1,1-násobok sumy medziročného navýšenia príspevku štátu na rozpočtovaný rok podľa miery medziročného rastu sumy minimálnej mzdy pre zamestnanca odmeňovaného mesačnou mzdou (ďalej len „suma mesačnej minimálnej mzdy“) určenej na príslušný kalendárny rok podľa osobitného predpisu,</w:t>
      </w:r>
      <w:r>
        <w:rPr>
          <w:rStyle w:val="Odkaznapoznmkupodiarou"/>
          <w:color w:val="0070C0"/>
          <w:sz w:val="24"/>
          <w:szCs w:val="24"/>
        </w:rPr>
        <w:footnoteReference w:id="6"/>
      </w:r>
      <w:r w:rsidRPr="00D86310">
        <w:rPr>
          <w:color w:val="0070C0"/>
          <w:sz w:val="24"/>
          <w:szCs w:val="24"/>
        </w:rPr>
        <w:t>) ktorá predchádza roku, na ktorý sa príspevok štátu určuje, v porovnaní s rokom, ktorý dva roky predchádza roku, na ktorý sa príspevok štátu určuje. Vzorec na výpočet príspevku štátu je uvedený v prílohe č. 1.</w:t>
      </w:r>
    </w:p>
    <w:p w:rsidR="00BB09ED" w:rsidRPr="00BB09ED" w:rsidRDefault="00BB09ED" w:rsidP="00BB09ED">
      <w:pPr>
        <w:pStyle w:val="Odsekzoznamu"/>
        <w:suppressAutoHyphens w:val="0"/>
        <w:ind w:left="426"/>
        <w:jc w:val="both"/>
        <w:rPr>
          <w:iCs/>
          <w:color w:val="0070C0"/>
          <w:sz w:val="24"/>
          <w:szCs w:val="24"/>
        </w:rPr>
      </w:pPr>
    </w:p>
    <w:p w:rsidR="00C96282" w:rsidRPr="00BB09ED" w:rsidRDefault="00D86310" w:rsidP="00D86310">
      <w:pPr>
        <w:pStyle w:val="Odsekzoznamu"/>
        <w:numPr>
          <w:ilvl w:val="0"/>
          <w:numId w:val="29"/>
        </w:numPr>
        <w:suppressAutoHyphens w:val="0"/>
        <w:ind w:left="426" w:hanging="426"/>
        <w:jc w:val="both"/>
        <w:rPr>
          <w:iCs/>
          <w:color w:val="0070C0"/>
          <w:sz w:val="24"/>
          <w:szCs w:val="24"/>
        </w:rPr>
      </w:pPr>
      <w:r w:rsidRPr="00D86310">
        <w:rPr>
          <w:color w:val="0070C0"/>
          <w:sz w:val="24"/>
          <w:szCs w:val="24"/>
        </w:rPr>
        <w:t>Ak počet veriacich cirkvi, ktorej sa poskytuje príspevok štátu, klesne alebo vzrastie o viac ako 10 % v porovnaní s predchádzajúcim zisťovaním, suma príspevku štátu pripadajúca tejto cirkvi podľa § 5 ods. 2 na nasledujúci rok po roku, v ktorom sa zverejnili výsledky posledného zisťovania počtu veriacich sa zníži alebo zvýši o sumu vypočítanú zo sumy príspevku štátu poskytnutej tejto cirkvi v predchádzajúcom roku, ktorá zodpovedá jednej tretine percentuálneho poklesu počtu jej veriacich alebo nárastu počtu jej veriacich; o túto sumu sa za rovnakých podmienok zníži alebo zvýši aj príspevok štátu podľa odseku 1.</w:t>
      </w:r>
    </w:p>
    <w:p w:rsidR="00C96282" w:rsidRPr="00845D1B" w:rsidRDefault="00C96282" w:rsidP="00CA446A">
      <w:pPr>
        <w:spacing w:after="0"/>
        <w:ind w:left="426" w:hanging="426"/>
        <w:jc w:val="center"/>
        <w:rPr>
          <w:sz w:val="24"/>
          <w:szCs w:val="24"/>
        </w:rPr>
      </w:pPr>
    </w:p>
    <w:p w:rsidR="00C96282" w:rsidRPr="00C70F97" w:rsidRDefault="00C96282">
      <w:pPr>
        <w:spacing w:after="0"/>
        <w:jc w:val="center"/>
        <w:rPr>
          <w:b/>
          <w:sz w:val="24"/>
          <w:szCs w:val="24"/>
        </w:rPr>
      </w:pPr>
      <w:r w:rsidRPr="00C70F97">
        <w:rPr>
          <w:b/>
          <w:sz w:val="24"/>
          <w:szCs w:val="24"/>
        </w:rPr>
        <w:t>§ 5</w:t>
      </w:r>
    </w:p>
    <w:p w:rsidR="00C96282" w:rsidRPr="00845D1B" w:rsidRDefault="00C96282" w:rsidP="00CA446A">
      <w:pPr>
        <w:spacing w:after="0"/>
        <w:ind w:left="426" w:hanging="426"/>
        <w:jc w:val="center"/>
        <w:rPr>
          <w:sz w:val="24"/>
          <w:szCs w:val="24"/>
        </w:rPr>
      </w:pPr>
    </w:p>
    <w:p w:rsidR="00BA253B" w:rsidRDefault="00BA253B" w:rsidP="00CA446A">
      <w:pPr>
        <w:numPr>
          <w:ilvl w:val="0"/>
          <w:numId w:val="7"/>
        </w:numPr>
        <w:tabs>
          <w:tab w:val="clear" w:pos="720"/>
          <w:tab w:val="num" w:pos="-993"/>
        </w:tabs>
        <w:spacing w:after="0"/>
        <w:ind w:left="426" w:hanging="426"/>
        <w:jc w:val="both"/>
        <w:rPr>
          <w:sz w:val="24"/>
          <w:szCs w:val="24"/>
        </w:rPr>
      </w:pPr>
      <w:r w:rsidRPr="00845D1B">
        <w:rPr>
          <w:sz w:val="24"/>
          <w:szCs w:val="24"/>
        </w:rPr>
        <w:t>Príspevok štátu sa poskytuje cirkv</w:t>
      </w:r>
      <w:r w:rsidR="00C2310E">
        <w:rPr>
          <w:sz w:val="24"/>
          <w:szCs w:val="24"/>
        </w:rPr>
        <w:t>i</w:t>
      </w:r>
      <w:r w:rsidR="00D057DC" w:rsidRPr="00845D1B">
        <w:rPr>
          <w:sz w:val="24"/>
          <w:szCs w:val="24"/>
        </w:rPr>
        <w:t xml:space="preserve"> </w:t>
      </w:r>
      <w:r w:rsidR="00D057DC" w:rsidRPr="00E76D9B">
        <w:rPr>
          <w:sz w:val="24"/>
          <w:szCs w:val="24"/>
        </w:rPr>
        <w:t>na základe žiadost</w:t>
      </w:r>
      <w:r w:rsidR="00C2310E">
        <w:rPr>
          <w:sz w:val="24"/>
          <w:szCs w:val="24"/>
        </w:rPr>
        <w:t>i</w:t>
      </w:r>
      <w:r w:rsidR="00D057DC" w:rsidRPr="00E76D9B">
        <w:rPr>
          <w:sz w:val="24"/>
          <w:szCs w:val="24"/>
        </w:rPr>
        <w:t xml:space="preserve"> predložen</w:t>
      </w:r>
      <w:r w:rsidR="00C2310E">
        <w:rPr>
          <w:sz w:val="24"/>
          <w:szCs w:val="24"/>
        </w:rPr>
        <w:t>ej</w:t>
      </w:r>
      <w:r w:rsidR="00D057DC" w:rsidRPr="00E76D9B">
        <w:rPr>
          <w:sz w:val="24"/>
          <w:szCs w:val="24"/>
        </w:rPr>
        <w:t xml:space="preserve"> </w:t>
      </w:r>
      <w:r w:rsidRPr="00E76D9B">
        <w:rPr>
          <w:sz w:val="24"/>
          <w:szCs w:val="24"/>
        </w:rPr>
        <w:t>ministerstv</w:t>
      </w:r>
      <w:r w:rsidR="00F73203" w:rsidRPr="00E76D9B">
        <w:rPr>
          <w:sz w:val="24"/>
          <w:szCs w:val="24"/>
        </w:rPr>
        <w:t xml:space="preserve">u </w:t>
      </w:r>
      <w:r w:rsidR="009B7041">
        <w:rPr>
          <w:sz w:val="24"/>
          <w:szCs w:val="24"/>
        </w:rPr>
        <w:t xml:space="preserve">kultúry </w:t>
      </w:r>
      <w:r w:rsidR="007E3BD6" w:rsidRPr="00845D1B">
        <w:rPr>
          <w:sz w:val="24"/>
          <w:szCs w:val="24"/>
        </w:rPr>
        <w:t xml:space="preserve">najneskôr </w:t>
      </w:r>
      <w:r w:rsidR="00B8631A">
        <w:rPr>
          <w:sz w:val="24"/>
          <w:szCs w:val="24"/>
        </w:rPr>
        <w:t>šesť mesiacov</w:t>
      </w:r>
      <w:r w:rsidR="007D078B" w:rsidRPr="00E76D9B">
        <w:rPr>
          <w:sz w:val="24"/>
          <w:szCs w:val="24"/>
        </w:rPr>
        <w:t xml:space="preserve"> pred začiatkom </w:t>
      </w:r>
      <w:r w:rsidR="00F73203" w:rsidRPr="00845D1B">
        <w:rPr>
          <w:sz w:val="24"/>
          <w:szCs w:val="24"/>
        </w:rPr>
        <w:t>kalendárneho roka</w:t>
      </w:r>
      <w:r w:rsidR="00B8631A">
        <w:rPr>
          <w:sz w:val="24"/>
          <w:szCs w:val="24"/>
        </w:rPr>
        <w:t>,</w:t>
      </w:r>
      <w:r w:rsidR="007D078B" w:rsidRPr="00845D1B">
        <w:rPr>
          <w:sz w:val="24"/>
          <w:szCs w:val="24"/>
        </w:rPr>
        <w:t xml:space="preserve"> na ktorý má byť príspevok štátu poskytnutý</w:t>
      </w:r>
      <w:r w:rsidR="00D86310">
        <w:rPr>
          <w:color w:val="0070C0"/>
          <w:sz w:val="24"/>
          <w:szCs w:val="24"/>
        </w:rPr>
        <w:t xml:space="preserve">, ak </w:t>
      </w:r>
      <w:r w:rsidR="00BB09ED" w:rsidRPr="00BB09ED">
        <w:rPr>
          <w:color w:val="0070C0"/>
          <w:sz w:val="24"/>
          <w:szCs w:val="24"/>
        </w:rPr>
        <w:t xml:space="preserve">odsek </w:t>
      </w:r>
      <w:r w:rsidR="00D86310">
        <w:rPr>
          <w:color w:val="0070C0"/>
          <w:sz w:val="24"/>
          <w:szCs w:val="24"/>
        </w:rPr>
        <w:t>4</w:t>
      </w:r>
      <w:r w:rsidR="00BB09ED" w:rsidRPr="00BB09ED">
        <w:rPr>
          <w:color w:val="0070C0"/>
          <w:sz w:val="24"/>
          <w:szCs w:val="24"/>
        </w:rPr>
        <w:t xml:space="preserve"> neustanovuje inak</w:t>
      </w:r>
      <w:r w:rsidRPr="00845D1B">
        <w:rPr>
          <w:sz w:val="24"/>
          <w:szCs w:val="24"/>
        </w:rPr>
        <w:t>.</w:t>
      </w:r>
      <w:r w:rsidR="00700F11">
        <w:rPr>
          <w:sz w:val="24"/>
          <w:szCs w:val="24"/>
        </w:rPr>
        <w:t xml:space="preserve"> </w:t>
      </w:r>
    </w:p>
    <w:p w:rsidR="00D057DC" w:rsidRPr="00376D39" w:rsidRDefault="00D057DC" w:rsidP="00376D39">
      <w:pPr>
        <w:spacing w:after="0"/>
        <w:jc w:val="both"/>
        <w:rPr>
          <w:sz w:val="24"/>
          <w:szCs w:val="24"/>
        </w:rPr>
      </w:pPr>
    </w:p>
    <w:p w:rsidR="00C96282" w:rsidRDefault="00C96282" w:rsidP="00CA446A">
      <w:pPr>
        <w:numPr>
          <w:ilvl w:val="0"/>
          <w:numId w:val="7"/>
        </w:numPr>
        <w:tabs>
          <w:tab w:val="clear" w:pos="720"/>
        </w:tabs>
        <w:spacing w:after="0"/>
        <w:ind w:left="426" w:hanging="426"/>
        <w:jc w:val="both"/>
        <w:rPr>
          <w:sz w:val="24"/>
          <w:szCs w:val="24"/>
        </w:rPr>
      </w:pPr>
      <w:r w:rsidRPr="00845D1B">
        <w:rPr>
          <w:sz w:val="24"/>
          <w:szCs w:val="24"/>
        </w:rPr>
        <w:t xml:space="preserve">Príspevok štátu sa poskytne </w:t>
      </w:r>
      <w:r w:rsidR="006F77AD" w:rsidRPr="00845D1B">
        <w:rPr>
          <w:sz w:val="24"/>
          <w:szCs w:val="24"/>
        </w:rPr>
        <w:t>takto</w:t>
      </w:r>
      <w:r w:rsidR="00681CF5">
        <w:rPr>
          <w:sz w:val="24"/>
          <w:szCs w:val="24"/>
        </w:rPr>
        <w:t>:</w:t>
      </w:r>
    </w:p>
    <w:p w:rsidR="00D057DC" w:rsidRPr="00991597" w:rsidRDefault="007A7DA8" w:rsidP="00C85998">
      <w:pPr>
        <w:pStyle w:val="Odsekzoznamu"/>
        <w:numPr>
          <w:ilvl w:val="0"/>
          <w:numId w:val="21"/>
        </w:numPr>
        <w:spacing w:after="0"/>
        <w:ind w:left="709" w:hanging="283"/>
        <w:jc w:val="both"/>
        <w:rPr>
          <w:strike/>
          <w:sz w:val="24"/>
          <w:szCs w:val="24"/>
        </w:rPr>
      </w:pPr>
      <w:r w:rsidRPr="00991597">
        <w:rPr>
          <w:iCs/>
          <w:color w:val="0070C0"/>
          <w:sz w:val="24"/>
          <w:szCs w:val="24"/>
        </w:rPr>
        <w:t xml:space="preserve">suma vo výške príspevku štátu poskytnutého cirkvám v predchádzajúcom roku zvýšená </w:t>
      </w:r>
      <w:r w:rsidR="00BB09ED" w:rsidRPr="00991597">
        <w:rPr>
          <w:iCs/>
          <w:color w:val="0070C0"/>
          <w:sz w:val="24"/>
          <w:szCs w:val="24"/>
        </w:rPr>
        <w:t>podľa miery</w:t>
      </w:r>
      <w:r w:rsidRPr="00991597">
        <w:rPr>
          <w:iCs/>
          <w:color w:val="0070C0"/>
          <w:sz w:val="24"/>
          <w:szCs w:val="24"/>
        </w:rPr>
        <w:t xml:space="preserve"> medziročného rastu </w:t>
      </w:r>
      <w:r w:rsidR="00BB09ED" w:rsidRPr="00991597">
        <w:rPr>
          <w:iCs/>
          <w:color w:val="0070C0"/>
          <w:sz w:val="24"/>
          <w:szCs w:val="24"/>
        </w:rPr>
        <w:t xml:space="preserve">sumy mesačnej </w:t>
      </w:r>
      <w:r w:rsidRPr="00991597">
        <w:rPr>
          <w:iCs/>
          <w:color w:val="0070C0"/>
          <w:sz w:val="24"/>
          <w:szCs w:val="24"/>
        </w:rPr>
        <w:t xml:space="preserve">minimálnej mzdy sa rozdelí medzi jednotlivé cirkvi, ktorým </w:t>
      </w:r>
      <w:r w:rsidR="00991597">
        <w:rPr>
          <w:iCs/>
          <w:color w:val="0070C0"/>
          <w:sz w:val="24"/>
          <w:szCs w:val="24"/>
        </w:rPr>
        <w:t>sa</w:t>
      </w:r>
      <w:r w:rsidRPr="00991597">
        <w:rPr>
          <w:iCs/>
          <w:color w:val="0070C0"/>
          <w:sz w:val="24"/>
          <w:szCs w:val="24"/>
        </w:rPr>
        <w:t xml:space="preserve"> poskyt</w:t>
      </w:r>
      <w:r w:rsidR="00991597">
        <w:rPr>
          <w:iCs/>
          <w:color w:val="0070C0"/>
          <w:sz w:val="24"/>
          <w:szCs w:val="24"/>
        </w:rPr>
        <w:t>ol</w:t>
      </w:r>
      <w:r w:rsidRPr="00991597">
        <w:rPr>
          <w:iCs/>
          <w:color w:val="0070C0"/>
          <w:sz w:val="24"/>
          <w:szCs w:val="24"/>
        </w:rPr>
        <w:t xml:space="preserve"> príspevok štátu v predchádzajúcom roku, v rovnakom pomere ako v predchádzajúcom roku,</w:t>
      </w:r>
      <w:r w:rsidR="006F77AD" w:rsidRPr="00991597">
        <w:rPr>
          <w:sz w:val="24"/>
          <w:szCs w:val="24"/>
        </w:rPr>
        <w:t xml:space="preserve"> </w:t>
      </w:r>
    </w:p>
    <w:p w:rsidR="00BB09ED" w:rsidRPr="00BB09ED" w:rsidRDefault="00C96282" w:rsidP="00BB09ED">
      <w:pPr>
        <w:pStyle w:val="Odsekzoznamu"/>
        <w:numPr>
          <w:ilvl w:val="0"/>
          <w:numId w:val="21"/>
        </w:numPr>
        <w:spacing w:after="0"/>
        <w:ind w:left="709" w:hanging="283"/>
        <w:jc w:val="both"/>
        <w:rPr>
          <w:sz w:val="24"/>
          <w:szCs w:val="24"/>
        </w:rPr>
      </w:pPr>
      <w:r w:rsidRPr="00BB09ED">
        <w:rPr>
          <w:sz w:val="24"/>
          <w:szCs w:val="24"/>
        </w:rPr>
        <w:t xml:space="preserve">suma príspevku štátu </w:t>
      </w:r>
      <w:r w:rsidR="004D2E6C" w:rsidRPr="00BB09ED">
        <w:rPr>
          <w:sz w:val="24"/>
          <w:szCs w:val="24"/>
        </w:rPr>
        <w:t xml:space="preserve">podľa § </w:t>
      </w:r>
      <w:r w:rsidR="00E7519D" w:rsidRPr="00BB09ED">
        <w:rPr>
          <w:sz w:val="24"/>
          <w:szCs w:val="24"/>
        </w:rPr>
        <w:t>4</w:t>
      </w:r>
      <w:r w:rsidR="004D2E6C" w:rsidRPr="00BB09ED">
        <w:rPr>
          <w:sz w:val="24"/>
          <w:szCs w:val="24"/>
        </w:rPr>
        <w:t xml:space="preserve"> </w:t>
      </w:r>
      <w:r w:rsidRPr="00BB09ED">
        <w:rPr>
          <w:sz w:val="24"/>
          <w:szCs w:val="24"/>
        </w:rPr>
        <w:t xml:space="preserve">po odpočítaní sumy </w:t>
      </w:r>
      <w:r w:rsidR="00E7519D" w:rsidRPr="00BB09ED">
        <w:rPr>
          <w:sz w:val="24"/>
          <w:szCs w:val="24"/>
        </w:rPr>
        <w:t xml:space="preserve">príspevku štátu </w:t>
      </w:r>
      <w:r w:rsidRPr="00BB09ED">
        <w:rPr>
          <w:sz w:val="24"/>
          <w:szCs w:val="24"/>
        </w:rPr>
        <w:t>podľa písmena a) sa rozdelí medzi jednotlivé cirkvi</w:t>
      </w:r>
      <w:r w:rsidR="00AF6234" w:rsidRPr="00BB09ED">
        <w:rPr>
          <w:sz w:val="24"/>
          <w:szCs w:val="24"/>
        </w:rPr>
        <w:t>,</w:t>
      </w:r>
      <w:r w:rsidRPr="00BB09ED">
        <w:rPr>
          <w:sz w:val="24"/>
          <w:szCs w:val="24"/>
        </w:rPr>
        <w:t xml:space="preserve"> </w:t>
      </w:r>
      <w:r w:rsidR="00AF6234" w:rsidRPr="00BB09ED">
        <w:rPr>
          <w:rFonts w:ascii="Times" w:hAnsi="Times" w:cs="Times"/>
          <w:sz w:val="24"/>
          <w:szCs w:val="24"/>
        </w:rPr>
        <w:t>ktoré požiadali o príspevok štátu</w:t>
      </w:r>
      <w:r w:rsidR="006F77AD" w:rsidRPr="00BB09ED">
        <w:rPr>
          <w:rFonts w:ascii="Times" w:hAnsi="Times" w:cs="Times"/>
          <w:sz w:val="24"/>
          <w:szCs w:val="24"/>
        </w:rPr>
        <w:t>,</w:t>
      </w:r>
      <w:r w:rsidR="00AF6234" w:rsidRPr="00BB09ED">
        <w:rPr>
          <w:sz w:val="24"/>
          <w:szCs w:val="24"/>
        </w:rPr>
        <w:t xml:space="preserve"> </w:t>
      </w:r>
      <w:r w:rsidRPr="00BB09ED">
        <w:rPr>
          <w:sz w:val="24"/>
          <w:szCs w:val="24"/>
        </w:rPr>
        <w:t xml:space="preserve">pomerne podľa počtu </w:t>
      </w:r>
      <w:r w:rsidR="00D348DA" w:rsidRPr="00BB09ED">
        <w:rPr>
          <w:sz w:val="24"/>
          <w:szCs w:val="24"/>
        </w:rPr>
        <w:t xml:space="preserve">ich </w:t>
      </w:r>
      <w:r w:rsidR="00AF5EDC" w:rsidRPr="00BB09ED">
        <w:rPr>
          <w:sz w:val="24"/>
          <w:szCs w:val="24"/>
        </w:rPr>
        <w:t>veriacich</w:t>
      </w:r>
      <w:r w:rsidR="00BB09ED" w:rsidRPr="00BB09ED">
        <w:rPr>
          <w:sz w:val="24"/>
          <w:szCs w:val="24"/>
        </w:rPr>
        <w:t>.</w:t>
      </w:r>
    </w:p>
    <w:p w:rsidR="00656358" w:rsidRPr="00991597" w:rsidRDefault="00656358" w:rsidP="00BB09ED">
      <w:pPr>
        <w:spacing w:after="0"/>
        <w:jc w:val="both"/>
        <w:rPr>
          <w:sz w:val="24"/>
          <w:szCs w:val="24"/>
        </w:rPr>
      </w:pPr>
    </w:p>
    <w:p w:rsidR="00D057DC" w:rsidRPr="00991597" w:rsidRDefault="006F77AD" w:rsidP="0012266A">
      <w:pPr>
        <w:pStyle w:val="Odsekzoznamu"/>
        <w:numPr>
          <w:ilvl w:val="0"/>
          <w:numId w:val="7"/>
        </w:numPr>
        <w:tabs>
          <w:tab w:val="clear" w:pos="720"/>
          <w:tab w:val="num" w:pos="426"/>
        </w:tabs>
        <w:ind w:left="426"/>
        <w:jc w:val="both"/>
      </w:pPr>
      <w:r w:rsidRPr="00991597">
        <w:rPr>
          <w:sz w:val="24"/>
          <w:szCs w:val="24"/>
        </w:rPr>
        <w:lastRenderedPageBreak/>
        <w:t>S</w:t>
      </w:r>
      <w:r w:rsidR="00C425AE" w:rsidRPr="00991597">
        <w:rPr>
          <w:sz w:val="24"/>
          <w:szCs w:val="24"/>
        </w:rPr>
        <w:t xml:space="preserve">umu príspevku štátu </w:t>
      </w:r>
      <w:r w:rsidRPr="00991597">
        <w:rPr>
          <w:sz w:val="24"/>
          <w:szCs w:val="24"/>
        </w:rPr>
        <w:t xml:space="preserve">pripadajúcu </w:t>
      </w:r>
      <w:r w:rsidR="00C425AE" w:rsidRPr="00991597">
        <w:rPr>
          <w:sz w:val="24"/>
          <w:szCs w:val="24"/>
        </w:rPr>
        <w:t>konkrétn</w:t>
      </w:r>
      <w:r w:rsidR="00F32E4D" w:rsidRPr="00991597">
        <w:rPr>
          <w:sz w:val="24"/>
          <w:szCs w:val="24"/>
        </w:rPr>
        <w:t>ym</w:t>
      </w:r>
      <w:r w:rsidR="00C425AE" w:rsidRPr="00991597">
        <w:rPr>
          <w:sz w:val="24"/>
          <w:szCs w:val="24"/>
        </w:rPr>
        <w:t xml:space="preserve"> cirkv</w:t>
      </w:r>
      <w:r w:rsidR="00F32E4D" w:rsidRPr="00991597">
        <w:rPr>
          <w:sz w:val="24"/>
          <w:szCs w:val="24"/>
        </w:rPr>
        <w:t xml:space="preserve">ám </w:t>
      </w:r>
      <w:r w:rsidR="008A1069" w:rsidRPr="00991597">
        <w:rPr>
          <w:sz w:val="24"/>
          <w:szCs w:val="24"/>
        </w:rPr>
        <w:t xml:space="preserve">na príslušný rok </w:t>
      </w:r>
      <w:r w:rsidR="00C425AE" w:rsidRPr="00991597">
        <w:rPr>
          <w:sz w:val="24"/>
          <w:szCs w:val="24"/>
        </w:rPr>
        <w:t>ministerstvo</w:t>
      </w:r>
      <w:r w:rsidR="009B7041" w:rsidRPr="00991597">
        <w:rPr>
          <w:sz w:val="24"/>
          <w:szCs w:val="24"/>
        </w:rPr>
        <w:t xml:space="preserve"> kultúry</w:t>
      </w:r>
      <w:r w:rsidR="00C425AE" w:rsidRPr="00991597">
        <w:rPr>
          <w:sz w:val="24"/>
          <w:szCs w:val="24"/>
        </w:rPr>
        <w:t xml:space="preserve"> </w:t>
      </w:r>
      <w:r w:rsidR="009C5C94" w:rsidRPr="00991597">
        <w:rPr>
          <w:sz w:val="24"/>
          <w:szCs w:val="24"/>
        </w:rPr>
        <w:t xml:space="preserve">oznámi </w:t>
      </w:r>
      <w:r w:rsidR="002B25B6" w:rsidRPr="00991597">
        <w:rPr>
          <w:sz w:val="24"/>
          <w:szCs w:val="24"/>
        </w:rPr>
        <w:t>do 1. januára príslušného roka</w:t>
      </w:r>
      <w:r w:rsidR="00A51491" w:rsidRPr="00991597">
        <w:rPr>
          <w:sz w:val="24"/>
          <w:szCs w:val="24"/>
        </w:rPr>
        <w:t xml:space="preserve"> </w:t>
      </w:r>
      <w:r w:rsidR="009C5C94" w:rsidRPr="00991597">
        <w:rPr>
          <w:sz w:val="24"/>
          <w:szCs w:val="24"/>
        </w:rPr>
        <w:t>a zverejní na svoj</w:t>
      </w:r>
      <w:r w:rsidR="00681CF5" w:rsidRPr="00991597">
        <w:rPr>
          <w:sz w:val="24"/>
          <w:szCs w:val="24"/>
        </w:rPr>
        <w:t xml:space="preserve">om </w:t>
      </w:r>
      <w:r w:rsidR="00B8631A" w:rsidRPr="00991597">
        <w:rPr>
          <w:sz w:val="24"/>
          <w:szCs w:val="24"/>
        </w:rPr>
        <w:t>webov</w:t>
      </w:r>
      <w:r w:rsidR="00681CF5" w:rsidRPr="00991597">
        <w:rPr>
          <w:sz w:val="24"/>
          <w:szCs w:val="24"/>
        </w:rPr>
        <w:t>om sídle</w:t>
      </w:r>
      <w:r w:rsidR="009C5C94" w:rsidRPr="00991597">
        <w:rPr>
          <w:sz w:val="24"/>
          <w:szCs w:val="24"/>
        </w:rPr>
        <w:t>.</w:t>
      </w:r>
      <w:r w:rsidR="0050731A" w:rsidRPr="00991597">
        <w:rPr>
          <w:sz w:val="24"/>
          <w:szCs w:val="24"/>
        </w:rPr>
        <w:t xml:space="preserve"> </w:t>
      </w:r>
      <w:r w:rsidR="004F5D2A" w:rsidRPr="00991597">
        <w:rPr>
          <w:sz w:val="24"/>
          <w:szCs w:val="24"/>
        </w:rPr>
        <w:t xml:space="preserve">Ministerstvo </w:t>
      </w:r>
      <w:r w:rsidR="009B7041" w:rsidRPr="00991597">
        <w:rPr>
          <w:sz w:val="24"/>
          <w:szCs w:val="24"/>
        </w:rPr>
        <w:t xml:space="preserve">kultúry </w:t>
      </w:r>
      <w:r w:rsidR="004F5D2A" w:rsidRPr="00991597">
        <w:rPr>
          <w:sz w:val="24"/>
          <w:szCs w:val="24"/>
        </w:rPr>
        <w:t xml:space="preserve">poskytuje cirkvám príspevok štátu </w:t>
      </w:r>
      <w:r w:rsidR="002B25B6" w:rsidRPr="00991597">
        <w:rPr>
          <w:sz w:val="24"/>
          <w:szCs w:val="24"/>
        </w:rPr>
        <w:t>vo výške jeho jednej dvanástiny</w:t>
      </w:r>
      <w:r w:rsidR="004F5D2A" w:rsidRPr="00991597">
        <w:rPr>
          <w:sz w:val="24"/>
          <w:szCs w:val="24"/>
        </w:rPr>
        <w:t xml:space="preserve"> spravidla prvý pracovný deň v kalendárnom mesiaci. </w:t>
      </w:r>
    </w:p>
    <w:p w:rsidR="0012266A" w:rsidRPr="00991597" w:rsidRDefault="0012266A" w:rsidP="0012266A">
      <w:pPr>
        <w:pStyle w:val="Odsekzoznamu"/>
      </w:pPr>
    </w:p>
    <w:p w:rsidR="0060383E" w:rsidRPr="008D30B5" w:rsidRDefault="0060383E" w:rsidP="0012266A">
      <w:pPr>
        <w:pStyle w:val="Odsekzoznamu"/>
        <w:numPr>
          <w:ilvl w:val="0"/>
          <w:numId w:val="7"/>
        </w:numPr>
        <w:tabs>
          <w:tab w:val="clear" w:pos="720"/>
          <w:tab w:val="num" w:pos="426"/>
        </w:tabs>
        <w:ind w:left="426"/>
        <w:jc w:val="both"/>
      </w:pPr>
      <w:r w:rsidRPr="008D30B5">
        <w:rPr>
          <w:sz w:val="24"/>
          <w:szCs w:val="24"/>
        </w:rPr>
        <w:t xml:space="preserve">Príspevok štátu cirkvi, ktorej bol poskytnutý príspevok štátu </w:t>
      </w:r>
      <w:r w:rsidR="00D13867" w:rsidRPr="008D30B5">
        <w:rPr>
          <w:sz w:val="24"/>
          <w:szCs w:val="24"/>
        </w:rPr>
        <w:t xml:space="preserve">v </w:t>
      </w:r>
      <w:r w:rsidR="00991597" w:rsidRPr="008D30B5">
        <w:rPr>
          <w:color w:val="0070C0"/>
          <w:sz w:val="24"/>
          <w:szCs w:val="24"/>
        </w:rPr>
        <w:t>roku, ktorý predchádza kalendárnemu roku, na ktorý má byť príspevok poskytnutý</w:t>
      </w:r>
      <w:r w:rsidRPr="008D30B5">
        <w:rPr>
          <w:sz w:val="24"/>
          <w:szCs w:val="24"/>
        </w:rPr>
        <w:t>, sa poskytuje priamo bez podania žiadosti podľa ods</w:t>
      </w:r>
      <w:r w:rsidR="00C736AE" w:rsidRPr="008D30B5">
        <w:rPr>
          <w:sz w:val="24"/>
          <w:szCs w:val="24"/>
        </w:rPr>
        <w:t>eku</w:t>
      </w:r>
      <w:r w:rsidRPr="008D30B5">
        <w:rPr>
          <w:sz w:val="24"/>
          <w:szCs w:val="24"/>
        </w:rPr>
        <w:t xml:space="preserve"> 1.</w:t>
      </w:r>
    </w:p>
    <w:p w:rsidR="008B73C6" w:rsidRPr="003C37BF" w:rsidRDefault="008B73C6" w:rsidP="003C37BF">
      <w:pPr>
        <w:spacing w:after="0"/>
        <w:jc w:val="center"/>
        <w:rPr>
          <w:sz w:val="24"/>
          <w:szCs w:val="24"/>
        </w:rPr>
      </w:pPr>
    </w:p>
    <w:p w:rsidR="00C96282" w:rsidRPr="00C70F97" w:rsidRDefault="00C96282">
      <w:pPr>
        <w:spacing w:after="0"/>
        <w:jc w:val="center"/>
        <w:rPr>
          <w:b/>
          <w:sz w:val="24"/>
          <w:szCs w:val="24"/>
        </w:rPr>
      </w:pPr>
      <w:r w:rsidRPr="00C70F97">
        <w:rPr>
          <w:b/>
          <w:sz w:val="24"/>
          <w:szCs w:val="24"/>
        </w:rPr>
        <w:t>§ 6</w:t>
      </w:r>
    </w:p>
    <w:p w:rsidR="003A650D" w:rsidRDefault="003A650D" w:rsidP="00DE68E9">
      <w:pPr>
        <w:spacing w:after="0"/>
        <w:jc w:val="center"/>
        <w:rPr>
          <w:sz w:val="24"/>
          <w:szCs w:val="24"/>
        </w:rPr>
      </w:pPr>
    </w:p>
    <w:p w:rsidR="003A650D" w:rsidRDefault="00784BCE" w:rsidP="003A650D">
      <w:pPr>
        <w:numPr>
          <w:ilvl w:val="0"/>
          <w:numId w:val="22"/>
        </w:numPr>
        <w:spacing w:after="0"/>
        <w:ind w:left="426" w:hanging="426"/>
        <w:jc w:val="both"/>
        <w:rPr>
          <w:sz w:val="24"/>
          <w:szCs w:val="24"/>
        </w:rPr>
      </w:pPr>
      <w:r>
        <w:rPr>
          <w:sz w:val="24"/>
          <w:szCs w:val="24"/>
        </w:rPr>
        <w:t>Príspevok štátu je určený na podporu financovania činnosti cirkv</w:t>
      </w:r>
      <w:r w:rsidR="001726E0">
        <w:rPr>
          <w:sz w:val="24"/>
          <w:szCs w:val="24"/>
        </w:rPr>
        <w:t>i</w:t>
      </w:r>
      <w:r>
        <w:rPr>
          <w:sz w:val="24"/>
          <w:szCs w:val="24"/>
        </w:rPr>
        <w:t>, na bohoslužobné</w:t>
      </w:r>
      <w:r w:rsidR="00343513" w:rsidRPr="00343513">
        <w:rPr>
          <w:sz w:val="24"/>
          <w:szCs w:val="24"/>
        </w:rPr>
        <w:t xml:space="preserve"> </w:t>
      </w:r>
      <w:r w:rsidR="00343513">
        <w:rPr>
          <w:sz w:val="24"/>
          <w:szCs w:val="24"/>
        </w:rPr>
        <w:t>aktivity</w:t>
      </w:r>
      <w:r>
        <w:rPr>
          <w:sz w:val="24"/>
          <w:szCs w:val="24"/>
        </w:rPr>
        <w:t>, výchovné</w:t>
      </w:r>
      <w:r w:rsidR="00343513" w:rsidRPr="00343513">
        <w:rPr>
          <w:sz w:val="24"/>
          <w:szCs w:val="24"/>
        </w:rPr>
        <w:t xml:space="preserve"> </w:t>
      </w:r>
      <w:r w:rsidR="00343513">
        <w:rPr>
          <w:sz w:val="24"/>
          <w:szCs w:val="24"/>
        </w:rPr>
        <w:t>aktivity</w:t>
      </w:r>
      <w:r>
        <w:rPr>
          <w:sz w:val="24"/>
          <w:szCs w:val="24"/>
        </w:rPr>
        <w:t>, kultúrne</w:t>
      </w:r>
      <w:r w:rsidR="00343513" w:rsidRPr="00343513">
        <w:rPr>
          <w:sz w:val="24"/>
          <w:szCs w:val="24"/>
        </w:rPr>
        <w:t xml:space="preserve"> </w:t>
      </w:r>
      <w:r w:rsidR="00343513">
        <w:rPr>
          <w:sz w:val="24"/>
          <w:szCs w:val="24"/>
        </w:rPr>
        <w:t>aktivity</w:t>
      </w:r>
      <w:r>
        <w:rPr>
          <w:sz w:val="24"/>
          <w:szCs w:val="24"/>
        </w:rPr>
        <w:t xml:space="preserve"> a charitatívne aktivity cirkv</w:t>
      </w:r>
      <w:r w:rsidR="001726E0">
        <w:rPr>
          <w:sz w:val="24"/>
          <w:szCs w:val="24"/>
        </w:rPr>
        <w:t>i</w:t>
      </w:r>
      <w:r>
        <w:rPr>
          <w:sz w:val="24"/>
          <w:szCs w:val="24"/>
        </w:rPr>
        <w:t>, na náklady cirkv</w:t>
      </w:r>
      <w:r w:rsidR="001726E0">
        <w:rPr>
          <w:sz w:val="24"/>
          <w:szCs w:val="24"/>
        </w:rPr>
        <w:t>i</w:t>
      </w:r>
      <w:r>
        <w:rPr>
          <w:sz w:val="24"/>
          <w:szCs w:val="24"/>
        </w:rPr>
        <w:t xml:space="preserve"> súvisiace s výkonom </w:t>
      </w:r>
      <w:r w:rsidR="001726E0">
        <w:rPr>
          <w:sz w:val="24"/>
          <w:szCs w:val="24"/>
        </w:rPr>
        <w:t>jej</w:t>
      </w:r>
      <w:r>
        <w:rPr>
          <w:sz w:val="24"/>
          <w:szCs w:val="24"/>
        </w:rPr>
        <w:t xml:space="preserve"> činnosti v postavení zamestnávateľa a na prevádzkové náklady cirkv</w:t>
      </w:r>
      <w:r w:rsidR="001726E0">
        <w:rPr>
          <w:sz w:val="24"/>
          <w:szCs w:val="24"/>
        </w:rPr>
        <w:t>i</w:t>
      </w:r>
      <w:r>
        <w:rPr>
          <w:sz w:val="24"/>
          <w:szCs w:val="24"/>
        </w:rPr>
        <w:t>.</w:t>
      </w:r>
      <w:r w:rsidR="00343513">
        <w:rPr>
          <w:sz w:val="24"/>
          <w:szCs w:val="24"/>
        </w:rPr>
        <w:t xml:space="preserve"> </w:t>
      </w:r>
    </w:p>
    <w:p w:rsidR="003A650D" w:rsidRDefault="003A650D" w:rsidP="003A650D">
      <w:pPr>
        <w:spacing w:after="0"/>
        <w:jc w:val="both"/>
        <w:rPr>
          <w:sz w:val="24"/>
          <w:szCs w:val="24"/>
        </w:rPr>
      </w:pPr>
    </w:p>
    <w:p w:rsidR="00D94427" w:rsidRPr="003A650D" w:rsidRDefault="00D94427" w:rsidP="003A650D">
      <w:pPr>
        <w:numPr>
          <w:ilvl w:val="0"/>
          <w:numId w:val="22"/>
        </w:numPr>
        <w:spacing w:after="0"/>
        <w:ind w:left="426" w:hanging="426"/>
        <w:jc w:val="both"/>
        <w:rPr>
          <w:sz w:val="24"/>
          <w:szCs w:val="24"/>
        </w:rPr>
      </w:pPr>
      <w:r w:rsidRPr="003A650D">
        <w:rPr>
          <w:sz w:val="24"/>
          <w:szCs w:val="24"/>
        </w:rPr>
        <w:t>Príspevok štátu cirk</w:t>
      </w:r>
      <w:r w:rsidR="001726E0">
        <w:rPr>
          <w:sz w:val="24"/>
          <w:szCs w:val="24"/>
        </w:rPr>
        <w:t>e</w:t>
      </w:r>
      <w:r w:rsidRPr="003A650D">
        <w:rPr>
          <w:sz w:val="24"/>
          <w:szCs w:val="24"/>
        </w:rPr>
        <w:t>v nemôž</w:t>
      </w:r>
      <w:r w:rsidR="001726E0">
        <w:rPr>
          <w:sz w:val="24"/>
          <w:szCs w:val="24"/>
        </w:rPr>
        <w:t>e</w:t>
      </w:r>
      <w:r w:rsidRPr="003A650D">
        <w:rPr>
          <w:sz w:val="24"/>
          <w:szCs w:val="24"/>
        </w:rPr>
        <w:t xml:space="preserve"> použiť na</w:t>
      </w:r>
    </w:p>
    <w:p w:rsidR="00D94427" w:rsidRPr="003A650D" w:rsidRDefault="000B47AC" w:rsidP="003A650D">
      <w:pPr>
        <w:numPr>
          <w:ilvl w:val="0"/>
          <w:numId w:val="20"/>
        </w:numPr>
        <w:spacing w:after="0"/>
        <w:ind w:left="709" w:hanging="283"/>
        <w:jc w:val="both"/>
        <w:rPr>
          <w:sz w:val="24"/>
          <w:szCs w:val="24"/>
        </w:rPr>
      </w:pPr>
      <w:r>
        <w:rPr>
          <w:sz w:val="24"/>
          <w:szCs w:val="24"/>
        </w:rPr>
        <w:t xml:space="preserve">poskytnutie </w:t>
      </w:r>
      <w:r w:rsidR="00FF6175">
        <w:rPr>
          <w:sz w:val="24"/>
          <w:szCs w:val="24"/>
        </w:rPr>
        <w:t>pôžič</w:t>
      </w:r>
      <w:r>
        <w:rPr>
          <w:sz w:val="24"/>
          <w:szCs w:val="24"/>
        </w:rPr>
        <w:t>ie</w:t>
      </w:r>
      <w:r w:rsidR="00FF6175">
        <w:rPr>
          <w:sz w:val="24"/>
          <w:szCs w:val="24"/>
        </w:rPr>
        <w:t>k a </w:t>
      </w:r>
      <w:r w:rsidR="00D94427" w:rsidRPr="003A650D">
        <w:rPr>
          <w:sz w:val="24"/>
          <w:szCs w:val="24"/>
        </w:rPr>
        <w:t>úver</w:t>
      </w:r>
      <w:r>
        <w:rPr>
          <w:sz w:val="24"/>
          <w:szCs w:val="24"/>
        </w:rPr>
        <w:t>ov</w:t>
      </w:r>
      <w:r w:rsidR="00FF6175">
        <w:rPr>
          <w:sz w:val="24"/>
          <w:szCs w:val="24"/>
        </w:rPr>
        <w:t xml:space="preserve"> </w:t>
      </w:r>
      <w:r w:rsidR="00D94427" w:rsidRPr="003A650D">
        <w:rPr>
          <w:sz w:val="24"/>
          <w:szCs w:val="24"/>
        </w:rPr>
        <w:t>fyzickým osobám alebo právnickým osobám,</w:t>
      </w:r>
    </w:p>
    <w:p w:rsidR="00D94427" w:rsidRPr="003A650D" w:rsidRDefault="000B47AC" w:rsidP="003A650D">
      <w:pPr>
        <w:numPr>
          <w:ilvl w:val="0"/>
          <w:numId w:val="20"/>
        </w:numPr>
        <w:spacing w:after="0"/>
        <w:ind w:left="709" w:hanging="283"/>
        <w:jc w:val="both"/>
        <w:rPr>
          <w:sz w:val="24"/>
          <w:szCs w:val="24"/>
        </w:rPr>
      </w:pPr>
      <w:r>
        <w:rPr>
          <w:sz w:val="24"/>
          <w:szCs w:val="24"/>
        </w:rPr>
        <w:t xml:space="preserve">vklad na základe </w:t>
      </w:r>
      <w:r w:rsidR="00D94427" w:rsidRPr="003A650D">
        <w:rPr>
          <w:sz w:val="24"/>
          <w:szCs w:val="24"/>
        </w:rPr>
        <w:t>zmluvy o tichom spoločenstve,</w:t>
      </w:r>
    </w:p>
    <w:p w:rsidR="00D94427" w:rsidRPr="003A650D" w:rsidRDefault="00D94427" w:rsidP="003A650D">
      <w:pPr>
        <w:numPr>
          <w:ilvl w:val="0"/>
          <w:numId w:val="20"/>
        </w:numPr>
        <w:spacing w:after="0"/>
        <w:ind w:left="709" w:hanging="283"/>
        <w:jc w:val="both"/>
        <w:rPr>
          <w:sz w:val="24"/>
          <w:szCs w:val="24"/>
        </w:rPr>
      </w:pPr>
      <w:r w:rsidRPr="003A650D">
        <w:rPr>
          <w:sz w:val="24"/>
          <w:szCs w:val="24"/>
        </w:rPr>
        <w:t>podnikanie obchodnej spoločnosti, ktorú cirkev alebo jej organizačná zložka založila alebo sa stala jej spoločníkom,</w:t>
      </w:r>
    </w:p>
    <w:p w:rsidR="006F77AD" w:rsidRPr="003A650D" w:rsidRDefault="006F77AD" w:rsidP="003A650D">
      <w:pPr>
        <w:numPr>
          <w:ilvl w:val="0"/>
          <w:numId w:val="20"/>
        </w:numPr>
        <w:spacing w:after="0"/>
        <w:ind w:left="709" w:hanging="283"/>
        <w:jc w:val="both"/>
        <w:rPr>
          <w:sz w:val="24"/>
          <w:szCs w:val="24"/>
        </w:rPr>
      </w:pPr>
      <w:r w:rsidRPr="003A650D">
        <w:rPr>
          <w:sz w:val="24"/>
          <w:szCs w:val="24"/>
        </w:rPr>
        <w:t>založenie inej právnickej osoby,</w:t>
      </w:r>
    </w:p>
    <w:p w:rsidR="006F77AD" w:rsidRPr="00CA446A" w:rsidRDefault="006F77AD" w:rsidP="003A650D">
      <w:pPr>
        <w:numPr>
          <w:ilvl w:val="0"/>
          <w:numId w:val="20"/>
        </w:numPr>
        <w:spacing w:after="0"/>
        <w:ind w:left="709" w:hanging="283"/>
        <w:jc w:val="both"/>
        <w:rPr>
          <w:sz w:val="24"/>
          <w:szCs w:val="24"/>
        </w:rPr>
      </w:pPr>
      <w:r w:rsidRPr="003A650D">
        <w:rPr>
          <w:sz w:val="24"/>
          <w:szCs w:val="24"/>
        </w:rPr>
        <w:t>podporu činnosti politických strán</w:t>
      </w:r>
      <w:r w:rsidRPr="00CA446A">
        <w:rPr>
          <w:sz w:val="24"/>
          <w:szCs w:val="24"/>
        </w:rPr>
        <w:t>,</w:t>
      </w:r>
    </w:p>
    <w:p w:rsidR="00D94427" w:rsidRDefault="00D94427" w:rsidP="00B65747">
      <w:pPr>
        <w:numPr>
          <w:ilvl w:val="0"/>
          <w:numId w:val="20"/>
        </w:numPr>
        <w:spacing w:after="0"/>
        <w:ind w:left="709" w:hanging="283"/>
        <w:jc w:val="both"/>
        <w:rPr>
          <w:sz w:val="24"/>
          <w:szCs w:val="24"/>
        </w:rPr>
      </w:pPr>
      <w:r w:rsidRPr="003A650D">
        <w:rPr>
          <w:sz w:val="24"/>
          <w:szCs w:val="24"/>
        </w:rPr>
        <w:t>ručenie za záväzky fyzických osôb alebo právnických osôb,</w:t>
      </w:r>
    </w:p>
    <w:p w:rsidR="00FF6175" w:rsidRPr="00B65747" w:rsidRDefault="00FF6175" w:rsidP="00B65747">
      <w:pPr>
        <w:numPr>
          <w:ilvl w:val="0"/>
          <w:numId w:val="20"/>
        </w:numPr>
        <w:spacing w:after="0"/>
        <w:ind w:left="709" w:hanging="283"/>
        <w:jc w:val="both"/>
        <w:rPr>
          <w:sz w:val="24"/>
          <w:szCs w:val="24"/>
        </w:rPr>
      </w:pPr>
      <w:r>
        <w:rPr>
          <w:sz w:val="24"/>
          <w:szCs w:val="24"/>
        </w:rPr>
        <w:t xml:space="preserve">darovanie fyzickým osobám alebo právnickým osobám, </w:t>
      </w:r>
    </w:p>
    <w:p w:rsidR="00C96282" w:rsidRPr="00A22ACD" w:rsidRDefault="00D94427" w:rsidP="003A650D">
      <w:pPr>
        <w:numPr>
          <w:ilvl w:val="0"/>
          <w:numId w:val="20"/>
        </w:numPr>
        <w:spacing w:after="0"/>
        <w:ind w:left="709" w:hanging="283"/>
        <w:jc w:val="both"/>
        <w:rPr>
          <w:sz w:val="24"/>
          <w:szCs w:val="24"/>
        </w:rPr>
      </w:pPr>
      <w:r>
        <w:rPr>
          <w:sz w:val="24"/>
          <w:szCs w:val="24"/>
        </w:rPr>
        <w:t>úhradu pokút a iných peňažných sankcií.</w:t>
      </w:r>
    </w:p>
    <w:p w:rsidR="00C96282" w:rsidRPr="00A22ACD" w:rsidRDefault="00C96282" w:rsidP="00DE68E9">
      <w:pPr>
        <w:spacing w:after="0"/>
        <w:jc w:val="center"/>
        <w:rPr>
          <w:sz w:val="24"/>
          <w:szCs w:val="24"/>
        </w:rPr>
      </w:pPr>
    </w:p>
    <w:p w:rsidR="00C96282" w:rsidRPr="00C70F97" w:rsidRDefault="00C96282">
      <w:pPr>
        <w:spacing w:after="0"/>
        <w:jc w:val="center"/>
        <w:rPr>
          <w:b/>
          <w:sz w:val="24"/>
          <w:szCs w:val="24"/>
        </w:rPr>
      </w:pPr>
      <w:r w:rsidRPr="00C70F97">
        <w:rPr>
          <w:b/>
          <w:sz w:val="24"/>
          <w:szCs w:val="24"/>
        </w:rPr>
        <w:t>§ 7</w:t>
      </w:r>
    </w:p>
    <w:p w:rsidR="00C96282" w:rsidRPr="00A22ACD" w:rsidRDefault="00C96282" w:rsidP="003A650D">
      <w:pPr>
        <w:spacing w:after="0"/>
        <w:ind w:left="426" w:hanging="426"/>
        <w:jc w:val="center"/>
        <w:rPr>
          <w:sz w:val="24"/>
          <w:szCs w:val="24"/>
        </w:rPr>
      </w:pPr>
    </w:p>
    <w:p w:rsidR="00B01537" w:rsidRDefault="00B01537" w:rsidP="003A650D">
      <w:pPr>
        <w:numPr>
          <w:ilvl w:val="0"/>
          <w:numId w:val="19"/>
        </w:numPr>
        <w:spacing w:after="0"/>
        <w:ind w:left="426" w:hanging="426"/>
        <w:jc w:val="both"/>
        <w:rPr>
          <w:sz w:val="24"/>
          <w:szCs w:val="24"/>
        </w:rPr>
      </w:pPr>
      <w:r>
        <w:rPr>
          <w:sz w:val="24"/>
          <w:szCs w:val="24"/>
        </w:rPr>
        <w:t>Cirk</w:t>
      </w:r>
      <w:r w:rsidR="00275FE6">
        <w:rPr>
          <w:sz w:val="24"/>
          <w:szCs w:val="24"/>
        </w:rPr>
        <w:t>e</w:t>
      </w:r>
      <w:r>
        <w:rPr>
          <w:sz w:val="24"/>
          <w:szCs w:val="24"/>
        </w:rPr>
        <w:t>v</w:t>
      </w:r>
      <w:r w:rsidR="00526A49">
        <w:rPr>
          <w:sz w:val="24"/>
          <w:szCs w:val="24"/>
        </w:rPr>
        <w:t xml:space="preserve"> </w:t>
      </w:r>
      <w:r w:rsidR="00275FE6">
        <w:rPr>
          <w:sz w:val="24"/>
          <w:szCs w:val="24"/>
        </w:rPr>
        <w:t>je</w:t>
      </w:r>
      <w:r>
        <w:rPr>
          <w:sz w:val="24"/>
          <w:szCs w:val="24"/>
        </w:rPr>
        <w:t xml:space="preserve"> povinn</w:t>
      </w:r>
      <w:r w:rsidR="00275FE6">
        <w:rPr>
          <w:sz w:val="24"/>
          <w:szCs w:val="24"/>
        </w:rPr>
        <w:t>á</w:t>
      </w:r>
      <w:r>
        <w:rPr>
          <w:sz w:val="24"/>
          <w:szCs w:val="24"/>
        </w:rPr>
        <w:t xml:space="preserve"> pred</w:t>
      </w:r>
      <w:r w:rsidR="00275FE6">
        <w:rPr>
          <w:sz w:val="24"/>
          <w:szCs w:val="24"/>
        </w:rPr>
        <w:t>ložiť</w:t>
      </w:r>
      <w:r>
        <w:rPr>
          <w:sz w:val="24"/>
          <w:szCs w:val="24"/>
        </w:rPr>
        <w:t xml:space="preserve"> ministerstvu</w:t>
      </w:r>
      <w:r w:rsidR="009B7041">
        <w:rPr>
          <w:sz w:val="24"/>
          <w:szCs w:val="24"/>
        </w:rPr>
        <w:t xml:space="preserve"> kultúry</w:t>
      </w:r>
      <w:r>
        <w:rPr>
          <w:sz w:val="24"/>
          <w:szCs w:val="24"/>
        </w:rPr>
        <w:t xml:space="preserve"> správ</w:t>
      </w:r>
      <w:r w:rsidR="00275FE6">
        <w:rPr>
          <w:sz w:val="24"/>
          <w:szCs w:val="24"/>
        </w:rPr>
        <w:t>u</w:t>
      </w:r>
      <w:r>
        <w:rPr>
          <w:sz w:val="24"/>
          <w:szCs w:val="24"/>
        </w:rPr>
        <w:t xml:space="preserve"> o</w:t>
      </w:r>
      <w:r w:rsidR="00022106">
        <w:rPr>
          <w:sz w:val="24"/>
          <w:szCs w:val="24"/>
        </w:rPr>
        <w:t xml:space="preserve"> hospodárení </w:t>
      </w:r>
      <w:r w:rsidR="00594828">
        <w:rPr>
          <w:sz w:val="24"/>
          <w:szCs w:val="24"/>
        </w:rPr>
        <w:t xml:space="preserve">s </w:t>
      </w:r>
      <w:r>
        <w:rPr>
          <w:sz w:val="24"/>
          <w:szCs w:val="24"/>
        </w:rPr>
        <w:t>príspevk</w:t>
      </w:r>
      <w:r w:rsidR="00594828">
        <w:rPr>
          <w:sz w:val="24"/>
          <w:szCs w:val="24"/>
        </w:rPr>
        <w:t>om</w:t>
      </w:r>
      <w:r>
        <w:rPr>
          <w:sz w:val="24"/>
          <w:szCs w:val="24"/>
        </w:rPr>
        <w:t xml:space="preserve"> štátu</w:t>
      </w:r>
      <w:r w:rsidR="00E5476D">
        <w:rPr>
          <w:sz w:val="24"/>
          <w:szCs w:val="24"/>
        </w:rPr>
        <w:t xml:space="preserve"> </w:t>
      </w:r>
      <w:r w:rsidR="00B827E8">
        <w:rPr>
          <w:sz w:val="24"/>
          <w:szCs w:val="24"/>
        </w:rPr>
        <w:t xml:space="preserve">za predchádzajúci rok </w:t>
      </w:r>
      <w:r w:rsidR="00700F11">
        <w:rPr>
          <w:sz w:val="24"/>
          <w:szCs w:val="24"/>
        </w:rPr>
        <w:t xml:space="preserve">každoročne </w:t>
      </w:r>
      <w:r w:rsidR="00022106">
        <w:rPr>
          <w:sz w:val="24"/>
          <w:szCs w:val="24"/>
        </w:rPr>
        <w:t>najneskôr do 30. apríla v</w:t>
      </w:r>
      <w:r w:rsidR="008B73C6">
        <w:rPr>
          <w:sz w:val="24"/>
          <w:szCs w:val="24"/>
        </w:rPr>
        <w:t xml:space="preserve"> </w:t>
      </w:r>
      <w:r w:rsidR="006F77AD">
        <w:rPr>
          <w:sz w:val="24"/>
          <w:szCs w:val="24"/>
        </w:rPr>
        <w:t>listinnej</w:t>
      </w:r>
      <w:r w:rsidR="003A650D">
        <w:rPr>
          <w:sz w:val="24"/>
          <w:szCs w:val="24"/>
        </w:rPr>
        <w:t xml:space="preserve"> </w:t>
      </w:r>
      <w:r w:rsidR="004317D3">
        <w:rPr>
          <w:sz w:val="24"/>
          <w:szCs w:val="24"/>
        </w:rPr>
        <w:t xml:space="preserve">podobe </w:t>
      </w:r>
      <w:r w:rsidR="00022106">
        <w:rPr>
          <w:sz w:val="24"/>
          <w:szCs w:val="24"/>
        </w:rPr>
        <w:t xml:space="preserve">a v elektronickej podobe. </w:t>
      </w:r>
      <w:r w:rsidR="003148A1">
        <w:rPr>
          <w:sz w:val="24"/>
          <w:szCs w:val="24"/>
        </w:rPr>
        <w:t xml:space="preserve">Ministerstvo </w:t>
      </w:r>
      <w:r w:rsidR="009B7041">
        <w:rPr>
          <w:sz w:val="24"/>
          <w:szCs w:val="24"/>
        </w:rPr>
        <w:t xml:space="preserve">kultúry </w:t>
      </w:r>
      <w:r w:rsidR="004317D3">
        <w:rPr>
          <w:sz w:val="24"/>
          <w:szCs w:val="24"/>
        </w:rPr>
        <w:t>správ</w:t>
      </w:r>
      <w:r w:rsidR="00275FE6">
        <w:rPr>
          <w:sz w:val="24"/>
          <w:szCs w:val="24"/>
        </w:rPr>
        <w:t>u</w:t>
      </w:r>
      <w:r w:rsidR="004317D3">
        <w:rPr>
          <w:sz w:val="24"/>
          <w:szCs w:val="24"/>
        </w:rPr>
        <w:t xml:space="preserve"> o hospodárení s príspevkom štátu</w:t>
      </w:r>
      <w:r w:rsidR="003148A1">
        <w:rPr>
          <w:sz w:val="24"/>
          <w:szCs w:val="24"/>
        </w:rPr>
        <w:t xml:space="preserve"> zverej</w:t>
      </w:r>
      <w:r w:rsidR="00E935F3">
        <w:rPr>
          <w:sz w:val="24"/>
          <w:szCs w:val="24"/>
        </w:rPr>
        <w:t>ňuje</w:t>
      </w:r>
      <w:r w:rsidR="003148A1">
        <w:rPr>
          <w:sz w:val="24"/>
          <w:szCs w:val="24"/>
        </w:rPr>
        <w:t xml:space="preserve"> na </w:t>
      </w:r>
      <w:r w:rsidR="003148A1" w:rsidRPr="00681CF5">
        <w:rPr>
          <w:sz w:val="24"/>
          <w:szCs w:val="24"/>
        </w:rPr>
        <w:t>svojom webovom sídle</w:t>
      </w:r>
      <w:r w:rsidR="003148A1">
        <w:rPr>
          <w:sz w:val="24"/>
          <w:szCs w:val="24"/>
        </w:rPr>
        <w:t xml:space="preserve">. </w:t>
      </w:r>
    </w:p>
    <w:p w:rsidR="008B73C6" w:rsidRDefault="008B73C6" w:rsidP="008B73C6">
      <w:pPr>
        <w:spacing w:after="0"/>
        <w:jc w:val="both"/>
        <w:rPr>
          <w:sz w:val="24"/>
          <w:szCs w:val="24"/>
        </w:rPr>
      </w:pPr>
    </w:p>
    <w:p w:rsidR="00C96282" w:rsidRPr="00A22ACD" w:rsidRDefault="00C96282" w:rsidP="003A650D">
      <w:pPr>
        <w:numPr>
          <w:ilvl w:val="0"/>
          <w:numId w:val="19"/>
        </w:numPr>
        <w:spacing w:after="0"/>
        <w:ind w:left="426" w:hanging="426"/>
        <w:jc w:val="both"/>
        <w:rPr>
          <w:sz w:val="24"/>
          <w:szCs w:val="24"/>
        </w:rPr>
      </w:pPr>
      <w:r w:rsidRPr="00A22ACD">
        <w:rPr>
          <w:sz w:val="24"/>
          <w:szCs w:val="24"/>
        </w:rPr>
        <w:t xml:space="preserve">Štát je oprávnený vykonávať kontrolu hospodárenia s príspevkom </w:t>
      </w:r>
      <w:r w:rsidR="000B47AC">
        <w:rPr>
          <w:sz w:val="24"/>
          <w:szCs w:val="24"/>
        </w:rPr>
        <w:t xml:space="preserve">štátu </w:t>
      </w:r>
      <w:r w:rsidRPr="00A22ACD">
        <w:rPr>
          <w:sz w:val="24"/>
          <w:szCs w:val="24"/>
        </w:rPr>
        <w:t>podľa osobitných predpisov.</w:t>
      </w:r>
      <w:r w:rsidRPr="0050731A">
        <w:rPr>
          <w:rStyle w:val="Odkaznapoznmkupodiarou1"/>
          <w:sz w:val="24"/>
          <w:szCs w:val="24"/>
        </w:rPr>
        <w:footnoteReference w:id="7"/>
      </w:r>
      <w:r w:rsidR="00B8631A" w:rsidRPr="0050731A">
        <w:rPr>
          <w:sz w:val="24"/>
          <w:szCs w:val="24"/>
        </w:rPr>
        <w:t>)</w:t>
      </w:r>
      <w:r w:rsidRPr="00E5476D">
        <w:rPr>
          <w:sz w:val="24"/>
          <w:szCs w:val="24"/>
        </w:rPr>
        <w:t xml:space="preserve"> </w:t>
      </w:r>
      <w:r w:rsidR="0023385D">
        <w:rPr>
          <w:sz w:val="24"/>
          <w:szCs w:val="24"/>
        </w:rPr>
        <w:t>V</w:t>
      </w:r>
      <w:r w:rsidR="0023385D" w:rsidRPr="00F013D7">
        <w:rPr>
          <w:rFonts w:ascii="Times" w:hAnsi="Times" w:cs="Times"/>
          <w:sz w:val="24"/>
          <w:szCs w:val="24"/>
        </w:rPr>
        <w:t xml:space="preserve"> prípade porušenia finančnej disciplíny pri nakladaní s príspevkom štátu sa postupuje podľa osobitného predpisu</w:t>
      </w:r>
      <w:r w:rsidR="0023385D">
        <w:rPr>
          <w:rFonts w:ascii="Times" w:hAnsi="Times" w:cs="Times"/>
          <w:sz w:val="24"/>
          <w:szCs w:val="24"/>
        </w:rPr>
        <w:t>.</w:t>
      </w:r>
      <w:r w:rsidR="0023385D">
        <w:rPr>
          <w:rStyle w:val="Odkaznapoznmkupodiarou"/>
          <w:rFonts w:ascii="Times" w:hAnsi="Times" w:cs="Times"/>
          <w:sz w:val="24"/>
          <w:szCs w:val="24"/>
        </w:rPr>
        <w:footnoteReference w:id="8"/>
      </w:r>
      <w:r w:rsidR="0023385D">
        <w:rPr>
          <w:rFonts w:ascii="Times" w:hAnsi="Times" w:cs="Times"/>
          <w:sz w:val="24"/>
          <w:szCs w:val="24"/>
        </w:rPr>
        <w:t>)</w:t>
      </w:r>
    </w:p>
    <w:p w:rsidR="00C96282" w:rsidRDefault="00C96282" w:rsidP="00DE68E9">
      <w:pPr>
        <w:spacing w:after="0"/>
        <w:jc w:val="center"/>
        <w:rPr>
          <w:sz w:val="24"/>
          <w:szCs w:val="24"/>
        </w:rPr>
      </w:pPr>
    </w:p>
    <w:p w:rsidR="0012266A" w:rsidRPr="00656358" w:rsidRDefault="0012266A" w:rsidP="0012266A">
      <w:pPr>
        <w:spacing w:after="0"/>
        <w:jc w:val="center"/>
        <w:rPr>
          <w:b/>
          <w:color w:val="0070C0"/>
          <w:sz w:val="24"/>
          <w:szCs w:val="24"/>
        </w:rPr>
      </w:pPr>
      <w:r w:rsidRPr="00656358">
        <w:rPr>
          <w:b/>
          <w:color w:val="0070C0"/>
          <w:sz w:val="24"/>
          <w:szCs w:val="24"/>
        </w:rPr>
        <w:t xml:space="preserve">§ </w:t>
      </w:r>
      <w:r>
        <w:rPr>
          <w:b/>
          <w:color w:val="0070C0"/>
          <w:sz w:val="24"/>
          <w:szCs w:val="24"/>
        </w:rPr>
        <w:t>7</w:t>
      </w:r>
      <w:r w:rsidRPr="00656358">
        <w:rPr>
          <w:b/>
          <w:color w:val="0070C0"/>
          <w:sz w:val="24"/>
          <w:szCs w:val="24"/>
        </w:rPr>
        <w:t>a</w:t>
      </w:r>
    </w:p>
    <w:p w:rsidR="0012266A" w:rsidRPr="00656358" w:rsidRDefault="0012266A" w:rsidP="0012266A">
      <w:pPr>
        <w:spacing w:after="0"/>
        <w:jc w:val="center"/>
        <w:rPr>
          <w:b/>
          <w:color w:val="0070C0"/>
          <w:sz w:val="24"/>
          <w:szCs w:val="24"/>
        </w:rPr>
      </w:pPr>
      <w:r w:rsidRPr="00656358">
        <w:rPr>
          <w:b/>
          <w:color w:val="0070C0"/>
          <w:sz w:val="24"/>
          <w:szCs w:val="24"/>
        </w:rPr>
        <w:lastRenderedPageBreak/>
        <w:t>Prechodné ustanovenie</w:t>
      </w:r>
    </w:p>
    <w:p w:rsidR="0012266A" w:rsidRPr="00656358" w:rsidRDefault="0012266A" w:rsidP="0012266A">
      <w:pPr>
        <w:spacing w:after="0"/>
        <w:jc w:val="center"/>
        <w:rPr>
          <w:b/>
          <w:color w:val="0070C0"/>
          <w:sz w:val="24"/>
          <w:szCs w:val="24"/>
        </w:rPr>
      </w:pPr>
      <w:r w:rsidRPr="00656358">
        <w:rPr>
          <w:b/>
          <w:color w:val="0070C0"/>
          <w:sz w:val="24"/>
          <w:szCs w:val="24"/>
        </w:rPr>
        <w:t>k úpravám účinným od 1. januára 2025</w:t>
      </w:r>
    </w:p>
    <w:p w:rsidR="0012266A" w:rsidRPr="00656358" w:rsidRDefault="0012266A" w:rsidP="0012266A">
      <w:pPr>
        <w:spacing w:after="0"/>
        <w:jc w:val="center"/>
        <w:rPr>
          <w:b/>
          <w:color w:val="0070C0"/>
          <w:sz w:val="24"/>
          <w:szCs w:val="24"/>
        </w:rPr>
      </w:pPr>
    </w:p>
    <w:p w:rsidR="0012266A" w:rsidRPr="00656358" w:rsidRDefault="0012266A" w:rsidP="0012266A">
      <w:pPr>
        <w:spacing w:after="0"/>
        <w:jc w:val="both"/>
        <w:rPr>
          <w:color w:val="0070C0"/>
          <w:sz w:val="24"/>
          <w:szCs w:val="24"/>
        </w:rPr>
      </w:pPr>
      <w:r w:rsidRPr="00656358">
        <w:rPr>
          <w:color w:val="0070C0"/>
          <w:sz w:val="24"/>
          <w:szCs w:val="24"/>
        </w:rPr>
        <w:t xml:space="preserve">Príspevok štátu na rok 2025 určený podľa § 4 </w:t>
      </w:r>
      <w:r w:rsidRPr="0012266A">
        <w:rPr>
          <w:color w:val="0070C0"/>
          <w:sz w:val="24"/>
          <w:szCs w:val="24"/>
        </w:rPr>
        <w:t xml:space="preserve">v znení účinnom od 1. januára 2025 </w:t>
      </w:r>
      <w:r w:rsidRPr="00656358">
        <w:rPr>
          <w:color w:val="0070C0"/>
          <w:sz w:val="24"/>
          <w:szCs w:val="24"/>
        </w:rPr>
        <w:t xml:space="preserve">sa zvyšuje o sumu zodpovedajúcu </w:t>
      </w:r>
      <w:r w:rsidR="008D30B5">
        <w:rPr>
          <w:color w:val="0070C0"/>
          <w:sz w:val="24"/>
          <w:szCs w:val="24"/>
        </w:rPr>
        <w:t>10 %</w:t>
      </w:r>
      <w:r w:rsidRPr="00656358">
        <w:rPr>
          <w:color w:val="0070C0"/>
          <w:sz w:val="24"/>
          <w:szCs w:val="24"/>
        </w:rPr>
        <w:t xml:space="preserve"> sumy príspevku štátu poskytnutého cirkvám v roku 2024</w:t>
      </w:r>
      <w:r w:rsidR="008D30B5">
        <w:rPr>
          <w:color w:val="0070C0"/>
          <w:sz w:val="24"/>
          <w:szCs w:val="24"/>
        </w:rPr>
        <w:t xml:space="preserve">. </w:t>
      </w:r>
      <w:r w:rsidR="008D30B5" w:rsidRPr="008D30B5">
        <w:rPr>
          <w:color w:val="0070C0"/>
          <w:sz w:val="24"/>
          <w:szCs w:val="24"/>
        </w:rPr>
        <w:t>Suma podľa prvej vety, o ktorú sa navyšuje príspevok štátu na rok 2025 sa rozdelí medzi jednotlivé cirkvi v rovnakom pomere, ako sa príspevok štátu poskytol jednotlivým cirkvám v roku 2019 podľa prílohy č. 2.</w:t>
      </w:r>
      <w:r w:rsidRPr="00656358">
        <w:rPr>
          <w:color w:val="0070C0"/>
          <w:sz w:val="24"/>
          <w:szCs w:val="24"/>
        </w:rPr>
        <w:t xml:space="preserve"> </w:t>
      </w:r>
    </w:p>
    <w:p w:rsidR="0012266A" w:rsidRDefault="0012266A" w:rsidP="00DE68E9">
      <w:pPr>
        <w:spacing w:after="0"/>
        <w:jc w:val="center"/>
        <w:rPr>
          <w:sz w:val="24"/>
          <w:szCs w:val="24"/>
        </w:rPr>
      </w:pPr>
    </w:p>
    <w:p w:rsidR="00C96282" w:rsidRDefault="00C96282">
      <w:pPr>
        <w:spacing w:after="0"/>
        <w:jc w:val="center"/>
        <w:rPr>
          <w:b/>
          <w:sz w:val="24"/>
          <w:szCs w:val="24"/>
        </w:rPr>
      </w:pPr>
      <w:r w:rsidRPr="00C70F97">
        <w:rPr>
          <w:b/>
          <w:sz w:val="24"/>
          <w:szCs w:val="24"/>
        </w:rPr>
        <w:t xml:space="preserve">§ </w:t>
      </w:r>
      <w:r w:rsidR="00C2310E">
        <w:rPr>
          <w:b/>
          <w:sz w:val="24"/>
          <w:szCs w:val="24"/>
        </w:rPr>
        <w:t>8</w:t>
      </w:r>
    </w:p>
    <w:p w:rsidR="00853CFB" w:rsidRDefault="00853CFB">
      <w:pPr>
        <w:spacing w:after="0"/>
        <w:jc w:val="both"/>
        <w:rPr>
          <w:sz w:val="24"/>
          <w:szCs w:val="24"/>
        </w:rPr>
      </w:pPr>
    </w:p>
    <w:p w:rsidR="00C96282" w:rsidRDefault="00C96282">
      <w:pPr>
        <w:spacing w:after="0"/>
        <w:jc w:val="both"/>
        <w:rPr>
          <w:sz w:val="24"/>
          <w:szCs w:val="24"/>
        </w:rPr>
      </w:pPr>
      <w:r w:rsidRPr="00A22ACD">
        <w:rPr>
          <w:sz w:val="24"/>
          <w:szCs w:val="24"/>
        </w:rPr>
        <w:t>Zrušujú sa:</w:t>
      </w:r>
    </w:p>
    <w:p w:rsidR="009632C8" w:rsidRDefault="00C873D2" w:rsidP="00DE68E9">
      <w:pPr>
        <w:numPr>
          <w:ilvl w:val="0"/>
          <w:numId w:val="26"/>
        </w:numPr>
        <w:spacing w:after="0"/>
        <w:ind w:left="426" w:hanging="426"/>
        <w:jc w:val="both"/>
        <w:rPr>
          <w:sz w:val="24"/>
          <w:szCs w:val="24"/>
        </w:rPr>
      </w:pPr>
      <w:r>
        <w:rPr>
          <w:sz w:val="24"/>
          <w:szCs w:val="24"/>
        </w:rPr>
        <w:t>z</w:t>
      </w:r>
      <w:r w:rsidR="00C96282" w:rsidRPr="00A22ACD">
        <w:rPr>
          <w:sz w:val="24"/>
          <w:szCs w:val="24"/>
        </w:rPr>
        <w:t>ákon č. 218/1949 Zb. o hospodárskom zabezpečení cirkví a náboženských spoločností štátom v znení zákona č. 88/1950 Zb., zákona č. 16/1990 Zb., zákona č. 522/1992 Zb., zákona č. 467/2005 Z. z.</w:t>
      </w:r>
      <w:r w:rsidR="00957FD0">
        <w:rPr>
          <w:sz w:val="24"/>
          <w:szCs w:val="24"/>
        </w:rPr>
        <w:t xml:space="preserve">, </w:t>
      </w:r>
      <w:r w:rsidR="00C96282" w:rsidRPr="00A22ACD">
        <w:rPr>
          <w:sz w:val="24"/>
          <w:szCs w:val="24"/>
        </w:rPr>
        <w:t>zákona č. 462/2013 Z. z.</w:t>
      </w:r>
      <w:r w:rsidR="00957FD0">
        <w:rPr>
          <w:sz w:val="24"/>
          <w:szCs w:val="24"/>
        </w:rPr>
        <w:t xml:space="preserve"> a zákona č. 318/2018 Z. z.</w:t>
      </w:r>
      <w:r w:rsidR="00477293">
        <w:rPr>
          <w:sz w:val="24"/>
          <w:szCs w:val="24"/>
        </w:rPr>
        <w:t>,</w:t>
      </w:r>
    </w:p>
    <w:p w:rsidR="009632C8" w:rsidRPr="0031398B" w:rsidRDefault="00C873D2" w:rsidP="00DE68E9">
      <w:pPr>
        <w:numPr>
          <w:ilvl w:val="0"/>
          <w:numId w:val="26"/>
        </w:numPr>
        <w:spacing w:after="0"/>
        <w:ind w:left="426" w:hanging="426"/>
        <w:jc w:val="both"/>
        <w:rPr>
          <w:sz w:val="24"/>
          <w:szCs w:val="24"/>
        </w:rPr>
      </w:pPr>
      <w:r>
        <w:rPr>
          <w:sz w:val="24"/>
          <w:szCs w:val="24"/>
        </w:rPr>
        <w:t>n</w:t>
      </w:r>
      <w:r w:rsidR="00C96282" w:rsidRPr="009632C8">
        <w:rPr>
          <w:sz w:val="24"/>
          <w:szCs w:val="24"/>
        </w:rPr>
        <w:t>ariadenie vlády Slovenskej republiky č. 299/2007 Z. z. o úprave osobných pôžitkov poskytovaných duchovným cirkví a náboženských spoločností v znení nariadenia vlády Slovenskej republiky č. 610/2007 Z. z., nariadenia vlády Slovenskej republiky č.</w:t>
      </w:r>
      <w:r w:rsidR="00525070">
        <w:rPr>
          <w:sz w:val="24"/>
          <w:szCs w:val="24"/>
        </w:rPr>
        <w:t> </w:t>
      </w:r>
      <w:r w:rsidR="00C96282" w:rsidRPr="009632C8">
        <w:rPr>
          <w:sz w:val="24"/>
          <w:szCs w:val="24"/>
        </w:rPr>
        <w:t>611/2008 Z. z., nariadenia vlády Slovenskej republiky č. 566/2009 Z. z., nariadenia vlády Slovenskej republiky č. 508/2013 Z. z., nariadenia vlády Slovenskej republiky č.</w:t>
      </w:r>
      <w:r w:rsidR="00525070">
        <w:rPr>
          <w:sz w:val="24"/>
          <w:szCs w:val="24"/>
        </w:rPr>
        <w:t> </w:t>
      </w:r>
      <w:r w:rsidR="00C96282" w:rsidRPr="009632C8">
        <w:rPr>
          <w:sz w:val="24"/>
          <w:szCs w:val="24"/>
        </w:rPr>
        <w:t>420/2014 Z. z., nariadenia vlády Slovenskej republiky č. 3/2016 Z. z.</w:t>
      </w:r>
      <w:r w:rsidR="009632C8">
        <w:rPr>
          <w:sz w:val="24"/>
          <w:szCs w:val="24"/>
        </w:rPr>
        <w:t xml:space="preserve">, </w:t>
      </w:r>
      <w:r w:rsidR="00C96282" w:rsidRPr="009632C8">
        <w:rPr>
          <w:sz w:val="24"/>
          <w:szCs w:val="24"/>
        </w:rPr>
        <w:t xml:space="preserve"> nariadenia vlády Slovenskej republiky č. 395/2016 Z. </w:t>
      </w:r>
      <w:r w:rsidR="00C96282" w:rsidRPr="00EF748F">
        <w:rPr>
          <w:sz w:val="24"/>
          <w:szCs w:val="24"/>
        </w:rPr>
        <w:t>z</w:t>
      </w:r>
      <w:r w:rsidR="00C96282" w:rsidRPr="0031398B">
        <w:rPr>
          <w:sz w:val="24"/>
          <w:szCs w:val="24"/>
        </w:rPr>
        <w:t>.</w:t>
      </w:r>
      <w:r w:rsidR="009632C8" w:rsidRPr="0031398B">
        <w:rPr>
          <w:sz w:val="24"/>
          <w:szCs w:val="24"/>
        </w:rPr>
        <w:t xml:space="preserve"> a nariadenia vlády Slovens</w:t>
      </w:r>
      <w:r w:rsidR="00526A49">
        <w:rPr>
          <w:sz w:val="24"/>
          <w:szCs w:val="24"/>
        </w:rPr>
        <w:t>kej republiky č.</w:t>
      </w:r>
      <w:r w:rsidR="00525070">
        <w:rPr>
          <w:sz w:val="24"/>
          <w:szCs w:val="24"/>
        </w:rPr>
        <w:t> </w:t>
      </w:r>
      <w:r w:rsidR="00526A49">
        <w:rPr>
          <w:sz w:val="24"/>
          <w:szCs w:val="24"/>
        </w:rPr>
        <w:t>360/2017 Z. z.</w:t>
      </w:r>
    </w:p>
    <w:p w:rsidR="00656358" w:rsidRPr="00A22ACD" w:rsidRDefault="00656358" w:rsidP="00DE68E9">
      <w:pPr>
        <w:spacing w:after="0"/>
        <w:jc w:val="center"/>
        <w:rPr>
          <w:sz w:val="24"/>
          <w:szCs w:val="24"/>
        </w:rPr>
      </w:pPr>
    </w:p>
    <w:p w:rsidR="00C96282" w:rsidRPr="00457B65" w:rsidRDefault="00C96282">
      <w:pPr>
        <w:spacing w:after="0"/>
        <w:jc w:val="center"/>
        <w:rPr>
          <w:b/>
          <w:sz w:val="24"/>
          <w:szCs w:val="24"/>
        </w:rPr>
      </w:pPr>
      <w:r w:rsidRPr="00457B65">
        <w:rPr>
          <w:b/>
          <w:sz w:val="24"/>
          <w:szCs w:val="24"/>
        </w:rPr>
        <w:t xml:space="preserve">§ </w:t>
      </w:r>
      <w:r w:rsidR="0060383E">
        <w:rPr>
          <w:b/>
          <w:sz w:val="24"/>
          <w:szCs w:val="24"/>
        </w:rPr>
        <w:t>9</w:t>
      </w:r>
    </w:p>
    <w:p w:rsidR="00C96282" w:rsidRPr="00A22ACD" w:rsidRDefault="00C96282">
      <w:pPr>
        <w:spacing w:after="0"/>
        <w:jc w:val="center"/>
        <w:rPr>
          <w:sz w:val="24"/>
          <w:szCs w:val="24"/>
        </w:rPr>
      </w:pPr>
    </w:p>
    <w:p w:rsidR="00C96282" w:rsidRDefault="00C96282">
      <w:pPr>
        <w:spacing w:after="0"/>
        <w:jc w:val="both"/>
        <w:rPr>
          <w:sz w:val="24"/>
          <w:szCs w:val="24"/>
        </w:rPr>
      </w:pPr>
      <w:r w:rsidRPr="00A22ACD">
        <w:rPr>
          <w:sz w:val="24"/>
          <w:szCs w:val="24"/>
        </w:rPr>
        <w:t xml:space="preserve">Tento zákon nadobúda účinnosť </w:t>
      </w:r>
      <w:r w:rsidRPr="0031398B">
        <w:rPr>
          <w:sz w:val="24"/>
          <w:szCs w:val="24"/>
        </w:rPr>
        <w:t>1. januára 20</w:t>
      </w:r>
      <w:r w:rsidR="0002509F" w:rsidRPr="007C4B83">
        <w:rPr>
          <w:sz w:val="24"/>
          <w:szCs w:val="24"/>
        </w:rPr>
        <w:t>20</w:t>
      </w:r>
      <w:r w:rsidRPr="0031398B">
        <w:rPr>
          <w:sz w:val="24"/>
          <w:szCs w:val="24"/>
        </w:rPr>
        <w:t>.</w:t>
      </w:r>
      <w:r w:rsidRPr="00A22ACD">
        <w:rPr>
          <w:sz w:val="24"/>
          <w:szCs w:val="24"/>
        </w:rPr>
        <w:t xml:space="preserve"> </w:t>
      </w:r>
    </w:p>
    <w:p w:rsidR="00C24BEB" w:rsidRDefault="00C24BEB">
      <w:pPr>
        <w:spacing w:after="0"/>
        <w:jc w:val="both"/>
        <w:rPr>
          <w:sz w:val="24"/>
          <w:szCs w:val="24"/>
        </w:rPr>
      </w:pPr>
    </w:p>
    <w:p w:rsidR="00C24BEB" w:rsidRDefault="00C24BEB">
      <w:pPr>
        <w:spacing w:after="0"/>
        <w:jc w:val="both"/>
        <w:rPr>
          <w:sz w:val="24"/>
          <w:szCs w:val="24"/>
        </w:rPr>
      </w:pPr>
    </w:p>
    <w:p w:rsidR="00C24BEB" w:rsidRDefault="00C24BEB">
      <w:pPr>
        <w:spacing w:after="0"/>
        <w:jc w:val="both"/>
        <w:rPr>
          <w:sz w:val="24"/>
          <w:szCs w:val="24"/>
        </w:rPr>
      </w:pPr>
    </w:p>
    <w:p w:rsidR="00D13867" w:rsidRPr="00D13867" w:rsidRDefault="00D13867" w:rsidP="00D13867">
      <w:pPr>
        <w:spacing w:after="0"/>
        <w:jc w:val="center"/>
        <w:rPr>
          <w:sz w:val="24"/>
          <w:szCs w:val="24"/>
        </w:rPr>
      </w:pPr>
      <w:r w:rsidRPr="00D13867">
        <w:rPr>
          <w:sz w:val="24"/>
          <w:szCs w:val="24"/>
        </w:rPr>
        <w:t>Zuzana Čaputová v. r.</w:t>
      </w:r>
    </w:p>
    <w:p w:rsidR="000E79F0" w:rsidRDefault="00C24BEB" w:rsidP="00C24BEB">
      <w:pPr>
        <w:spacing w:after="0"/>
        <w:jc w:val="center"/>
        <w:rPr>
          <w:sz w:val="24"/>
          <w:szCs w:val="24"/>
        </w:rPr>
      </w:pPr>
      <w:r>
        <w:rPr>
          <w:sz w:val="24"/>
          <w:szCs w:val="24"/>
        </w:rPr>
        <w:t>prezidentka Slovenskej republiky</w:t>
      </w:r>
    </w:p>
    <w:p w:rsidR="00C24BEB" w:rsidRDefault="00C24BEB" w:rsidP="00C24BEB">
      <w:pPr>
        <w:spacing w:after="0"/>
        <w:jc w:val="center"/>
        <w:rPr>
          <w:sz w:val="24"/>
          <w:szCs w:val="24"/>
        </w:rPr>
      </w:pPr>
    </w:p>
    <w:p w:rsidR="00C24BEB" w:rsidRDefault="00C24BEB" w:rsidP="00C24BEB">
      <w:pPr>
        <w:spacing w:after="0"/>
        <w:jc w:val="center"/>
        <w:rPr>
          <w:sz w:val="24"/>
          <w:szCs w:val="24"/>
        </w:rPr>
      </w:pPr>
    </w:p>
    <w:p w:rsidR="00C24BEB" w:rsidRDefault="00D13867" w:rsidP="00C24BEB">
      <w:pPr>
        <w:spacing w:after="0"/>
        <w:jc w:val="center"/>
        <w:rPr>
          <w:sz w:val="24"/>
          <w:szCs w:val="24"/>
        </w:rPr>
      </w:pPr>
      <w:r w:rsidRPr="00D13867">
        <w:rPr>
          <w:sz w:val="24"/>
          <w:szCs w:val="24"/>
        </w:rPr>
        <w:t>Andrej Danko v. r.</w:t>
      </w:r>
    </w:p>
    <w:p w:rsidR="00C24BEB" w:rsidRDefault="00C24BEB" w:rsidP="00C24BEB">
      <w:pPr>
        <w:spacing w:after="0"/>
        <w:jc w:val="center"/>
        <w:rPr>
          <w:sz w:val="24"/>
          <w:szCs w:val="24"/>
        </w:rPr>
      </w:pPr>
      <w:r>
        <w:rPr>
          <w:sz w:val="24"/>
          <w:szCs w:val="24"/>
        </w:rPr>
        <w:t>predseda Národnej rady Slovenskej republiky</w:t>
      </w:r>
    </w:p>
    <w:p w:rsidR="00C24BEB" w:rsidRDefault="00C24BEB" w:rsidP="00C24BEB">
      <w:pPr>
        <w:spacing w:after="0"/>
        <w:jc w:val="center"/>
        <w:rPr>
          <w:sz w:val="24"/>
          <w:szCs w:val="24"/>
        </w:rPr>
      </w:pPr>
    </w:p>
    <w:p w:rsidR="00C24BEB" w:rsidRDefault="00C24BEB" w:rsidP="00C24BEB">
      <w:pPr>
        <w:spacing w:after="0"/>
        <w:jc w:val="center"/>
        <w:rPr>
          <w:sz w:val="24"/>
          <w:szCs w:val="24"/>
        </w:rPr>
      </w:pPr>
    </w:p>
    <w:p w:rsidR="00C24BEB" w:rsidRDefault="00D13867" w:rsidP="00C24BEB">
      <w:pPr>
        <w:spacing w:after="0"/>
        <w:jc w:val="center"/>
        <w:rPr>
          <w:sz w:val="24"/>
          <w:szCs w:val="24"/>
        </w:rPr>
      </w:pPr>
      <w:r w:rsidRPr="00D13867">
        <w:rPr>
          <w:sz w:val="24"/>
          <w:szCs w:val="24"/>
        </w:rPr>
        <w:t>Peter Pellegrini v. r.</w:t>
      </w:r>
    </w:p>
    <w:p w:rsidR="00C24BEB" w:rsidRDefault="00C24BEB" w:rsidP="00C24BEB">
      <w:pPr>
        <w:spacing w:after="0"/>
        <w:jc w:val="center"/>
        <w:rPr>
          <w:sz w:val="24"/>
          <w:szCs w:val="24"/>
        </w:rPr>
      </w:pPr>
      <w:r>
        <w:rPr>
          <w:sz w:val="24"/>
          <w:szCs w:val="24"/>
        </w:rPr>
        <w:t>predseda vlády Slovenskej republiky</w:t>
      </w:r>
    </w:p>
    <w:p w:rsidR="000E79F0" w:rsidRDefault="00CD6666" w:rsidP="0091785E">
      <w:pPr>
        <w:spacing w:after="0"/>
        <w:jc w:val="both"/>
        <w:rPr>
          <w:sz w:val="24"/>
          <w:szCs w:val="24"/>
        </w:rPr>
      </w:pPr>
      <w:r>
        <w:rPr>
          <w:sz w:val="24"/>
          <w:szCs w:val="24"/>
        </w:rPr>
        <w:br w:type="page"/>
      </w:r>
    </w:p>
    <w:p w:rsidR="0091785E" w:rsidRPr="00526A49" w:rsidRDefault="0091785E" w:rsidP="000E79F0">
      <w:pPr>
        <w:spacing w:after="0"/>
        <w:jc w:val="right"/>
        <w:rPr>
          <w:b/>
          <w:sz w:val="24"/>
          <w:szCs w:val="24"/>
        </w:rPr>
      </w:pPr>
      <w:r w:rsidRPr="00526A49">
        <w:rPr>
          <w:b/>
          <w:sz w:val="24"/>
          <w:szCs w:val="24"/>
        </w:rPr>
        <w:lastRenderedPageBreak/>
        <w:t>Príloha</w:t>
      </w:r>
      <w:r w:rsidR="00940E05" w:rsidRPr="00526A49">
        <w:rPr>
          <w:b/>
          <w:sz w:val="24"/>
          <w:szCs w:val="24"/>
        </w:rPr>
        <w:t xml:space="preserve"> č. 1</w:t>
      </w:r>
      <w:r w:rsidR="00526A49" w:rsidRPr="00526A49">
        <w:rPr>
          <w:b/>
          <w:sz w:val="24"/>
          <w:szCs w:val="24"/>
        </w:rPr>
        <w:t xml:space="preserve"> k zákonu č. </w:t>
      </w:r>
      <w:r w:rsidR="00656358">
        <w:rPr>
          <w:b/>
          <w:sz w:val="24"/>
          <w:szCs w:val="24"/>
        </w:rPr>
        <w:t>370</w:t>
      </w:r>
      <w:r w:rsidR="00526A49" w:rsidRPr="00526A49">
        <w:rPr>
          <w:b/>
          <w:sz w:val="24"/>
          <w:szCs w:val="24"/>
        </w:rPr>
        <w:t>/2019 Z. z.</w:t>
      </w:r>
    </w:p>
    <w:p w:rsidR="00D13867" w:rsidRDefault="00D13867" w:rsidP="00F87128">
      <w:pPr>
        <w:spacing w:after="0"/>
        <w:rPr>
          <w:b/>
          <w:sz w:val="24"/>
          <w:szCs w:val="24"/>
        </w:rPr>
      </w:pPr>
    </w:p>
    <w:p w:rsidR="00656358" w:rsidRPr="00656358" w:rsidRDefault="00656358" w:rsidP="00656358">
      <w:pPr>
        <w:suppressAutoHyphens w:val="0"/>
        <w:ind w:left="720"/>
        <w:contextualSpacing/>
        <w:jc w:val="center"/>
        <w:rPr>
          <w:rFonts w:eastAsia="Calibri"/>
          <w:b/>
          <w:bCs/>
          <w:color w:val="0070C0"/>
          <w:sz w:val="24"/>
          <w:szCs w:val="24"/>
          <w:shd w:val="clear" w:color="auto" w:fill="FFFFFF"/>
        </w:rPr>
      </w:pPr>
      <w:r w:rsidRPr="00656358">
        <w:rPr>
          <w:rFonts w:eastAsia="Calibri"/>
          <w:b/>
          <w:bCs/>
          <w:color w:val="0070C0"/>
          <w:sz w:val="24"/>
          <w:szCs w:val="24"/>
          <w:shd w:val="clear" w:color="auto" w:fill="FFFFFF"/>
        </w:rPr>
        <w:t xml:space="preserve">Vzorec na výpočet </w:t>
      </w:r>
      <w:r w:rsidR="008D30B5">
        <w:rPr>
          <w:rFonts w:eastAsia="Calibri"/>
          <w:b/>
          <w:bCs/>
          <w:color w:val="0070C0"/>
          <w:sz w:val="24"/>
          <w:szCs w:val="24"/>
          <w:shd w:val="clear" w:color="auto" w:fill="FFFFFF"/>
        </w:rPr>
        <w:t xml:space="preserve">sumy </w:t>
      </w:r>
      <w:r w:rsidRPr="00656358">
        <w:rPr>
          <w:rFonts w:eastAsia="Calibri"/>
          <w:b/>
          <w:bCs/>
          <w:color w:val="0070C0"/>
          <w:sz w:val="24"/>
          <w:szCs w:val="24"/>
          <w:shd w:val="clear" w:color="auto" w:fill="FFFFFF"/>
        </w:rPr>
        <w:t>príspevku štátu</w:t>
      </w:r>
    </w:p>
    <w:p w:rsidR="00656358" w:rsidRPr="00656358" w:rsidRDefault="00656358" w:rsidP="00656358">
      <w:pPr>
        <w:suppressAutoHyphens w:val="0"/>
        <w:ind w:left="720"/>
        <w:contextualSpacing/>
        <w:jc w:val="center"/>
        <w:rPr>
          <w:rFonts w:eastAsia="Calibri"/>
          <w:b/>
          <w:bCs/>
          <w:color w:val="0070C0"/>
          <w:sz w:val="24"/>
          <w:szCs w:val="24"/>
          <w:shd w:val="clear" w:color="auto" w:fill="FFFFFF"/>
        </w:rPr>
      </w:pPr>
    </w:p>
    <w:p w:rsidR="00656358" w:rsidRPr="00656358" w:rsidRDefault="00656358" w:rsidP="00656358">
      <w:pPr>
        <w:suppressAutoHyphens w:val="0"/>
        <w:ind w:left="720"/>
        <w:contextualSpacing/>
        <w:jc w:val="both"/>
        <w:rPr>
          <w:rFonts w:eastAsia="Calibri"/>
          <w:bCs/>
          <w:color w:val="0070C0"/>
          <w:sz w:val="24"/>
          <w:szCs w:val="24"/>
          <w:shd w:val="clear" w:color="auto" w:fill="FFFFFF"/>
        </w:rPr>
      </w:pPr>
      <w:r w:rsidRPr="00656358">
        <w:rPr>
          <w:rFonts w:eastAsia="Calibri"/>
          <w:b/>
          <w:bCs/>
          <w:color w:val="0070C0"/>
          <w:sz w:val="24"/>
          <w:szCs w:val="24"/>
          <w:shd w:val="clear" w:color="auto" w:fill="FFFFFF"/>
        </w:rPr>
        <w:t>P</w:t>
      </w:r>
      <w:r w:rsidRPr="00656358">
        <w:rPr>
          <w:rFonts w:eastAsia="Calibri"/>
          <w:b/>
          <w:bCs/>
          <w:color w:val="0070C0"/>
          <w:sz w:val="24"/>
          <w:szCs w:val="24"/>
          <w:shd w:val="clear" w:color="auto" w:fill="FFFFFF"/>
          <w:vertAlign w:val="subscript"/>
        </w:rPr>
        <w:t>t</w:t>
      </w:r>
      <w:r w:rsidRPr="00656358">
        <w:rPr>
          <w:rFonts w:eastAsia="Calibri"/>
          <w:b/>
          <w:bCs/>
          <w:color w:val="0070C0"/>
          <w:sz w:val="24"/>
          <w:szCs w:val="24"/>
          <w:shd w:val="clear" w:color="auto" w:fill="FFFFFF"/>
        </w:rPr>
        <w:t xml:space="preserve"> = P</w:t>
      </w:r>
      <w:r w:rsidRPr="00656358">
        <w:rPr>
          <w:rFonts w:eastAsia="Calibri"/>
          <w:b/>
          <w:bCs/>
          <w:color w:val="0070C0"/>
          <w:sz w:val="24"/>
          <w:szCs w:val="24"/>
          <w:shd w:val="clear" w:color="auto" w:fill="FFFFFF"/>
          <w:vertAlign w:val="subscript"/>
        </w:rPr>
        <w:t>t-1</w:t>
      </w:r>
      <w:r w:rsidRPr="00656358">
        <w:rPr>
          <w:rFonts w:eastAsia="Calibri"/>
          <w:b/>
          <w:bCs/>
          <w:color w:val="0070C0"/>
          <w:sz w:val="24"/>
          <w:szCs w:val="24"/>
          <w:shd w:val="clear" w:color="auto" w:fill="FFFFFF"/>
        </w:rPr>
        <w:t xml:space="preserve"> + 1,1 </w:t>
      </w:r>
      <w:r w:rsidR="008D30B5">
        <w:rPr>
          <w:rFonts w:eastAsia="Calibri"/>
          <w:b/>
          <w:bCs/>
          <w:color w:val="0070C0"/>
          <w:sz w:val="24"/>
          <w:szCs w:val="24"/>
          <w:shd w:val="clear" w:color="auto" w:fill="FFFFFF"/>
        </w:rPr>
        <w:t>×</w:t>
      </w:r>
      <w:r w:rsidRPr="00656358">
        <w:rPr>
          <w:rFonts w:eastAsia="Calibri"/>
          <w:b/>
          <w:bCs/>
          <w:color w:val="0070C0"/>
          <w:sz w:val="24"/>
          <w:szCs w:val="24"/>
          <w:shd w:val="clear" w:color="auto" w:fill="FFFFFF"/>
        </w:rPr>
        <w:t xml:space="preserve"> (P</w:t>
      </w:r>
      <w:r w:rsidRPr="00656358">
        <w:rPr>
          <w:rFonts w:eastAsia="Calibri"/>
          <w:b/>
          <w:bCs/>
          <w:color w:val="0070C0"/>
          <w:sz w:val="24"/>
          <w:szCs w:val="24"/>
          <w:shd w:val="clear" w:color="auto" w:fill="FFFFFF"/>
          <w:vertAlign w:val="subscript"/>
        </w:rPr>
        <w:t>t-1</w:t>
      </w:r>
      <w:r w:rsidRPr="00656358">
        <w:rPr>
          <w:rFonts w:eastAsia="Calibri"/>
          <w:b/>
          <w:bCs/>
          <w:color w:val="0070C0"/>
          <w:sz w:val="24"/>
          <w:szCs w:val="24"/>
          <w:shd w:val="clear" w:color="auto" w:fill="FFFFFF"/>
        </w:rPr>
        <w:t xml:space="preserve"> </w:t>
      </w:r>
      <w:r w:rsidR="008D30B5">
        <w:rPr>
          <w:rFonts w:eastAsia="Calibri"/>
          <w:b/>
          <w:bCs/>
          <w:color w:val="0070C0"/>
          <w:sz w:val="24"/>
          <w:szCs w:val="24"/>
          <w:shd w:val="clear" w:color="auto" w:fill="FFFFFF"/>
        </w:rPr>
        <w:t>×</w:t>
      </w:r>
      <w:r w:rsidRPr="00656358">
        <w:rPr>
          <w:rFonts w:eastAsia="Calibri"/>
          <w:b/>
          <w:bCs/>
          <w:color w:val="0070C0"/>
          <w:sz w:val="24"/>
          <w:szCs w:val="24"/>
          <w:shd w:val="clear" w:color="auto" w:fill="FFFFFF"/>
        </w:rPr>
        <w:t xml:space="preserve"> (M</w:t>
      </w:r>
      <w:r w:rsidRPr="00656358">
        <w:rPr>
          <w:rFonts w:eastAsia="Calibri"/>
          <w:b/>
          <w:bCs/>
          <w:color w:val="0070C0"/>
          <w:sz w:val="24"/>
          <w:szCs w:val="24"/>
          <w:shd w:val="clear" w:color="auto" w:fill="FFFFFF"/>
          <w:vertAlign w:val="subscript"/>
        </w:rPr>
        <w:t>t-1</w:t>
      </w:r>
      <w:r w:rsidRPr="00656358">
        <w:rPr>
          <w:rFonts w:eastAsia="Calibri"/>
          <w:b/>
          <w:bCs/>
          <w:color w:val="0070C0"/>
          <w:sz w:val="24"/>
          <w:szCs w:val="24"/>
          <w:shd w:val="clear" w:color="auto" w:fill="FFFFFF"/>
        </w:rPr>
        <w:t>/M</w:t>
      </w:r>
      <w:r w:rsidRPr="00656358">
        <w:rPr>
          <w:rFonts w:eastAsia="Calibri"/>
          <w:b/>
          <w:bCs/>
          <w:color w:val="0070C0"/>
          <w:sz w:val="24"/>
          <w:szCs w:val="24"/>
          <w:shd w:val="clear" w:color="auto" w:fill="FFFFFF"/>
          <w:vertAlign w:val="subscript"/>
        </w:rPr>
        <w:t>t-2</w:t>
      </w:r>
      <w:r w:rsidRPr="00656358">
        <w:rPr>
          <w:rFonts w:eastAsia="Calibri"/>
          <w:b/>
          <w:bCs/>
          <w:color w:val="0070C0"/>
          <w:sz w:val="24"/>
          <w:szCs w:val="24"/>
          <w:shd w:val="clear" w:color="auto" w:fill="FFFFFF"/>
        </w:rPr>
        <w:t>) – P</w:t>
      </w:r>
      <w:r w:rsidRPr="00656358">
        <w:rPr>
          <w:rFonts w:eastAsia="Calibri"/>
          <w:b/>
          <w:bCs/>
          <w:color w:val="0070C0"/>
          <w:sz w:val="24"/>
          <w:szCs w:val="24"/>
          <w:shd w:val="clear" w:color="auto" w:fill="FFFFFF"/>
          <w:vertAlign w:val="subscript"/>
        </w:rPr>
        <w:t>t-1</w:t>
      </w:r>
      <w:r w:rsidRPr="00656358">
        <w:rPr>
          <w:rFonts w:eastAsia="Calibri"/>
          <w:b/>
          <w:bCs/>
          <w:color w:val="0070C0"/>
          <w:sz w:val="24"/>
          <w:szCs w:val="24"/>
          <w:shd w:val="clear" w:color="auto" w:fill="FFFFFF"/>
        </w:rPr>
        <w:t>)</w:t>
      </w:r>
      <w:r w:rsidRPr="00656358">
        <w:rPr>
          <w:rFonts w:eastAsia="Calibri"/>
          <w:bCs/>
          <w:color w:val="0070C0"/>
          <w:sz w:val="24"/>
          <w:szCs w:val="24"/>
          <w:shd w:val="clear" w:color="auto" w:fill="FFFFFF"/>
        </w:rPr>
        <w:t>, pričom</w:t>
      </w:r>
    </w:p>
    <w:p w:rsidR="00656358" w:rsidRPr="00656358" w:rsidRDefault="00656358" w:rsidP="00656358">
      <w:pPr>
        <w:suppressAutoHyphens w:val="0"/>
        <w:ind w:left="720"/>
        <w:contextualSpacing/>
        <w:jc w:val="both"/>
        <w:rPr>
          <w:rFonts w:eastAsia="Calibri"/>
          <w:bCs/>
          <w:color w:val="0070C0"/>
          <w:sz w:val="24"/>
          <w:szCs w:val="24"/>
          <w:shd w:val="clear" w:color="auto" w:fill="FFFFFF"/>
        </w:rPr>
      </w:pPr>
    </w:p>
    <w:p w:rsidR="00656358" w:rsidRPr="00656358" w:rsidRDefault="00656358" w:rsidP="00656358">
      <w:pPr>
        <w:suppressAutoHyphens w:val="0"/>
        <w:ind w:left="720"/>
        <w:contextualSpacing/>
        <w:jc w:val="both"/>
        <w:rPr>
          <w:rFonts w:eastAsia="Calibri"/>
          <w:bCs/>
          <w:color w:val="0070C0"/>
          <w:sz w:val="24"/>
          <w:szCs w:val="24"/>
          <w:shd w:val="clear" w:color="auto" w:fill="FFFFFF"/>
        </w:rPr>
      </w:pPr>
      <w:r w:rsidRPr="00656358">
        <w:rPr>
          <w:rFonts w:eastAsia="Calibri"/>
          <w:bCs/>
          <w:color w:val="0070C0"/>
          <w:sz w:val="24"/>
          <w:szCs w:val="24"/>
          <w:shd w:val="clear" w:color="auto" w:fill="FFFFFF"/>
        </w:rPr>
        <w:t>(M</w:t>
      </w:r>
      <w:r w:rsidRPr="00656358">
        <w:rPr>
          <w:rFonts w:eastAsia="Calibri"/>
          <w:bCs/>
          <w:color w:val="0070C0"/>
          <w:sz w:val="24"/>
          <w:szCs w:val="24"/>
          <w:shd w:val="clear" w:color="auto" w:fill="FFFFFF"/>
          <w:vertAlign w:val="subscript"/>
        </w:rPr>
        <w:t>t-1</w:t>
      </w:r>
      <w:r w:rsidRPr="00656358">
        <w:rPr>
          <w:rFonts w:eastAsia="Calibri"/>
          <w:bCs/>
          <w:color w:val="0070C0"/>
          <w:sz w:val="24"/>
          <w:szCs w:val="24"/>
          <w:shd w:val="clear" w:color="auto" w:fill="FFFFFF"/>
        </w:rPr>
        <w:t>/M</w:t>
      </w:r>
      <w:r w:rsidRPr="00656358">
        <w:rPr>
          <w:rFonts w:eastAsia="Calibri"/>
          <w:bCs/>
          <w:color w:val="0070C0"/>
          <w:sz w:val="24"/>
          <w:szCs w:val="24"/>
          <w:shd w:val="clear" w:color="auto" w:fill="FFFFFF"/>
          <w:vertAlign w:val="subscript"/>
        </w:rPr>
        <w:t>t-2</w:t>
      </w:r>
      <w:r w:rsidRPr="00656358">
        <w:rPr>
          <w:rFonts w:eastAsia="Calibri"/>
          <w:bCs/>
          <w:color w:val="0070C0"/>
          <w:sz w:val="24"/>
          <w:szCs w:val="24"/>
          <w:shd w:val="clear" w:color="auto" w:fill="FFFFFF"/>
        </w:rPr>
        <w:t>) ≥ 1</w:t>
      </w:r>
    </w:p>
    <w:p w:rsidR="00656358" w:rsidRPr="00656358" w:rsidRDefault="00656358" w:rsidP="00656358">
      <w:pPr>
        <w:suppressAutoHyphens w:val="0"/>
        <w:ind w:left="720"/>
        <w:contextualSpacing/>
        <w:jc w:val="both"/>
        <w:rPr>
          <w:rFonts w:eastAsia="Calibri"/>
          <w:bCs/>
          <w:color w:val="0070C0"/>
          <w:sz w:val="24"/>
          <w:szCs w:val="24"/>
          <w:shd w:val="clear" w:color="auto" w:fill="FFFFFF"/>
        </w:rPr>
      </w:pPr>
      <w:r w:rsidRPr="00656358">
        <w:rPr>
          <w:rFonts w:eastAsia="Calibri"/>
          <w:bCs/>
          <w:color w:val="0070C0"/>
          <w:sz w:val="24"/>
          <w:szCs w:val="24"/>
          <w:shd w:val="clear" w:color="auto" w:fill="FFFFFF"/>
        </w:rPr>
        <w:t>Ak hodnota (M</w:t>
      </w:r>
      <w:r w:rsidRPr="00656358">
        <w:rPr>
          <w:rFonts w:eastAsia="Calibri"/>
          <w:bCs/>
          <w:color w:val="0070C0"/>
          <w:sz w:val="24"/>
          <w:szCs w:val="24"/>
          <w:shd w:val="clear" w:color="auto" w:fill="FFFFFF"/>
          <w:vertAlign w:val="subscript"/>
        </w:rPr>
        <w:t>t-1</w:t>
      </w:r>
      <w:r w:rsidRPr="00656358">
        <w:rPr>
          <w:rFonts w:eastAsia="Calibri"/>
          <w:bCs/>
          <w:color w:val="0070C0"/>
          <w:sz w:val="24"/>
          <w:szCs w:val="24"/>
          <w:shd w:val="clear" w:color="auto" w:fill="FFFFFF"/>
        </w:rPr>
        <w:t>/M</w:t>
      </w:r>
      <w:r w:rsidRPr="00656358">
        <w:rPr>
          <w:rFonts w:eastAsia="Calibri"/>
          <w:bCs/>
          <w:color w:val="0070C0"/>
          <w:sz w:val="24"/>
          <w:szCs w:val="24"/>
          <w:shd w:val="clear" w:color="auto" w:fill="FFFFFF"/>
          <w:vertAlign w:val="subscript"/>
        </w:rPr>
        <w:t>t-2</w:t>
      </w:r>
      <w:r w:rsidRPr="00656358">
        <w:rPr>
          <w:rFonts w:eastAsia="Calibri"/>
          <w:bCs/>
          <w:color w:val="0070C0"/>
          <w:sz w:val="24"/>
          <w:szCs w:val="24"/>
          <w:shd w:val="clear" w:color="auto" w:fill="FFFFFF"/>
        </w:rPr>
        <w:t>) &lt; 1, dosadí sa do vzorca hodnota (M</w:t>
      </w:r>
      <w:r w:rsidRPr="00656358">
        <w:rPr>
          <w:rFonts w:eastAsia="Calibri"/>
          <w:bCs/>
          <w:color w:val="0070C0"/>
          <w:sz w:val="24"/>
          <w:szCs w:val="24"/>
          <w:shd w:val="clear" w:color="auto" w:fill="FFFFFF"/>
          <w:vertAlign w:val="subscript"/>
        </w:rPr>
        <w:t>t-1</w:t>
      </w:r>
      <w:r w:rsidRPr="00656358">
        <w:rPr>
          <w:rFonts w:eastAsia="Calibri"/>
          <w:bCs/>
          <w:color w:val="0070C0"/>
          <w:sz w:val="24"/>
          <w:szCs w:val="24"/>
          <w:shd w:val="clear" w:color="auto" w:fill="FFFFFF"/>
        </w:rPr>
        <w:t>/M</w:t>
      </w:r>
      <w:r w:rsidRPr="00656358">
        <w:rPr>
          <w:rFonts w:eastAsia="Calibri"/>
          <w:bCs/>
          <w:color w:val="0070C0"/>
          <w:sz w:val="24"/>
          <w:szCs w:val="24"/>
          <w:shd w:val="clear" w:color="auto" w:fill="FFFFFF"/>
          <w:vertAlign w:val="subscript"/>
        </w:rPr>
        <w:t>t-2</w:t>
      </w:r>
      <w:r w:rsidRPr="00656358">
        <w:rPr>
          <w:rFonts w:eastAsia="Calibri"/>
          <w:bCs/>
          <w:color w:val="0070C0"/>
          <w:sz w:val="24"/>
          <w:szCs w:val="24"/>
          <w:shd w:val="clear" w:color="auto" w:fill="FFFFFF"/>
        </w:rPr>
        <w:t>) = 1, kde</w:t>
      </w:r>
    </w:p>
    <w:p w:rsidR="00656358" w:rsidRPr="00656358" w:rsidRDefault="00656358" w:rsidP="00656358">
      <w:pPr>
        <w:suppressAutoHyphens w:val="0"/>
        <w:ind w:left="720"/>
        <w:contextualSpacing/>
        <w:jc w:val="both"/>
        <w:rPr>
          <w:rFonts w:eastAsia="Calibri"/>
          <w:bCs/>
          <w:color w:val="0070C0"/>
          <w:sz w:val="24"/>
          <w:szCs w:val="24"/>
          <w:shd w:val="clear" w:color="auto" w:fill="FFFFFF"/>
        </w:rPr>
      </w:pPr>
    </w:p>
    <w:p w:rsidR="00656358" w:rsidRPr="00656358" w:rsidRDefault="00656358" w:rsidP="00656358">
      <w:pPr>
        <w:suppressAutoHyphens w:val="0"/>
        <w:ind w:left="720"/>
        <w:contextualSpacing/>
        <w:jc w:val="both"/>
        <w:rPr>
          <w:rFonts w:eastAsia="Calibri"/>
          <w:bCs/>
          <w:color w:val="0070C0"/>
          <w:sz w:val="24"/>
          <w:szCs w:val="24"/>
          <w:shd w:val="clear" w:color="auto" w:fill="FFFFFF"/>
        </w:rPr>
      </w:pPr>
      <w:r w:rsidRPr="00656358">
        <w:rPr>
          <w:rFonts w:eastAsia="Calibri"/>
          <w:bCs/>
          <w:color w:val="0070C0"/>
          <w:sz w:val="24"/>
          <w:szCs w:val="24"/>
          <w:shd w:val="clear" w:color="auto" w:fill="FFFFFF"/>
        </w:rPr>
        <w:t>P</w:t>
      </w:r>
      <w:r w:rsidRPr="00656358">
        <w:rPr>
          <w:rFonts w:eastAsia="Calibri"/>
          <w:bCs/>
          <w:color w:val="0070C0"/>
          <w:sz w:val="24"/>
          <w:szCs w:val="24"/>
          <w:shd w:val="clear" w:color="auto" w:fill="FFFFFF"/>
          <w:vertAlign w:val="subscript"/>
        </w:rPr>
        <w:t>t</w:t>
      </w:r>
      <w:r w:rsidRPr="00656358">
        <w:rPr>
          <w:rFonts w:eastAsia="Calibri"/>
          <w:bCs/>
          <w:color w:val="0070C0"/>
          <w:sz w:val="24"/>
          <w:szCs w:val="24"/>
          <w:shd w:val="clear" w:color="auto" w:fill="FFFFFF"/>
        </w:rPr>
        <w:t xml:space="preserve"> je príspevok štátu na príslušný rozpočtovaný rok (t), na ktorý sa príspevok štátu určuje,</w:t>
      </w:r>
    </w:p>
    <w:p w:rsidR="00656358" w:rsidRPr="00656358" w:rsidRDefault="00656358" w:rsidP="00656358">
      <w:pPr>
        <w:suppressAutoHyphens w:val="0"/>
        <w:ind w:left="720"/>
        <w:contextualSpacing/>
        <w:jc w:val="both"/>
        <w:rPr>
          <w:rFonts w:eastAsia="Calibri"/>
          <w:bCs/>
          <w:color w:val="0070C0"/>
          <w:sz w:val="24"/>
          <w:szCs w:val="24"/>
          <w:shd w:val="clear" w:color="auto" w:fill="FFFFFF"/>
        </w:rPr>
      </w:pPr>
      <w:r w:rsidRPr="00656358">
        <w:rPr>
          <w:rFonts w:eastAsia="Calibri"/>
          <w:bCs/>
          <w:color w:val="0070C0"/>
          <w:sz w:val="24"/>
          <w:szCs w:val="24"/>
          <w:shd w:val="clear" w:color="auto" w:fill="FFFFFF"/>
        </w:rPr>
        <w:t>P</w:t>
      </w:r>
      <w:r w:rsidRPr="00656358">
        <w:rPr>
          <w:rFonts w:eastAsia="Calibri"/>
          <w:bCs/>
          <w:color w:val="0070C0"/>
          <w:sz w:val="24"/>
          <w:szCs w:val="24"/>
          <w:shd w:val="clear" w:color="auto" w:fill="FFFFFF"/>
          <w:vertAlign w:val="subscript"/>
        </w:rPr>
        <w:t>t-1</w:t>
      </w:r>
      <w:r w:rsidRPr="00656358">
        <w:rPr>
          <w:rFonts w:eastAsia="Calibri"/>
          <w:bCs/>
          <w:color w:val="0070C0"/>
          <w:sz w:val="24"/>
          <w:szCs w:val="24"/>
          <w:shd w:val="clear" w:color="auto" w:fill="FFFFFF"/>
        </w:rPr>
        <w:t xml:space="preserve"> je príspevok štátu na rok predchádzajúci príslušnému rozpočtovanému roku,</w:t>
      </w:r>
    </w:p>
    <w:p w:rsidR="00656358" w:rsidRPr="00656358" w:rsidRDefault="00656358" w:rsidP="00656358">
      <w:pPr>
        <w:suppressAutoHyphens w:val="0"/>
        <w:ind w:left="720"/>
        <w:contextualSpacing/>
        <w:jc w:val="both"/>
        <w:rPr>
          <w:rFonts w:eastAsia="Calibri"/>
          <w:bCs/>
          <w:color w:val="0070C0"/>
          <w:sz w:val="24"/>
          <w:szCs w:val="24"/>
          <w:shd w:val="clear" w:color="auto" w:fill="FFFFFF"/>
        </w:rPr>
      </w:pPr>
      <w:r w:rsidRPr="00656358">
        <w:rPr>
          <w:rFonts w:eastAsia="Calibri"/>
          <w:bCs/>
          <w:color w:val="0070C0"/>
          <w:sz w:val="24"/>
          <w:szCs w:val="24"/>
          <w:shd w:val="clear" w:color="auto" w:fill="FFFFFF"/>
        </w:rPr>
        <w:t>M</w:t>
      </w:r>
      <w:r w:rsidRPr="00656358">
        <w:rPr>
          <w:rFonts w:eastAsia="Calibri"/>
          <w:bCs/>
          <w:color w:val="0070C0"/>
          <w:sz w:val="24"/>
          <w:szCs w:val="24"/>
          <w:shd w:val="clear" w:color="auto" w:fill="FFFFFF"/>
          <w:vertAlign w:val="subscript"/>
        </w:rPr>
        <w:t>t-1</w:t>
      </w:r>
      <w:r w:rsidRPr="00656358">
        <w:rPr>
          <w:rFonts w:eastAsia="Calibri"/>
          <w:bCs/>
          <w:color w:val="0070C0"/>
          <w:sz w:val="24"/>
          <w:szCs w:val="24"/>
          <w:shd w:val="clear" w:color="auto" w:fill="FFFFFF"/>
        </w:rPr>
        <w:t xml:space="preserve"> je suma mesačnej minimálnej mzdy určenej na rok (t-1), ktorý predchádza roku, na ktorý sa príspevok štátu určuje,</w:t>
      </w:r>
    </w:p>
    <w:p w:rsidR="00F87128" w:rsidRPr="00656358" w:rsidRDefault="00656358" w:rsidP="00656358">
      <w:pPr>
        <w:suppressAutoHyphens w:val="0"/>
        <w:ind w:left="720"/>
        <w:contextualSpacing/>
        <w:jc w:val="both"/>
        <w:rPr>
          <w:rFonts w:eastAsia="Calibri"/>
          <w:bCs/>
          <w:color w:val="0070C0"/>
          <w:sz w:val="24"/>
          <w:szCs w:val="24"/>
          <w:shd w:val="clear" w:color="auto" w:fill="FFFFFF"/>
        </w:rPr>
      </w:pPr>
      <w:r w:rsidRPr="00656358">
        <w:rPr>
          <w:rFonts w:eastAsia="Calibri"/>
          <w:bCs/>
          <w:color w:val="0070C0"/>
          <w:sz w:val="24"/>
          <w:szCs w:val="24"/>
          <w:shd w:val="clear" w:color="auto" w:fill="FFFFFF"/>
        </w:rPr>
        <w:t>M</w:t>
      </w:r>
      <w:r w:rsidRPr="00656358">
        <w:rPr>
          <w:rFonts w:eastAsia="Calibri"/>
          <w:bCs/>
          <w:color w:val="0070C0"/>
          <w:sz w:val="24"/>
          <w:szCs w:val="24"/>
          <w:shd w:val="clear" w:color="auto" w:fill="FFFFFF"/>
          <w:vertAlign w:val="subscript"/>
        </w:rPr>
        <w:t>t-2</w:t>
      </w:r>
      <w:r w:rsidRPr="00656358">
        <w:rPr>
          <w:rFonts w:eastAsia="Calibri"/>
          <w:bCs/>
          <w:color w:val="0070C0"/>
          <w:sz w:val="24"/>
          <w:szCs w:val="24"/>
          <w:shd w:val="clear" w:color="auto" w:fill="FFFFFF"/>
        </w:rPr>
        <w:t xml:space="preserve"> je suma mesačnej minimálnej mzdy určenej na rok (t-2), ktorý dva roky predchádza roku, na ktorý sa príspevok štátu určuje. </w:t>
      </w:r>
    </w:p>
    <w:p w:rsidR="00656358" w:rsidRPr="00656358" w:rsidRDefault="00656358" w:rsidP="00656358">
      <w:pPr>
        <w:suppressAutoHyphens w:val="0"/>
        <w:ind w:left="720"/>
        <w:contextualSpacing/>
        <w:jc w:val="both"/>
        <w:rPr>
          <w:rFonts w:eastAsia="Calibri"/>
          <w:bCs/>
          <w:sz w:val="24"/>
          <w:szCs w:val="24"/>
          <w:shd w:val="clear" w:color="auto" w:fill="FFFFFF"/>
        </w:rPr>
      </w:pPr>
    </w:p>
    <w:p w:rsidR="00940E05" w:rsidRPr="00CD6666" w:rsidRDefault="00940E05" w:rsidP="00940E05">
      <w:pPr>
        <w:spacing w:after="0"/>
        <w:jc w:val="right"/>
        <w:rPr>
          <w:b/>
          <w:sz w:val="24"/>
          <w:szCs w:val="24"/>
        </w:rPr>
      </w:pPr>
      <w:r>
        <w:br w:type="page"/>
      </w:r>
      <w:r w:rsidRPr="00CD6666">
        <w:rPr>
          <w:b/>
          <w:sz w:val="24"/>
          <w:szCs w:val="24"/>
        </w:rPr>
        <w:lastRenderedPageBreak/>
        <w:t>Príloha č. 2</w:t>
      </w:r>
      <w:r w:rsidR="0027359D" w:rsidRPr="00CD6666">
        <w:rPr>
          <w:b/>
          <w:sz w:val="24"/>
          <w:szCs w:val="24"/>
        </w:rPr>
        <w:t xml:space="preserve"> k zákonu č.   /2019 Z. z.</w:t>
      </w:r>
    </w:p>
    <w:p w:rsidR="00F87128" w:rsidRDefault="00F87128" w:rsidP="00F87128">
      <w:pPr>
        <w:spacing w:after="0"/>
        <w:jc w:val="both"/>
        <w:rPr>
          <w:sz w:val="24"/>
          <w:szCs w:val="24"/>
        </w:rPr>
      </w:pPr>
    </w:p>
    <w:p w:rsidR="00F87128" w:rsidRPr="00526A49" w:rsidRDefault="00F87128" w:rsidP="00F87128">
      <w:pPr>
        <w:spacing w:after="0"/>
        <w:jc w:val="center"/>
        <w:rPr>
          <w:b/>
          <w:sz w:val="24"/>
          <w:szCs w:val="24"/>
        </w:rPr>
      </w:pPr>
      <w:r w:rsidRPr="00526A49">
        <w:rPr>
          <w:b/>
          <w:sz w:val="24"/>
          <w:szCs w:val="24"/>
        </w:rPr>
        <w:t>Príspevok štátu poskytnutý jednotlivým cirkvám v roku 2019</w:t>
      </w:r>
    </w:p>
    <w:p w:rsidR="00F87128" w:rsidRDefault="00F87128" w:rsidP="00F87128">
      <w:pPr>
        <w:spacing w:after="0"/>
        <w:jc w:val="center"/>
        <w:rPr>
          <w:sz w:val="24"/>
          <w:szCs w:val="24"/>
        </w:rPr>
      </w:pPr>
    </w:p>
    <w:tbl>
      <w:tblPr>
        <w:tblW w:w="9059" w:type="dxa"/>
        <w:tblInd w:w="55" w:type="dxa"/>
        <w:tblCellMar>
          <w:left w:w="70" w:type="dxa"/>
          <w:right w:w="70" w:type="dxa"/>
        </w:tblCellMar>
        <w:tblLook w:val="04A0" w:firstRow="1" w:lastRow="0" w:firstColumn="1" w:lastColumn="0" w:noHBand="0" w:noVBand="1"/>
      </w:tblPr>
      <w:tblGrid>
        <w:gridCol w:w="394"/>
        <w:gridCol w:w="6305"/>
        <w:gridCol w:w="1238"/>
        <w:gridCol w:w="1122"/>
      </w:tblGrid>
      <w:tr w:rsidR="00B37E51" w:rsidRPr="003D0BAD" w:rsidTr="003D0BAD">
        <w:trPr>
          <w:trHeight w:val="301"/>
        </w:trPr>
        <w:tc>
          <w:tcPr>
            <w:tcW w:w="394" w:type="dxa"/>
            <w:tcBorders>
              <w:top w:val="nil"/>
              <w:left w:val="nil"/>
              <w:bottom w:val="single" w:sz="4" w:space="0" w:color="auto"/>
              <w:right w:val="nil"/>
            </w:tcBorders>
            <w:shd w:val="clear" w:color="auto" w:fill="auto"/>
            <w:noWrap/>
            <w:hideMark/>
          </w:tcPr>
          <w:p w:rsidR="00B37E51" w:rsidRPr="003D0BAD" w:rsidRDefault="00B37E51" w:rsidP="00A40788">
            <w:pPr>
              <w:suppressAutoHyphens w:val="0"/>
              <w:spacing w:after="0" w:line="240" w:lineRule="auto"/>
              <w:rPr>
                <w:color w:val="000000"/>
                <w:lang w:eastAsia="sk-SK"/>
              </w:rPr>
            </w:pPr>
          </w:p>
        </w:tc>
        <w:tc>
          <w:tcPr>
            <w:tcW w:w="6305" w:type="dxa"/>
            <w:tcBorders>
              <w:top w:val="nil"/>
              <w:left w:val="nil"/>
              <w:bottom w:val="single" w:sz="4" w:space="0" w:color="auto"/>
              <w:right w:val="nil"/>
            </w:tcBorders>
            <w:shd w:val="clear" w:color="auto" w:fill="auto"/>
            <w:noWrap/>
            <w:hideMark/>
          </w:tcPr>
          <w:p w:rsidR="00B37E51" w:rsidRPr="003D0BAD" w:rsidRDefault="00C736AE" w:rsidP="00A40788">
            <w:pPr>
              <w:suppressAutoHyphens w:val="0"/>
              <w:spacing w:after="0" w:line="240" w:lineRule="auto"/>
              <w:rPr>
                <w:color w:val="000000"/>
                <w:lang w:eastAsia="sk-SK"/>
              </w:rPr>
            </w:pPr>
            <w:r>
              <w:rPr>
                <w:color w:val="000000"/>
                <w:lang w:eastAsia="sk-SK"/>
              </w:rPr>
              <w:t>n</w:t>
            </w:r>
            <w:r w:rsidR="00715F44" w:rsidRPr="003D0BAD">
              <w:rPr>
                <w:color w:val="000000"/>
                <w:lang w:eastAsia="sk-SK"/>
              </w:rPr>
              <w:t xml:space="preserve">ázov </w:t>
            </w:r>
            <w:r w:rsidR="00B37E51" w:rsidRPr="003D0BAD">
              <w:rPr>
                <w:color w:val="000000"/>
                <w:lang w:eastAsia="sk-SK"/>
              </w:rPr>
              <w:t>cirkv</w:t>
            </w:r>
            <w:r w:rsidR="00715F44" w:rsidRPr="003D0BAD">
              <w:rPr>
                <w:color w:val="000000"/>
                <w:lang w:eastAsia="sk-SK"/>
              </w:rPr>
              <w:t>i</w:t>
            </w:r>
          </w:p>
        </w:tc>
        <w:tc>
          <w:tcPr>
            <w:tcW w:w="1238" w:type="dxa"/>
            <w:tcBorders>
              <w:top w:val="nil"/>
              <w:left w:val="nil"/>
              <w:bottom w:val="single" w:sz="4" w:space="0" w:color="auto"/>
              <w:right w:val="nil"/>
            </w:tcBorders>
            <w:shd w:val="clear" w:color="auto" w:fill="auto"/>
            <w:noWrap/>
            <w:hideMark/>
          </w:tcPr>
          <w:p w:rsidR="00B37E51" w:rsidRPr="003D0BAD" w:rsidRDefault="00C736AE" w:rsidP="00C736AE">
            <w:pPr>
              <w:suppressAutoHyphens w:val="0"/>
              <w:spacing w:after="0" w:line="240" w:lineRule="auto"/>
              <w:jc w:val="center"/>
              <w:rPr>
                <w:color w:val="000000"/>
                <w:lang w:eastAsia="sk-SK"/>
              </w:rPr>
            </w:pPr>
            <w:r>
              <w:rPr>
                <w:color w:val="000000"/>
                <w:lang w:eastAsia="sk-SK"/>
              </w:rPr>
              <w:t>s</w:t>
            </w:r>
            <w:r w:rsidR="00B37E51" w:rsidRPr="003D0BAD">
              <w:rPr>
                <w:color w:val="000000"/>
                <w:lang w:eastAsia="sk-SK"/>
              </w:rPr>
              <w:t>uma</w:t>
            </w:r>
            <w:r w:rsidR="003D0BAD">
              <w:rPr>
                <w:color w:val="000000"/>
                <w:lang w:eastAsia="sk-SK"/>
              </w:rPr>
              <w:t xml:space="preserve"> </w:t>
            </w:r>
            <w:r w:rsidR="00B37E51" w:rsidRPr="003D0BAD">
              <w:rPr>
                <w:color w:val="000000"/>
                <w:lang w:eastAsia="sk-SK"/>
              </w:rPr>
              <w:t>(eur)</w:t>
            </w:r>
          </w:p>
        </w:tc>
        <w:tc>
          <w:tcPr>
            <w:tcW w:w="1122" w:type="dxa"/>
            <w:tcBorders>
              <w:top w:val="nil"/>
              <w:left w:val="nil"/>
              <w:bottom w:val="single" w:sz="4" w:space="0" w:color="auto"/>
              <w:right w:val="nil"/>
            </w:tcBorders>
            <w:shd w:val="clear" w:color="auto" w:fill="auto"/>
            <w:noWrap/>
            <w:hideMark/>
          </w:tcPr>
          <w:p w:rsidR="00B37E51" w:rsidRPr="003D0BAD" w:rsidRDefault="00C736AE" w:rsidP="00C736AE">
            <w:pPr>
              <w:suppressAutoHyphens w:val="0"/>
              <w:spacing w:after="0" w:line="240" w:lineRule="auto"/>
              <w:jc w:val="center"/>
              <w:rPr>
                <w:color w:val="000000"/>
                <w:lang w:eastAsia="sk-SK"/>
              </w:rPr>
            </w:pPr>
            <w:r>
              <w:rPr>
                <w:color w:val="000000"/>
                <w:lang w:eastAsia="sk-SK"/>
              </w:rPr>
              <w:t>p</w:t>
            </w:r>
            <w:r w:rsidR="00B37E51" w:rsidRPr="003D0BAD">
              <w:rPr>
                <w:color w:val="000000"/>
                <w:lang w:eastAsia="sk-SK"/>
              </w:rPr>
              <w:t>omer</w:t>
            </w:r>
            <w:r w:rsidR="003D0BAD">
              <w:rPr>
                <w:color w:val="000000"/>
                <w:lang w:eastAsia="sk-SK"/>
              </w:rPr>
              <w:t xml:space="preserve"> </w:t>
            </w:r>
            <w:r w:rsidR="00B37E51" w:rsidRPr="003D0BAD">
              <w:rPr>
                <w:color w:val="000000"/>
                <w:lang w:eastAsia="sk-SK"/>
              </w:rPr>
              <w:t>(%)</w:t>
            </w:r>
          </w:p>
        </w:tc>
      </w:tr>
      <w:tr w:rsidR="00B37E51" w:rsidRPr="00B37E51" w:rsidTr="003D0BAD">
        <w:trPr>
          <w:trHeight w:val="301"/>
        </w:trPr>
        <w:tc>
          <w:tcPr>
            <w:tcW w:w="394" w:type="dxa"/>
            <w:tcBorders>
              <w:top w:val="single" w:sz="4" w:space="0" w:color="auto"/>
              <w:left w:val="nil"/>
              <w:bottom w:val="nil"/>
              <w:right w:val="nil"/>
            </w:tcBorders>
            <w:shd w:val="clear" w:color="auto" w:fill="auto"/>
            <w:noWrap/>
            <w:vAlign w:val="bottom"/>
            <w:hideMark/>
          </w:tcPr>
          <w:p w:rsidR="00B37E51" w:rsidRPr="003D0BAD" w:rsidRDefault="00B37E51" w:rsidP="00C736AE">
            <w:pPr>
              <w:suppressAutoHyphens w:val="0"/>
              <w:spacing w:after="0" w:line="240" w:lineRule="auto"/>
              <w:rPr>
                <w:color w:val="000000"/>
                <w:lang w:eastAsia="sk-SK"/>
              </w:rPr>
            </w:pPr>
            <w:r w:rsidRPr="003D0BAD">
              <w:rPr>
                <w:color w:val="000000"/>
                <w:lang w:eastAsia="sk-SK"/>
              </w:rPr>
              <w:t>1</w:t>
            </w:r>
            <w:r w:rsidR="00C736AE">
              <w:rPr>
                <w:color w:val="000000"/>
                <w:lang w:eastAsia="sk-SK"/>
              </w:rPr>
              <w:t>.</w:t>
            </w:r>
          </w:p>
        </w:tc>
        <w:tc>
          <w:tcPr>
            <w:tcW w:w="6305" w:type="dxa"/>
            <w:tcBorders>
              <w:top w:val="single" w:sz="4" w:space="0" w:color="auto"/>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rPr>
                <w:color w:val="000000"/>
                <w:sz w:val="22"/>
                <w:szCs w:val="22"/>
                <w:lang w:eastAsia="sk-SK"/>
              </w:rPr>
            </w:pPr>
            <w:r w:rsidRPr="00B37E51">
              <w:rPr>
                <w:color w:val="000000"/>
                <w:sz w:val="22"/>
                <w:szCs w:val="22"/>
                <w:lang w:eastAsia="sk-SK"/>
              </w:rPr>
              <w:t>Rímskokatolícka cirkev v Slovenskej republike</w:t>
            </w:r>
          </w:p>
        </w:tc>
        <w:tc>
          <w:tcPr>
            <w:tcW w:w="1238" w:type="dxa"/>
            <w:tcBorders>
              <w:top w:val="single" w:sz="4" w:space="0" w:color="auto"/>
              <w:left w:val="nil"/>
              <w:bottom w:val="nil"/>
              <w:right w:val="nil"/>
            </w:tcBorders>
            <w:shd w:val="clear" w:color="auto" w:fill="auto"/>
            <w:noWrap/>
            <w:vAlign w:val="bottom"/>
            <w:hideMark/>
          </w:tcPr>
          <w:p w:rsidR="00B37E51" w:rsidRPr="00B37E51" w:rsidRDefault="00B37E51" w:rsidP="00A40788">
            <w:pPr>
              <w:suppressAutoHyphens w:val="0"/>
              <w:spacing w:after="0" w:line="240" w:lineRule="auto"/>
              <w:jc w:val="right"/>
              <w:rPr>
                <w:color w:val="000000"/>
                <w:sz w:val="22"/>
                <w:szCs w:val="22"/>
                <w:lang w:eastAsia="sk-SK"/>
              </w:rPr>
            </w:pPr>
            <w:r w:rsidRPr="00B37E51">
              <w:rPr>
                <w:color w:val="000000"/>
                <w:sz w:val="22"/>
                <w:szCs w:val="22"/>
                <w:lang w:eastAsia="sk-SK"/>
              </w:rPr>
              <w:t>31 191 337</w:t>
            </w:r>
          </w:p>
        </w:tc>
        <w:tc>
          <w:tcPr>
            <w:tcW w:w="1122" w:type="dxa"/>
            <w:tcBorders>
              <w:top w:val="single" w:sz="4" w:space="0" w:color="auto"/>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jc w:val="right"/>
              <w:rPr>
                <w:color w:val="000000"/>
                <w:sz w:val="22"/>
                <w:szCs w:val="22"/>
                <w:lang w:eastAsia="sk-SK"/>
              </w:rPr>
            </w:pPr>
            <w:r w:rsidRPr="00B37E51">
              <w:rPr>
                <w:color w:val="000000"/>
                <w:sz w:val="22"/>
                <w:szCs w:val="22"/>
                <w:lang w:eastAsia="sk-SK"/>
              </w:rPr>
              <w:t>65,463</w:t>
            </w:r>
          </w:p>
        </w:tc>
      </w:tr>
      <w:tr w:rsidR="00B37E51" w:rsidRPr="00B37E51" w:rsidTr="003D0BAD">
        <w:trPr>
          <w:trHeight w:val="301"/>
        </w:trPr>
        <w:tc>
          <w:tcPr>
            <w:tcW w:w="394" w:type="dxa"/>
            <w:tcBorders>
              <w:top w:val="nil"/>
              <w:left w:val="nil"/>
              <w:bottom w:val="nil"/>
              <w:right w:val="nil"/>
            </w:tcBorders>
            <w:shd w:val="clear" w:color="auto" w:fill="auto"/>
            <w:noWrap/>
            <w:vAlign w:val="bottom"/>
            <w:hideMark/>
          </w:tcPr>
          <w:p w:rsidR="00B37E51" w:rsidRPr="003D0BAD" w:rsidRDefault="00B37E51" w:rsidP="00C736AE">
            <w:pPr>
              <w:suppressAutoHyphens w:val="0"/>
              <w:spacing w:after="0" w:line="240" w:lineRule="auto"/>
              <w:rPr>
                <w:color w:val="000000"/>
                <w:lang w:eastAsia="sk-SK"/>
              </w:rPr>
            </w:pPr>
            <w:r w:rsidRPr="003D0BAD">
              <w:rPr>
                <w:color w:val="000000"/>
                <w:lang w:eastAsia="sk-SK"/>
              </w:rPr>
              <w:t>2</w:t>
            </w:r>
            <w:r w:rsidR="00C736AE">
              <w:rPr>
                <w:color w:val="000000"/>
                <w:lang w:eastAsia="sk-SK"/>
              </w:rPr>
              <w:t>.</w:t>
            </w:r>
          </w:p>
        </w:tc>
        <w:tc>
          <w:tcPr>
            <w:tcW w:w="6305"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rPr>
                <w:color w:val="000000"/>
                <w:sz w:val="22"/>
                <w:szCs w:val="22"/>
                <w:lang w:eastAsia="sk-SK"/>
              </w:rPr>
            </w:pPr>
            <w:r w:rsidRPr="00B37E51">
              <w:rPr>
                <w:color w:val="000000"/>
                <w:sz w:val="22"/>
                <w:szCs w:val="22"/>
                <w:lang w:eastAsia="sk-SK"/>
              </w:rPr>
              <w:t>Evanjelická cirkev augsburského vyznania na Slovensku</w:t>
            </w:r>
          </w:p>
        </w:tc>
        <w:tc>
          <w:tcPr>
            <w:tcW w:w="1238" w:type="dxa"/>
            <w:tcBorders>
              <w:top w:val="nil"/>
              <w:left w:val="nil"/>
              <w:bottom w:val="nil"/>
              <w:right w:val="nil"/>
            </w:tcBorders>
            <w:shd w:val="clear" w:color="auto" w:fill="auto"/>
            <w:noWrap/>
            <w:vAlign w:val="bottom"/>
            <w:hideMark/>
          </w:tcPr>
          <w:p w:rsidR="00B37E51" w:rsidRPr="00B37E51" w:rsidRDefault="00B37E51" w:rsidP="00A40788">
            <w:pPr>
              <w:suppressAutoHyphens w:val="0"/>
              <w:spacing w:after="0" w:line="240" w:lineRule="auto"/>
              <w:jc w:val="right"/>
              <w:rPr>
                <w:color w:val="000000"/>
                <w:sz w:val="22"/>
                <w:szCs w:val="22"/>
                <w:lang w:eastAsia="sk-SK"/>
              </w:rPr>
            </w:pPr>
            <w:r w:rsidRPr="00B37E51">
              <w:rPr>
                <w:color w:val="000000"/>
                <w:sz w:val="22"/>
                <w:szCs w:val="22"/>
                <w:lang w:eastAsia="sk-SK"/>
              </w:rPr>
              <w:t>4 858 489</w:t>
            </w:r>
          </w:p>
        </w:tc>
        <w:tc>
          <w:tcPr>
            <w:tcW w:w="1122"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jc w:val="right"/>
              <w:rPr>
                <w:color w:val="000000"/>
                <w:sz w:val="22"/>
                <w:szCs w:val="22"/>
                <w:lang w:eastAsia="sk-SK"/>
              </w:rPr>
            </w:pPr>
            <w:r w:rsidRPr="00B37E51">
              <w:rPr>
                <w:color w:val="000000"/>
                <w:sz w:val="22"/>
                <w:szCs w:val="22"/>
                <w:lang w:eastAsia="sk-SK"/>
              </w:rPr>
              <w:t>10,197</w:t>
            </w:r>
          </w:p>
        </w:tc>
      </w:tr>
      <w:tr w:rsidR="00B37E51" w:rsidRPr="00B37E51" w:rsidTr="003D0BAD">
        <w:trPr>
          <w:trHeight w:val="301"/>
        </w:trPr>
        <w:tc>
          <w:tcPr>
            <w:tcW w:w="394" w:type="dxa"/>
            <w:tcBorders>
              <w:top w:val="nil"/>
              <w:left w:val="nil"/>
              <w:bottom w:val="nil"/>
              <w:right w:val="nil"/>
            </w:tcBorders>
            <w:shd w:val="clear" w:color="auto" w:fill="auto"/>
            <w:noWrap/>
            <w:vAlign w:val="bottom"/>
            <w:hideMark/>
          </w:tcPr>
          <w:p w:rsidR="00B37E51" w:rsidRPr="003D0BAD" w:rsidRDefault="00B37E51" w:rsidP="00C736AE">
            <w:pPr>
              <w:suppressAutoHyphens w:val="0"/>
              <w:spacing w:after="0" w:line="240" w:lineRule="auto"/>
              <w:rPr>
                <w:color w:val="000000"/>
                <w:lang w:eastAsia="sk-SK"/>
              </w:rPr>
            </w:pPr>
            <w:r w:rsidRPr="003D0BAD">
              <w:rPr>
                <w:color w:val="000000"/>
                <w:lang w:eastAsia="sk-SK"/>
              </w:rPr>
              <w:t>3</w:t>
            </w:r>
            <w:r w:rsidR="00C736AE">
              <w:rPr>
                <w:color w:val="000000"/>
                <w:lang w:eastAsia="sk-SK"/>
              </w:rPr>
              <w:t>.</w:t>
            </w:r>
          </w:p>
        </w:tc>
        <w:tc>
          <w:tcPr>
            <w:tcW w:w="6305"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rPr>
                <w:color w:val="000000"/>
                <w:sz w:val="22"/>
                <w:szCs w:val="22"/>
                <w:lang w:eastAsia="sk-SK"/>
              </w:rPr>
            </w:pPr>
            <w:r w:rsidRPr="00B37E51">
              <w:rPr>
                <w:color w:val="000000"/>
                <w:sz w:val="22"/>
                <w:szCs w:val="22"/>
                <w:lang w:eastAsia="sk-SK"/>
              </w:rPr>
              <w:t>Gréckokatolícka cirkev na Slovensku</w:t>
            </w:r>
          </w:p>
        </w:tc>
        <w:tc>
          <w:tcPr>
            <w:tcW w:w="1238" w:type="dxa"/>
            <w:tcBorders>
              <w:top w:val="nil"/>
              <w:left w:val="nil"/>
              <w:bottom w:val="nil"/>
              <w:right w:val="nil"/>
            </w:tcBorders>
            <w:shd w:val="clear" w:color="auto" w:fill="auto"/>
            <w:noWrap/>
            <w:vAlign w:val="bottom"/>
            <w:hideMark/>
          </w:tcPr>
          <w:p w:rsidR="00B37E51" w:rsidRPr="00B37E51" w:rsidRDefault="00B37E51" w:rsidP="00A40788">
            <w:pPr>
              <w:suppressAutoHyphens w:val="0"/>
              <w:spacing w:after="0" w:line="240" w:lineRule="auto"/>
              <w:jc w:val="right"/>
              <w:rPr>
                <w:color w:val="000000"/>
                <w:sz w:val="22"/>
                <w:szCs w:val="22"/>
                <w:lang w:eastAsia="sk-SK"/>
              </w:rPr>
            </w:pPr>
            <w:r w:rsidRPr="00B37E51">
              <w:rPr>
                <w:color w:val="000000"/>
                <w:sz w:val="22"/>
                <w:szCs w:val="22"/>
                <w:lang w:eastAsia="sk-SK"/>
              </w:rPr>
              <w:t>4 900 043</w:t>
            </w:r>
          </w:p>
        </w:tc>
        <w:tc>
          <w:tcPr>
            <w:tcW w:w="1122"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jc w:val="right"/>
              <w:rPr>
                <w:color w:val="000000"/>
                <w:sz w:val="22"/>
                <w:szCs w:val="22"/>
                <w:lang w:eastAsia="sk-SK"/>
              </w:rPr>
            </w:pPr>
            <w:r w:rsidRPr="00B37E51">
              <w:rPr>
                <w:color w:val="000000"/>
                <w:sz w:val="22"/>
                <w:szCs w:val="22"/>
                <w:lang w:eastAsia="sk-SK"/>
              </w:rPr>
              <w:t>10,284</w:t>
            </w:r>
          </w:p>
        </w:tc>
      </w:tr>
      <w:tr w:rsidR="00B37E51" w:rsidRPr="00B37E51" w:rsidTr="003D0BAD">
        <w:trPr>
          <w:trHeight w:val="301"/>
        </w:trPr>
        <w:tc>
          <w:tcPr>
            <w:tcW w:w="394" w:type="dxa"/>
            <w:tcBorders>
              <w:top w:val="nil"/>
              <w:left w:val="nil"/>
              <w:bottom w:val="nil"/>
              <w:right w:val="nil"/>
            </w:tcBorders>
            <w:shd w:val="clear" w:color="auto" w:fill="auto"/>
            <w:noWrap/>
            <w:vAlign w:val="bottom"/>
            <w:hideMark/>
          </w:tcPr>
          <w:p w:rsidR="00B37E51" w:rsidRPr="003D0BAD" w:rsidRDefault="00715F44" w:rsidP="00C736AE">
            <w:pPr>
              <w:suppressAutoHyphens w:val="0"/>
              <w:spacing w:after="0" w:line="240" w:lineRule="auto"/>
              <w:rPr>
                <w:color w:val="000000"/>
                <w:lang w:eastAsia="sk-SK"/>
              </w:rPr>
            </w:pPr>
            <w:r w:rsidRPr="003D0BAD">
              <w:rPr>
                <w:color w:val="000000"/>
                <w:lang w:eastAsia="sk-SK"/>
              </w:rPr>
              <w:t>4</w:t>
            </w:r>
            <w:r w:rsidR="00C736AE">
              <w:rPr>
                <w:color w:val="000000"/>
                <w:lang w:eastAsia="sk-SK"/>
              </w:rPr>
              <w:t>.</w:t>
            </w:r>
          </w:p>
        </w:tc>
        <w:tc>
          <w:tcPr>
            <w:tcW w:w="6305"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rPr>
                <w:color w:val="000000"/>
                <w:sz w:val="22"/>
                <w:szCs w:val="22"/>
                <w:lang w:eastAsia="sk-SK"/>
              </w:rPr>
            </w:pPr>
            <w:r w:rsidRPr="00B37E51">
              <w:rPr>
                <w:color w:val="000000"/>
                <w:sz w:val="22"/>
                <w:szCs w:val="22"/>
                <w:lang w:eastAsia="sk-SK"/>
              </w:rPr>
              <w:t>Reformovaná kresťanská cirkev na Slovensku</w:t>
            </w:r>
          </w:p>
        </w:tc>
        <w:tc>
          <w:tcPr>
            <w:tcW w:w="1238" w:type="dxa"/>
            <w:tcBorders>
              <w:top w:val="nil"/>
              <w:left w:val="nil"/>
              <w:bottom w:val="nil"/>
              <w:right w:val="nil"/>
            </w:tcBorders>
            <w:shd w:val="clear" w:color="auto" w:fill="auto"/>
            <w:noWrap/>
            <w:vAlign w:val="bottom"/>
            <w:hideMark/>
          </w:tcPr>
          <w:p w:rsidR="00B37E51" w:rsidRPr="00B37E51" w:rsidRDefault="00B37E51" w:rsidP="00A40788">
            <w:pPr>
              <w:suppressAutoHyphens w:val="0"/>
              <w:spacing w:after="0" w:line="240" w:lineRule="auto"/>
              <w:jc w:val="right"/>
              <w:rPr>
                <w:color w:val="000000"/>
                <w:sz w:val="22"/>
                <w:szCs w:val="22"/>
                <w:lang w:eastAsia="sk-SK"/>
              </w:rPr>
            </w:pPr>
            <w:r w:rsidRPr="00B37E51">
              <w:rPr>
                <w:color w:val="000000"/>
                <w:sz w:val="22"/>
                <w:szCs w:val="22"/>
                <w:lang w:eastAsia="sk-SK"/>
              </w:rPr>
              <w:t>2 653 763</w:t>
            </w:r>
          </w:p>
        </w:tc>
        <w:tc>
          <w:tcPr>
            <w:tcW w:w="1122"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jc w:val="right"/>
              <w:rPr>
                <w:color w:val="000000"/>
                <w:sz w:val="22"/>
                <w:szCs w:val="22"/>
                <w:lang w:eastAsia="sk-SK"/>
              </w:rPr>
            </w:pPr>
            <w:r w:rsidRPr="00B37E51">
              <w:rPr>
                <w:color w:val="000000"/>
                <w:sz w:val="22"/>
                <w:szCs w:val="22"/>
                <w:lang w:eastAsia="sk-SK"/>
              </w:rPr>
              <w:t>5,569</w:t>
            </w:r>
          </w:p>
        </w:tc>
      </w:tr>
      <w:tr w:rsidR="00B37E51" w:rsidRPr="00B37E51" w:rsidTr="003D0BAD">
        <w:trPr>
          <w:trHeight w:val="301"/>
        </w:trPr>
        <w:tc>
          <w:tcPr>
            <w:tcW w:w="394" w:type="dxa"/>
            <w:tcBorders>
              <w:top w:val="nil"/>
              <w:left w:val="nil"/>
              <w:bottom w:val="nil"/>
              <w:right w:val="nil"/>
            </w:tcBorders>
            <w:shd w:val="clear" w:color="auto" w:fill="auto"/>
            <w:noWrap/>
            <w:vAlign w:val="bottom"/>
            <w:hideMark/>
          </w:tcPr>
          <w:p w:rsidR="00B37E51" w:rsidRPr="003D0BAD" w:rsidRDefault="00715F44" w:rsidP="00C736AE">
            <w:pPr>
              <w:suppressAutoHyphens w:val="0"/>
              <w:spacing w:after="0" w:line="240" w:lineRule="auto"/>
              <w:rPr>
                <w:color w:val="000000"/>
                <w:lang w:eastAsia="sk-SK"/>
              </w:rPr>
            </w:pPr>
            <w:r w:rsidRPr="003D0BAD">
              <w:rPr>
                <w:color w:val="000000"/>
                <w:lang w:eastAsia="sk-SK"/>
              </w:rPr>
              <w:t>5</w:t>
            </w:r>
            <w:r w:rsidR="00C736AE">
              <w:rPr>
                <w:color w:val="000000"/>
                <w:lang w:eastAsia="sk-SK"/>
              </w:rPr>
              <w:t>.</w:t>
            </w:r>
          </w:p>
        </w:tc>
        <w:tc>
          <w:tcPr>
            <w:tcW w:w="6305"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rPr>
                <w:color w:val="000000"/>
                <w:sz w:val="22"/>
                <w:szCs w:val="22"/>
                <w:lang w:eastAsia="sk-SK"/>
              </w:rPr>
            </w:pPr>
            <w:r w:rsidRPr="00B37E51">
              <w:rPr>
                <w:color w:val="000000"/>
                <w:sz w:val="22"/>
                <w:szCs w:val="22"/>
                <w:lang w:eastAsia="sk-SK"/>
              </w:rPr>
              <w:t>Pravoslávna cirkev na Slovensku</w:t>
            </w:r>
          </w:p>
        </w:tc>
        <w:tc>
          <w:tcPr>
            <w:tcW w:w="1238" w:type="dxa"/>
            <w:tcBorders>
              <w:top w:val="nil"/>
              <w:left w:val="nil"/>
              <w:bottom w:val="nil"/>
              <w:right w:val="nil"/>
            </w:tcBorders>
            <w:shd w:val="clear" w:color="auto" w:fill="auto"/>
            <w:noWrap/>
            <w:vAlign w:val="bottom"/>
            <w:hideMark/>
          </w:tcPr>
          <w:p w:rsidR="00B37E51" w:rsidRPr="00B37E51" w:rsidRDefault="00B37E51" w:rsidP="00A40788">
            <w:pPr>
              <w:suppressAutoHyphens w:val="0"/>
              <w:spacing w:after="0" w:line="240" w:lineRule="auto"/>
              <w:jc w:val="right"/>
              <w:rPr>
                <w:color w:val="000000"/>
                <w:sz w:val="22"/>
                <w:szCs w:val="22"/>
                <w:lang w:eastAsia="sk-SK"/>
              </w:rPr>
            </w:pPr>
            <w:r w:rsidRPr="00B37E51">
              <w:rPr>
                <w:color w:val="000000"/>
                <w:sz w:val="22"/>
                <w:szCs w:val="22"/>
                <w:lang w:eastAsia="sk-SK"/>
              </w:rPr>
              <w:t>2 029 714</w:t>
            </w:r>
          </w:p>
        </w:tc>
        <w:tc>
          <w:tcPr>
            <w:tcW w:w="1122"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jc w:val="right"/>
              <w:rPr>
                <w:color w:val="000000"/>
                <w:sz w:val="22"/>
                <w:szCs w:val="22"/>
                <w:lang w:eastAsia="sk-SK"/>
              </w:rPr>
            </w:pPr>
            <w:r w:rsidRPr="00B37E51">
              <w:rPr>
                <w:color w:val="000000"/>
                <w:sz w:val="22"/>
                <w:szCs w:val="22"/>
                <w:lang w:eastAsia="sk-SK"/>
              </w:rPr>
              <w:t>4,260</w:t>
            </w:r>
          </w:p>
        </w:tc>
      </w:tr>
      <w:tr w:rsidR="00B37E51" w:rsidRPr="00B37E51" w:rsidTr="003D0BAD">
        <w:trPr>
          <w:trHeight w:val="301"/>
        </w:trPr>
        <w:tc>
          <w:tcPr>
            <w:tcW w:w="394" w:type="dxa"/>
            <w:tcBorders>
              <w:top w:val="nil"/>
              <w:left w:val="nil"/>
              <w:bottom w:val="nil"/>
              <w:right w:val="nil"/>
            </w:tcBorders>
            <w:shd w:val="clear" w:color="auto" w:fill="auto"/>
            <w:noWrap/>
            <w:vAlign w:val="bottom"/>
            <w:hideMark/>
          </w:tcPr>
          <w:p w:rsidR="00B37E51" w:rsidRPr="003D0BAD" w:rsidRDefault="00715F44" w:rsidP="00C736AE">
            <w:pPr>
              <w:suppressAutoHyphens w:val="0"/>
              <w:spacing w:after="0" w:line="240" w:lineRule="auto"/>
              <w:rPr>
                <w:color w:val="000000"/>
                <w:lang w:eastAsia="sk-SK"/>
              </w:rPr>
            </w:pPr>
            <w:r w:rsidRPr="003D0BAD">
              <w:rPr>
                <w:color w:val="000000"/>
                <w:lang w:eastAsia="sk-SK"/>
              </w:rPr>
              <w:t>6</w:t>
            </w:r>
            <w:r w:rsidR="00C736AE">
              <w:rPr>
                <w:color w:val="000000"/>
                <w:lang w:eastAsia="sk-SK"/>
              </w:rPr>
              <w:t>.</w:t>
            </w:r>
          </w:p>
        </w:tc>
        <w:tc>
          <w:tcPr>
            <w:tcW w:w="6305"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rPr>
                <w:color w:val="000000"/>
                <w:sz w:val="22"/>
                <w:szCs w:val="22"/>
                <w:lang w:eastAsia="sk-SK"/>
              </w:rPr>
            </w:pPr>
            <w:r w:rsidRPr="00B37E51">
              <w:rPr>
                <w:color w:val="000000"/>
                <w:sz w:val="22"/>
                <w:szCs w:val="22"/>
                <w:lang w:eastAsia="sk-SK"/>
              </w:rPr>
              <w:t>Náboženská spoločnosť Jehovovi svedkovia v Slovenskej republike</w:t>
            </w:r>
          </w:p>
        </w:tc>
        <w:tc>
          <w:tcPr>
            <w:tcW w:w="1238" w:type="dxa"/>
            <w:tcBorders>
              <w:top w:val="nil"/>
              <w:left w:val="nil"/>
              <w:bottom w:val="nil"/>
              <w:right w:val="nil"/>
            </w:tcBorders>
            <w:shd w:val="clear" w:color="auto" w:fill="auto"/>
            <w:noWrap/>
            <w:vAlign w:val="bottom"/>
            <w:hideMark/>
          </w:tcPr>
          <w:p w:rsidR="00B37E51" w:rsidRPr="00B37E51" w:rsidRDefault="00B37E51" w:rsidP="00A40788">
            <w:pPr>
              <w:suppressAutoHyphens w:val="0"/>
              <w:spacing w:after="0" w:line="240" w:lineRule="auto"/>
              <w:jc w:val="right"/>
              <w:rPr>
                <w:color w:val="000000"/>
                <w:sz w:val="22"/>
                <w:szCs w:val="22"/>
                <w:lang w:eastAsia="sk-SK"/>
              </w:rPr>
            </w:pPr>
            <w:r w:rsidRPr="00B37E51">
              <w:rPr>
                <w:color w:val="000000"/>
                <w:sz w:val="22"/>
                <w:szCs w:val="22"/>
                <w:lang w:eastAsia="sk-SK"/>
              </w:rPr>
              <w:t>0</w:t>
            </w:r>
          </w:p>
        </w:tc>
        <w:tc>
          <w:tcPr>
            <w:tcW w:w="1122"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jc w:val="right"/>
              <w:rPr>
                <w:color w:val="000000"/>
                <w:sz w:val="22"/>
                <w:szCs w:val="22"/>
                <w:lang w:eastAsia="sk-SK"/>
              </w:rPr>
            </w:pPr>
            <w:r w:rsidRPr="00B37E51">
              <w:rPr>
                <w:color w:val="000000"/>
                <w:sz w:val="22"/>
                <w:szCs w:val="22"/>
                <w:lang w:eastAsia="sk-SK"/>
              </w:rPr>
              <w:t>0,000</w:t>
            </w:r>
          </w:p>
        </w:tc>
      </w:tr>
      <w:tr w:rsidR="00B37E51" w:rsidRPr="00B37E51" w:rsidTr="003D0BAD">
        <w:trPr>
          <w:trHeight w:val="301"/>
        </w:trPr>
        <w:tc>
          <w:tcPr>
            <w:tcW w:w="394" w:type="dxa"/>
            <w:tcBorders>
              <w:top w:val="nil"/>
              <w:left w:val="nil"/>
              <w:bottom w:val="nil"/>
              <w:right w:val="nil"/>
            </w:tcBorders>
            <w:shd w:val="clear" w:color="auto" w:fill="auto"/>
            <w:noWrap/>
            <w:vAlign w:val="bottom"/>
            <w:hideMark/>
          </w:tcPr>
          <w:p w:rsidR="00B37E51" w:rsidRPr="003D0BAD" w:rsidRDefault="00715F44" w:rsidP="00C736AE">
            <w:pPr>
              <w:suppressAutoHyphens w:val="0"/>
              <w:spacing w:after="0" w:line="240" w:lineRule="auto"/>
              <w:rPr>
                <w:color w:val="000000"/>
                <w:lang w:eastAsia="sk-SK"/>
              </w:rPr>
            </w:pPr>
            <w:r w:rsidRPr="003D0BAD">
              <w:rPr>
                <w:color w:val="000000"/>
                <w:lang w:eastAsia="sk-SK"/>
              </w:rPr>
              <w:t>7</w:t>
            </w:r>
            <w:r w:rsidR="00C736AE">
              <w:rPr>
                <w:color w:val="000000"/>
                <w:lang w:eastAsia="sk-SK"/>
              </w:rPr>
              <w:t>.</w:t>
            </w:r>
          </w:p>
        </w:tc>
        <w:tc>
          <w:tcPr>
            <w:tcW w:w="6305"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rPr>
                <w:color w:val="000000"/>
                <w:sz w:val="22"/>
                <w:szCs w:val="22"/>
                <w:lang w:eastAsia="sk-SK"/>
              </w:rPr>
            </w:pPr>
            <w:r w:rsidRPr="00B37E51">
              <w:rPr>
                <w:color w:val="000000"/>
                <w:sz w:val="22"/>
                <w:szCs w:val="22"/>
                <w:lang w:eastAsia="sk-SK"/>
              </w:rPr>
              <w:t>Evanjelická cirkev metodistická, Slovenská oblasť</w:t>
            </w:r>
          </w:p>
        </w:tc>
        <w:tc>
          <w:tcPr>
            <w:tcW w:w="1238" w:type="dxa"/>
            <w:tcBorders>
              <w:top w:val="nil"/>
              <w:left w:val="nil"/>
              <w:bottom w:val="nil"/>
              <w:right w:val="nil"/>
            </w:tcBorders>
            <w:shd w:val="clear" w:color="auto" w:fill="auto"/>
            <w:noWrap/>
            <w:vAlign w:val="bottom"/>
            <w:hideMark/>
          </w:tcPr>
          <w:p w:rsidR="00B37E51" w:rsidRPr="00B37E51" w:rsidRDefault="00B37E51" w:rsidP="00A40788">
            <w:pPr>
              <w:suppressAutoHyphens w:val="0"/>
              <w:spacing w:after="0" w:line="240" w:lineRule="auto"/>
              <w:jc w:val="right"/>
              <w:rPr>
                <w:color w:val="000000"/>
                <w:sz w:val="22"/>
                <w:szCs w:val="22"/>
                <w:lang w:eastAsia="sk-SK"/>
              </w:rPr>
            </w:pPr>
            <w:r w:rsidRPr="00B37E51">
              <w:rPr>
                <w:color w:val="000000"/>
                <w:sz w:val="22"/>
                <w:szCs w:val="22"/>
                <w:lang w:eastAsia="sk-SK"/>
              </w:rPr>
              <w:t>329 920</w:t>
            </w:r>
          </w:p>
        </w:tc>
        <w:tc>
          <w:tcPr>
            <w:tcW w:w="1122"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jc w:val="right"/>
              <w:rPr>
                <w:color w:val="000000"/>
                <w:sz w:val="22"/>
                <w:szCs w:val="22"/>
                <w:lang w:eastAsia="sk-SK"/>
              </w:rPr>
            </w:pPr>
            <w:r w:rsidRPr="00B37E51">
              <w:rPr>
                <w:color w:val="000000"/>
                <w:sz w:val="22"/>
                <w:szCs w:val="22"/>
                <w:lang w:eastAsia="sk-SK"/>
              </w:rPr>
              <w:t>0,692</w:t>
            </w:r>
          </w:p>
        </w:tc>
      </w:tr>
      <w:tr w:rsidR="00B37E51" w:rsidRPr="00B37E51" w:rsidTr="003D0BAD">
        <w:trPr>
          <w:trHeight w:val="301"/>
        </w:trPr>
        <w:tc>
          <w:tcPr>
            <w:tcW w:w="394" w:type="dxa"/>
            <w:tcBorders>
              <w:top w:val="nil"/>
              <w:left w:val="nil"/>
              <w:bottom w:val="nil"/>
              <w:right w:val="nil"/>
            </w:tcBorders>
            <w:shd w:val="clear" w:color="auto" w:fill="auto"/>
            <w:noWrap/>
            <w:vAlign w:val="bottom"/>
            <w:hideMark/>
          </w:tcPr>
          <w:p w:rsidR="00B37E51" w:rsidRPr="003D0BAD" w:rsidRDefault="00715F44" w:rsidP="00C736AE">
            <w:pPr>
              <w:suppressAutoHyphens w:val="0"/>
              <w:spacing w:after="0" w:line="240" w:lineRule="auto"/>
              <w:rPr>
                <w:color w:val="000000"/>
                <w:lang w:eastAsia="sk-SK"/>
              </w:rPr>
            </w:pPr>
            <w:r w:rsidRPr="003D0BAD">
              <w:rPr>
                <w:color w:val="000000"/>
                <w:lang w:eastAsia="sk-SK"/>
              </w:rPr>
              <w:t>8</w:t>
            </w:r>
            <w:r w:rsidR="00C736AE">
              <w:rPr>
                <w:color w:val="000000"/>
                <w:lang w:eastAsia="sk-SK"/>
              </w:rPr>
              <w:t>.</w:t>
            </w:r>
          </w:p>
        </w:tc>
        <w:tc>
          <w:tcPr>
            <w:tcW w:w="6305"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rPr>
                <w:color w:val="000000"/>
                <w:sz w:val="22"/>
                <w:szCs w:val="22"/>
                <w:lang w:eastAsia="sk-SK"/>
              </w:rPr>
            </w:pPr>
            <w:r w:rsidRPr="00B37E51">
              <w:rPr>
                <w:color w:val="000000"/>
                <w:sz w:val="22"/>
                <w:szCs w:val="22"/>
                <w:lang w:eastAsia="sk-SK"/>
              </w:rPr>
              <w:t>Kresťanské zbory na Slovensku</w:t>
            </w:r>
          </w:p>
        </w:tc>
        <w:tc>
          <w:tcPr>
            <w:tcW w:w="1238" w:type="dxa"/>
            <w:tcBorders>
              <w:top w:val="nil"/>
              <w:left w:val="nil"/>
              <w:bottom w:val="nil"/>
              <w:right w:val="nil"/>
            </w:tcBorders>
            <w:shd w:val="clear" w:color="auto" w:fill="auto"/>
            <w:noWrap/>
            <w:vAlign w:val="bottom"/>
            <w:hideMark/>
          </w:tcPr>
          <w:p w:rsidR="00B37E51" w:rsidRPr="00B37E51" w:rsidRDefault="00B37E51" w:rsidP="00A40788">
            <w:pPr>
              <w:suppressAutoHyphens w:val="0"/>
              <w:spacing w:after="0" w:line="240" w:lineRule="auto"/>
              <w:jc w:val="right"/>
              <w:rPr>
                <w:color w:val="000000"/>
                <w:sz w:val="22"/>
                <w:szCs w:val="22"/>
                <w:lang w:eastAsia="sk-SK"/>
              </w:rPr>
            </w:pPr>
            <w:r w:rsidRPr="00B37E51">
              <w:rPr>
                <w:color w:val="000000"/>
                <w:sz w:val="22"/>
                <w:szCs w:val="22"/>
                <w:lang w:eastAsia="sk-SK"/>
              </w:rPr>
              <w:t>0</w:t>
            </w:r>
          </w:p>
        </w:tc>
        <w:tc>
          <w:tcPr>
            <w:tcW w:w="1122"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jc w:val="right"/>
              <w:rPr>
                <w:color w:val="000000"/>
                <w:sz w:val="22"/>
                <w:szCs w:val="22"/>
                <w:lang w:eastAsia="sk-SK"/>
              </w:rPr>
            </w:pPr>
            <w:r w:rsidRPr="00B37E51">
              <w:rPr>
                <w:color w:val="000000"/>
                <w:sz w:val="22"/>
                <w:szCs w:val="22"/>
                <w:lang w:eastAsia="sk-SK"/>
              </w:rPr>
              <w:t>0,000</w:t>
            </w:r>
          </w:p>
        </w:tc>
      </w:tr>
      <w:tr w:rsidR="00B37E51" w:rsidRPr="00B37E51" w:rsidTr="003D0BAD">
        <w:trPr>
          <w:trHeight w:val="301"/>
        </w:trPr>
        <w:tc>
          <w:tcPr>
            <w:tcW w:w="394" w:type="dxa"/>
            <w:tcBorders>
              <w:top w:val="nil"/>
              <w:left w:val="nil"/>
              <w:bottom w:val="nil"/>
              <w:right w:val="nil"/>
            </w:tcBorders>
            <w:shd w:val="clear" w:color="auto" w:fill="auto"/>
            <w:noWrap/>
            <w:vAlign w:val="bottom"/>
            <w:hideMark/>
          </w:tcPr>
          <w:p w:rsidR="00B37E51" w:rsidRPr="003D0BAD" w:rsidRDefault="00715F44" w:rsidP="00C736AE">
            <w:pPr>
              <w:suppressAutoHyphens w:val="0"/>
              <w:spacing w:after="0" w:line="240" w:lineRule="auto"/>
              <w:rPr>
                <w:color w:val="000000"/>
                <w:lang w:eastAsia="sk-SK"/>
              </w:rPr>
            </w:pPr>
            <w:r w:rsidRPr="003D0BAD">
              <w:rPr>
                <w:color w:val="000000"/>
                <w:lang w:eastAsia="sk-SK"/>
              </w:rPr>
              <w:t>9</w:t>
            </w:r>
            <w:r w:rsidR="00C736AE">
              <w:rPr>
                <w:color w:val="000000"/>
                <w:lang w:eastAsia="sk-SK"/>
              </w:rPr>
              <w:t>.</w:t>
            </w:r>
          </w:p>
        </w:tc>
        <w:tc>
          <w:tcPr>
            <w:tcW w:w="6305"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rPr>
                <w:color w:val="000000"/>
                <w:sz w:val="22"/>
                <w:szCs w:val="22"/>
                <w:lang w:eastAsia="sk-SK"/>
              </w:rPr>
            </w:pPr>
            <w:r w:rsidRPr="00B37E51">
              <w:rPr>
                <w:color w:val="000000"/>
                <w:sz w:val="22"/>
                <w:szCs w:val="22"/>
                <w:lang w:eastAsia="sk-SK"/>
              </w:rPr>
              <w:t>Apoštolská cirkev na Slovensku</w:t>
            </w:r>
          </w:p>
        </w:tc>
        <w:tc>
          <w:tcPr>
            <w:tcW w:w="1238" w:type="dxa"/>
            <w:tcBorders>
              <w:top w:val="nil"/>
              <w:left w:val="nil"/>
              <w:bottom w:val="nil"/>
              <w:right w:val="nil"/>
            </w:tcBorders>
            <w:shd w:val="clear" w:color="auto" w:fill="auto"/>
            <w:noWrap/>
            <w:vAlign w:val="bottom"/>
            <w:hideMark/>
          </w:tcPr>
          <w:p w:rsidR="00B37E51" w:rsidRPr="00B37E51" w:rsidRDefault="00B37E51" w:rsidP="00A40788">
            <w:pPr>
              <w:suppressAutoHyphens w:val="0"/>
              <w:spacing w:after="0" w:line="240" w:lineRule="auto"/>
              <w:jc w:val="right"/>
              <w:rPr>
                <w:color w:val="000000"/>
                <w:sz w:val="22"/>
                <w:szCs w:val="22"/>
                <w:lang w:eastAsia="sk-SK"/>
              </w:rPr>
            </w:pPr>
            <w:r w:rsidRPr="00B37E51">
              <w:rPr>
                <w:color w:val="000000"/>
                <w:sz w:val="22"/>
                <w:szCs w:val="22"/>
                <w:lang w:eastAsia="sk-SK"/>
              </w:rPr>
              <w:t>493 290</w:t>
            </w:r>
          </w:p>
        </w:tc>
        <w:tc>
          <w:tcPr>
            <w:tcW w:w="1122"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jc w:val="right"/>
              <w:rPr>
                <w:color w:val="000000"/>
                <w:sz w:val="22"/>
                <w:szCs w:val="22"/>
                <w:lang w:eastAsia="sk-SK"/>
              </w:rPr>
            </w:pPr>
            <w:r w:rsidRPr="00B37E51">
              <w:rPr>
                <w:color w:val="000000"/>
                <w:sz w:val="22"/>
                <w:szCs w:val="22"/>
                <w:lang w:eastAsia="sk-SK"/>
              </w:rPr>
              <w:t>1,035</w:t>
            </w:r>
          </w:p>
        </w:tc>
      </w:tr>
      <w:tr w:rsidR="00B37E51" w:rsidRPr="00B37E51" w:rsidTr="003D0BAD">
        <w:trPr>
          <w:trHeight w:val="301"/>
        </w:trPr>
        <w:tc>
          <w:tcPr>
            <w:tcW w:w="394" w:type="dxa"/>
            <w:tcBorders>
              <w:top w:val="nil"/>
              <w:left w:val="nil"/>
              <w:bottom w:val="nil"/>
              <w:right w:val="nil"/>
            </w:tcBorders>
            <w:shd w:val="clear" w:color="auto" w:fill="auto"/>
            <w:noWrap/>
            <w:vAlign w:val="bottom"/>
            <w:hideMark/>
          </w:tcPr>
          <w:p w:rsidR="00B37E51" w:rsidRPr="003D0BAD" w:rsidRDefault="00B37E51" w:rsidP="00C736AE">
            <w:pPr>
              <w:suppressAutoHyphens w:val="0"/>
              <w:spacing w:after="0" w:line="240" w:lineRule="auto"/>
              <w:rPr>
                <w:color w:val="000000"/>
                <w:lang w:eastAsia="sk-SK"/>
              </w:rPr>
            </w:pPr>
            <w:r w:rsidRPr="003D0BAD">
              <w:rPr>
                <w:color w:val="000000"/>
                <w:lang w:eastAsia="sk-SK"/>
              </w:rPr>
              <w:t>1</w:t>
            </w:r>
            <w:r w:rsidR="00715F44" w:rsidRPr="003D0BAD">
              <w:rPr>
                <w:color w:val="000000"/>
                <w:lang w:eastAsia="sk-SK"/>
              </w:rPr>
              <w:t>0</w:t>
            </w:r>
            <w:r w:rsidR="00C736AE">
              <w:rPr>
                <w:color w:val="000000"/>
                <w:lang w:eastAsia="sk-SK"/>
              </w:rPr>
              <w:t>.</w:t>
            </w:r>
          </w:p>
        </w:tc>
        <w:tc>
          <w:tcPr>
            <w:tcW w:w="6305"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rPr>
                <w:color w:val="000000"/>
                <w:sz w:val="22"/>
                <w:szCs w:val="22"/>
                <w:lang w:eastAsia="sk-SK"/>
              </w:rPr>
            </w:pPr>
            <w:r w:rsidRPr="00B37E51">
              <w:rPr>
                <w:color w:val="000000"/>
                <w:sz w:val="22"/>
                <w:szCs w:val="22"/>
                <w:lang w:eastAsia="sk-SK"/>
              </w:rPr>
              <w:t>Bratská jednota baptistov v Slovenskej republike</w:t>
            </w:r>
          </w:p>
        </w:tc>
        <w:tc>
          <w:tcPr>
            <w:tcW w:w="1238" w:type="dxa"/>
            <w:tcBorders>
              <w:top w:val="nil"/>
              <w:left w:val="nil"/>
              <w:bottom w:val="nil"/>
              <w:right w:val="nil"/>
            </w:tcBorders>
            <w:shd w:val="clear" w:color="auto" w:fill="auto"/>
            <w:noWrap/>
            <w:vAlign w:val="bottom"/>
            <w:hideMark/>
          </w:tcPr>
          <w:p w:rsidR="00B37E51" w:rsidRPr="00B37E51" w:rsidRDefault="00B37E51" w:rsidP="00A40788">
            <w:pPr>
              <w:suppressAutoHyphens w:val="0"/>
              <w:spacing w:after="0" w:line="240" w:lineRule="auto"/>
              <w:jc w:val="right"/>
              <w:rPr>
                <w:color w:val="000000"/>
                <w:sz w:val="22"/>
                <w:szCs w:val="22"/>
                <w:lang w:eastAsia="sk-SK"/>
              </w:rPr>
            </w:pPr>
            <w:r w:rsidRPr="00B37E51">
              <w:rPr>
                <w:color w:val="000000"/>
                <w:sz w:val="22"/>
                <w:szCs w:val="22"/>
                <w:lang w:eastAsia="sk-SK"/>
              </w:rPr>
              <w:t>363 336</w:t>
            </w:r>
          </w:p>
        </w:tc>
        <w:tc>
          <w:tcPr>
            <w:tcW w:w="1122"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jc w:val="right"/>
              <w:rPr>
                <w:color w:val="000000"/>
                <w:sz w:val="22"/>
                <w:szCs w:val="22"/>
                <w:lang w:eastAsia="sk-SK"/>
              </w:rPr>
            </w:pPr>
            <w:r w:rsidRPr="00B37E51">
              <w:rPr>
                <w:color w:val="000000"/>
                <w:sz w:val="22"/>
                <w:szCs w:val="22"/>
                <w:lang w:eastAsia="sk-SK"/>
              </w:rPr>
              <w:t>0,763</w:t>
            </w:r>
          </w:p>
        </w:tc>
      </w:tr>
      <w:tr w:rsidR="00B37E51" w:rsidRPr="00B37E51" w:rsidTr="003D0BAD">
        <w:trPr>
          <w:trHeight w:val="301"/>
        </w:trPr>
        <w:tc>
          <w:tcPr>
            <w:tcW w:w="394" w:type="dxa"/>
            <w:tcBorders>
              <w:top w:val="nil"/>
              <w:left w:val="nil"/>
              <w:bottom w:val="nil"/>
              <w:right w:val="nil"/>
            </w:tcBorders>
            <w:shd w:val="clear" w:color="auto" w:fill="auto"/>
            <w:noWrap/>
            <w:vAlign w:val="bottom"/>
            <w:hideMark/>
          </w:tcPr>
          <w:p w:rsidR="00B37E51" w:rsidRPr="003D0BAD" w:rsidRDefault="00715F44" w:rsidP="00C736AE">
            <w:pPr>
              <w:suppressAutoHyphens w:val="0"/>
              <w:spacing w:after="0" w:line="240" w:lineRule="auto"/>
              <w:rPr>
                <w:color w:val="000000"/>
                <w:lang w:eastAsia="sk-SK"/>
              </w:rPr>
            </w:pPr>
            <w:r w:rsidRPr="003D0BAD">
              <w:rPr>
                <w:color w:val="000000"/>
                <w:lang w:eastAsia="sk-SK"/>
              </w:rPr>
              <w:t>11</w:t>
            </w:r>
            <w:r w:rsidR="00C736AE">
              <w:rPr>
                <w:color w:val="000000"/>
                <w:lang w:eastAsia="sk-SK"/>
              </w:rPr>
              <w:t>.</w:t>
            </w:r>
          </w:p>
        </w:tc>
        <w:tc>
          <w:tcPr>
            <w:tcW w:w="6305"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rPr>
                <w:color w:val="000000"/>
                <w:sz w:val="22"/>
                <w:szCs w:val="22"/>
                <w:lang w:eastAsia="sk-SK"/>
              </w:rPr>
            </w:pPr>
            <w:r w:rsidRPr="00B37E51">
              <w:rPr>
                <w:color w:val="000000"/>
                <w:sz w:val="22"/>
                <w:szCs w:val="22"/>
                <w:lang w:eastAsia="sk-SK"/>
              </w:rPr>
              <w:t>Cirkev bratská v Slovenskej republike</w:t>
            </w:r>
          </w:p>
        </w:tc>
        <w:tc>
          <w:tcPr>
            <w:tcW w:w="1238" w:type="dxa"/>
            <w:tcBorders>
              <w:top w:val="nil"/>
              <w:left w:val="nil"/>
              <w:bottom w:val="nil"/>
              <w:right w:val="nil"/>
            </w:tcBorders>
            <w:shd w:val="clear" w:color="auto" w:fill="auto"/>
            <w:noWrap/>
            <w:vAlign w:val="bottom"/>
            <w:hideMark/>
          </w:tcPr>
          <w:p w:rsidR="00B37E51" w:rsidRPr="00B37E51" w:rsidRDefault="00B37E51" w:rsidP="00A40788">
            <w:pPr>
              <w:suppressAutoHyphens w:val="0"/>
              <w:spacing w:after="0" w:line="240" w:lineRule="auto"/>
              <w:jc w:val="right"/>
              <w:rPr>
                <w:color w:val="000000"/>
                <w:sz w:val="22"/>
                <w:szCs w:val="22"/>
                <w:lang w:eastAsia="sk-SK"/>
              </w:rPr>
            </w:pPr>
            <w:r w:rsidRPr="00B37E51">
              <w:rPr>
                <w:color w:val="000000"/>
                <w:sz w:val="22"/>
                <w:szCs w:val="22"/>
                <w:lang w:eastAsia="sk-SK"/>
              </w:rPr>
              <w:t>398 454</w:t>
            </w:r>
          </w:p>
        </w:tc>
        <w:tc>
          <w:tcPr>
            <w:tcW w:w="1122"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jc w:val="right"/>
              <w:rPr>
                <w:color w:val="000000"/>
                <w:sz w:val="22"/>
                <w:szCs w:val="22"/>
                <w:lang w:eastAsia="sk-SK"/>
              </w:rPr>
            </w:pPr>
            <w:r w:rsidRPr="00B37E51">
              <w:rPr>
                <w:color w:val="000000"/>
                <w:sz w:val="22"/>
                <w:szCs w:val="22"/>
                <w:lang w:eastAsia="sk-SK"/>
              </w:rPr>
              <w:t>0,836</w:t>
            </w:r>
          </w:p>
        </w:tc>
      </w:tr>
      <w:tr w:rsidR="00B37E51" w:rsidRPr="00B37E51" w:rsidTr="003D0BAD">
        <w:trPr>
          <w:trHeight w:val="301"/>
        </w:trPr>
        <w:tc>
          <w:tcPr>
            <w:tcW w:w="394" w:type="dxa"/>
            <w:tcBorders>
              <w:top w:val="nil"/>
              <w:left w:val="nil"/>
              <w:bottom w:val="nil"/>
              <w:right w:val="nil"/>
            </w:tcBorders>
            <w:shd w:val="clear" w:color="auto" w:fill="auto"/>
            <w:noWrap/>
            <w:vAlign w:val="bottom"/>
            <w:hideMark/>
          </w:tcPr>
          <w:p w:rsidR="00B37E51" w:rsidRPr="003D0BAD" w:rsidRDefault="00715F44" w:rsidP="00C736AE">
            <w:pPr>
              <w:suppressAutoHyphens w:val="0"/>
              <w:spacing w:after="0" w:line="240" w:lineRule="auto"/>
              <w:rPr>
                <w:color w:val="000000"/>
                <w:lang w:eastAsia="sk-SK"/>
              </w:rPr>
            </w:pPr>
            <w:r w:rsidRPr="003D0BAD">
              <w:rPr>
                <w:color w:val="000000"/>
                <w:lang w:eastAsia="sk-SK"/>
              </w:rPr>
              <w:t>12</w:t>
            </w:r>
            <w:r w:rsidR="00C736AE">
              <w:rPr>
                <w:color w:val="000000"/>
                <w:lang w:eastAsia="sk-SK"/>
              </w:rPr>
              <w:t>.</w:t>
            </w:r>
          </w:p>
        </w:tc>
        <w:tc>
          <w:tcPr>
            <w:tcW w:w="6305"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rPr>
                <w:color w:val="000000"/>
                <w:sz w:val="22"/>
                <w:szCs w:val="22"/>
                <w:lang w:eastAsia="sk-SK"/>
              </w:rPr>
            </w:pPr>
            <w:r w:rsidRPr="00B37E51">
              <w:rPr>
                <w:color w:val="000000"/>
                <w:sz w:val="22"/>
                <w:szCs w:val="22"/>
                <w:lang w:eastAsia="sk-SK"/>
              </w:rPr>
              <w:t>Cirkev adventistov siedmeho dňa, Slovenské združenie</w:t>
            </w:r>
          </w:p>
        </w:tc>
        <w:tc>
          <w:tcPr>
            <w:tcW w:w="1238" w:type="dxa"/>
            <w:tcBorders>
              <w:top w:val="nil"/>
              <w:left w:val="nil"/>
              <w:bottom w:val="nil"/>
              <w:right w:val="nil"/>
            </w:tcBorders>
            <w:shd w:val="clear" w:color="auto" w:fill="auto"/>
            <w:noWrap/>
            <w:vAlign w:val="bottom"/>
            <w:hideMark/>
          </w:tcPr>
          <w:p w:rsidR="00B37E51" w:rsidRPr="00B37E51" w:rsidRDefault="00B37E51" w:rsidP="00A40788">
            <w:pPr>
              <w:suppressAutoHyphens w:val="0"/>
              <w:spacing w:after="0" w:line="240" w:lineRule="auto"/>
              <w:jc w:val="right"/>
              <w:rPr>
                <w:color w:val="000000"/>
                <w:sz w:val="22"/>
                <w:szCs w:val="22"/>
                <w:lang w:eastAsia="sk-SK"/>
              </w:rPr>
            </w:pPr>
            <w:r w:rsidRPr="00B37E51">
              <w:rPr>
                <w:color w:val="000000"/>
                <w:sz w:val="22"/>
                <w:szCs w:val="22"/>
                <w:lang w:eastAsia="sk-SK"/>
              </w:rPr>
              <w:t>40 526</w:t>
            </w:r>
          </w:p>
        </w:tc>
        <w:tc>
          <w:tcPr>
            <w:tcW w:w="1122"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jc w:val="right"/>
              <w:rPr>
                <w:color w:val="000000"/>
                <w:sz w:val="22"/>
                <w:szCs w:val="22"/>
                <w:lang w:eastAsia="sk-SK"/>
              </w:rPr>
            </w:pPr>
            <w:r w:rsidRPr="00B37E51">
              <w:rPr>
                <w:color w:val="000000"/>
                <w:sz w:val="22"/>
                <w:szCs w:val="22"/>
                <w:lang w:eastAsia="sk-SK"/>
              </w:rPr>
              <w:t>0,085</w:t>
            </w:r>
          </w:p>
        </w:tc>
      </w:tr>
      <w:tr w:rsidR="00B37E51" w:rsidRPr="00B37E51" w:rsidTr="003D0BAD">
        <w:trPr>
          <w:trHeight w:val="301"/>
        </w:trPr>
        <w:tc>
          <w:tcPr>
            <w:tcW w:w="394" w:type="dxa"/>
            <w:tcBorders>
              <w:top w:val="nil"/>
              <w:left w:val="nil"/>
              <w:bottom w:val="nil"/>
              <w:right w:val="nil"/>
            </w:tcBorders>
            <w:shd w:val="clear" w:color="auto" w:fill="auto"/>
            <w:noWrap/>
            <w:vAlign w:val="bottom"/>
            <w:hideMark/>
          </w:tcPr>
          <w:p w:rsidR="00B37E51" w:rsidRPr="003D0BAD" w:rsidRDefault="00B37E51" w:rsidP="00C736AE">
            <w:pPr>
              <w:suppressAutoHyphens w:val="0"/>
              <w:spacing w:after="0" w:line="240" w:lineRule="auto"/>
              <w:rPr>
                <w:color w:val="000000"/>
                <w:lang w:eastAsia="sk-SK"/>
              </w:rPr>
            </w:pPr>
            <w:r w:rsidRPr="003D0BAD">
              <w:rPr>
                <w:color w:val="000000"/>
                <w:lang w:eastAsia="sk-SK"/>
              </w:rPr>
              <w:t>1</w:t>
            </w:r>
            <w:r w:rsidR="00715F44" w:rsidRPr="003D0BAD">
              <w:rPr>
                <w:color w:val="000000"/>
                <w:lang w:eastAsia="sk-SK"/>
              </w:rPr>
              <w:t>3</w:t>
            </w:r>
            <w:r w:rsidR="00C736AE">
              <w:rPr>
                <w:color w:val="000000"/>
                <w:lang w:eastAsia="sk-SK"/>
              </w:rPr>
              <w:t>.</w:t>
            </w:r>
          </w:p>
        </w:tc>
        <w:tc>
          <w:tcPr>
            <w:tcW w:w="6305"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rPr>
                <w:color w:val="000000"/>
                <w:sz w:val="22"/>
                <w:szCs w:val="22"/>
                <w:lang w:eastAsia="sk-SK"/>
              </w:rPr>
            </w:pPr>
            <w:r w:rsidRPr="00B37E51">
              <w:rPr>
                <w:color w:val="000000"/>
                <w:sz w:val="22"/>
                <w:szCs w:val="22"/>
                <w:lang w:eastAsia="sk-SK"/>
              </w:rPr>
              <w:t>Ústredný zväz židovských náboženských obcí v Slovenskej republike</w:t>
            </w:r>
          </w:p>
        </w:tc>
        <w:tc>
          <w:tcPr>
            <w:tcW w:w="1238" w:type="dxa"/>
            <w:tcBorders>
              <w:top w:val="nil"/>
              <w:left w:val="nil"/>
              <w:bottom w:val="nil"/>
              <w:right w:val="nil"/>
            </w:tcBorders>
            <w:shd w:val="clear" w:color="auto" w:fill="auto"/>
            <w:noWrap/>
            <w:vAlign w:val="bottom"/>
            <w:hideMark/>
          </w:tcPr>
          <w:p w:rsidR="00B37E51" w:rsidRPr="00B37E51" w:rsidRDefault="00B37E51" w:rsidP="00A40788">
            <w:pPr>
              <w:suppressAutoHyphens w:val="0"/>
              <w:spacing w:after="0" w:line="240" w:lineRule="auto"/>
              <w:jc w:val="right"/>
              <w:rPr>
                <w:color w:val="000000"/>
                <w:sz w:val="22"/>
                <w:szCs w:val="22"/>
                <w:lang w:eastAsia="sk-SK"/>
              </w:rPr>
            </w:pPr>
            <w:r w:rsidRPr="00B37E51">
              <w:rPr>
                <w:color w:val="000000"/>
                <w:sz w:val="22"/>
                <w:szCs w:val="22"/>
                <w:lang w:eastAsia="sk-SK"/>
              </w:rPr>
              <w:t>137 892</w:t>
            </w:r>
          </w:p>
        </w:tc>
        <w:tc>
          <w:tcPr>
            <w:tcW w:w="1122"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jc w:val="right"/>
              <w:rPr>
                <w:color w:val="000000"/>
                <w:sz w:val="22"/>
                <w:szCs w:val="22"/>
                <w:lang w:eastAsia="sk-SK"/>
              </w:rPr>
            </w:pPr>
            <w:r w:rsidRPr="00B37E51">
              <w:rPr>
                <w:color w:val="000000"/>
                <w:sz w:val="22"/>
                <w:szCs w:val="22"/>
                <w:lang w:eastAsia="sk-SK"/>
              </w:rPr>
              <w:t>0,289</w:t>
            </w:r>
          </w:p>
        </w:tc>
      </w:tr>
      <w:tr w:rsidR="00B37E51" w:rsidRPr="00B37E51" w:rsidTr="003D0BAD">
        <w:trPr>
          <w:trHeight w:val="301"/>
        </w:trPr>
        <w:tc>
          <w:tcPr>
            <w:tcW w:w="394" w:type="dxa"/>
            <w:tcBorders>
              <w:top w:val="nil"/>
              <w:left w:val="nil"/>
              <w:bottom w:val="nil"/>
              <w:right w:val="nil"/>
            </w:tcBorders>
            <w:shd w:val="clear" w:color="auto" w:fill="auto"/>
            <w:noWrap/>
            <w:vAlign w:val="bottom"/>
            <w:hideMark/>
          </w:tcPr>
          <w:p w:rsidR="00B37E51" w:rsidRPr="003D0BAD" w:rsidRDefault="00715F44" w:rsidP="00C736AE">
            <w:pPr>
              <w:suppressAutoHyphens w:val="0"/>
              <w:spacing w:after="0" w:line="240" w:lineRule="auto"/>
              <w:rPr>
                <w:color w:val="000000"/>
                <w:lang w:eastAsia="sk-SK"/>
              </w:rPr>
            </w:pPr>
            <w:r w:rsidRPr="003D0BAD">
              <w:rPr>
                <w:color w:val="000000"/>
                <w:lang w:eastAsia="sk-SK"/>
              </w:rPr>
              <w:t>14</w:t>
            </w:r>
            <w:r w:rsidR="00C736AE">
              <w:rPr>
                <w:color w:val="000000"/>
                <w:lang w:eastAsia="sk-SK"/>
              </w:rPr>
              <w:t>.</w:t>
            </w:r>
          </w:p>
        </w:tc>
        <w:tc>
          <w:tcPr>
            <w:tcW w:w="6305"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rPr>
                <w:color w:val="000000"/>
                <w:sz w:val="22"/>
                <w:szCs w:val="22"/>
                <w:lang w:eastAsia="sk-SK"/>
              </w:rPr>
            </w:pPr>
            <w:r w:rsidRPr="00B37E51">
              <w:rPr>
                <w:color w:val="000000"/>
                <w:sz w:val="22"/>
                <w:szCs w:val="22"/>
                <w:lang w:eastAsia="sk-SK"/>
              </w:rPr>
              <w:t>Cirkev československá husitská na Slovensku</w:t>
            </w:r>
          </w:p>
        </w:tc>
        <w:tc>
          <w:tcPr>
            <w:tcW w:w="1238" w:type="dxa"/>
            <w:tcBorders>
              <w:top w:val="nil"/>
              <w:left w:val="nil"/>
              <w:bottom w:val="nil"/>
              <w:right w:val="nil"/>
            </w:tcBorders>
            <w:shd w:val="clear" w:color="auto" w:fill="auto"/>
            <w:noWrap/>
            <w:vAlign w:val="bottom"/>
            <w:hideMark/>
          </w:tcPr>
          <w:p w:rsidR="00B37E51" w:rsidRPr="00B37E51" w:rsidRDefault="00B37E51" w:rsidP="00A40788">
            <w:pPr>
              <w:suppressAutoHyphens w:val="0"/>
              <w:spacing w:after="0" w:line="240" w:lineRule="auto"/>
              <w:jc w:val="right"/>
              <w:rPr>
                <w:color w:val="000000"/>
                <w:sz w:val="22"/>
                <w:szCs w:val="22"/>
                <w:lang w:eastAsia="sk-SK"/>
              </w:rPr>
            </w:pPr>
            <w:r w:rsidRPr="00B37E51">
              <w:rPr>
                <w:color w:val="000000"/>
                <w:sz w:val="22"/>
                <w:szCs w:val="22"/>
                <w:lang w:eastAsia="sk-SK"/>
              </w:rPr>
              <w:t>115 384</w:t>
            </w:r>
          </w:p>
        </w:tc>
        <w:tc>
          <w:tcPr>
            <w:tcW w:w="1122"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jc w:val="right"/>
              <w:rPr>
                <w:color w:val="000000"/>
                <w:sz w:val="22"/>
                <w:szCs w:val="22"/>
                <w:lang w:eastAsia="sk-SK"/>
              </w:rPr>
            </w:pPr>
            <w:r w:rsidRPr="00B37E51">
              <w:rPr>
                <w:color w:val="000000"/>
                <w:sz w:val="22"/>
                <w:szCs w:val="22"/>
                <w:lang w:eastAsia="sk-SK"/>
              </w:rPr>
              <w:t>0,242</w:t>
            </w:r>
          </w:p>
        </w:tc>
      </w:tr>
      <w:tr w:rsidR="00B37E51" w:rsidRPr="00B37E51" w:rsidTr="003D0BAD">
        <w:trPr>
          <w:trHeight w:val="301"/>
        </w:trPr>
        <w:tc>
          <w:tcPr>
            <w:tcW w:w="394" w:type="dxa"/>
            <w:tcBorders>
              <w:top w:val="nil"/>
              <w:left w:val="nil"/>
              <w:bottom w:val="nil"/>
              <w:right w:val="nil"/>
            </w:tcBorders>
            <w:shd w:val="clear" w:color="auto" w:fill="auto"/>
            <w:noWrap/>
            <w:vAlign w:val="bottom"/>
            <w:hideMark/>
          </w:tcPr>
          <w:p w:rsidR="00B37E51" w:rsidRPr="003D0BAD" w:rsidRDefault="00715F44" w:rsidP="00C736AE">
            <w:pPr>
              <w:suppressAutoHyphens w:val="0"/>
              <w:spacing w:after="0" w:line="240" w:lineRule="auto"/>
              <w:rPr>
                <w:color w:val="000000"/>
                <w:lang w:eastAsia="sk-SK"/>
              </w:rPr>
            </w:pPr>
            <w:r w:rsidRPr="003D0BAD">
              <w:rPr>
                <w:color w:val="000000"/>
                <w:lang w:eastAsia="sk-SK"/>
              </w:rPr>
              <w:t>15</w:t>
            </w:r>
            <w:r w:rsidR="00C736AE">
              <w:rPr>
                <w:color w:val="000000"/>
                <w:lang w:eastAsia="sk-SK"/>
              </w:rPr>
              <w:t>.</w:t>
            </w:r>
          </w:p>
        </w:tc>
        <w:tc>
          <w:tcPr>
            <w:tcW w:w="6305"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rPr>
                <w:color w:val="000000"/>
                <w:sz w:val="22"/>
                <w:szCs w:val="22"/>
                <w:lang w:eastAsia="sk-SK"/>
              </w:rPr>
            </w:pPr>
            <w:r w:rsidRPr="00B37E51">
              <w:rPr>
                <w:color w:val="000000"/>
                <w:sz w:val="22"/>
                <w:szCs w:val="22"/>
                <w:lang w:eastAsia="sk-SK"/>
              </w:rPr>
              <w:t>Starokatolícka cirkev na Slovensku</w:t>
            </w:r>
          </w:p>
        </w:tc>
        <w:tc>
          <w:tcPr>
            <w:tcW w:w="1238" w:type="dxa"/>
            <w:tcBorders>
              <w:top w:val="nil"/>
              <w:left w:val="nil"/>
              <w:bottom w:val="nil"/>
              <w:right w:val="nil"/>
            </w:tcBorders>
            <w:shd w:val="clear" w:color="auto" w:fill="auto"/>
            <w:noWrap/>
            <w:vAlign w:val="bottom"/>
            <w:hideMark/>
          </w:tcPr>
          <w:p w:rsidR="00B37E51" w:rsidRPr="00B37E51" w:rsidRDefault="00B37E51" w:rsidP="00A40788">
            <w:pPr>
              <w:suppressAutoHyphens w:val="0"/>
              <w:spacing w:after="0" w:line="240" w:lineRule="auto"/>
              <w:jc w:val="right"/>
              <w:rPr>
                <w:color w:val="000000"/>
                <w:sz w:val="22"/>
                <w:szCs w:val="22"/>
                <w:lang w:eastAsia="sk-SK"/>
              </w:rPr>
            </w:pPr>
            <w:r w:rsidRPr="00B37E51">
              <w:rPr>
                <w:color w:val="000000"/>
                <w:sz w:val="22"/>
                <w:szCs w:val="22"/>
                <w:lang w:eastAsia="sk-SK"/>
              </w:rPr>
              <w:t>127 093</w:t>
            </w:r>
          </w:p>
        </w:tc>
        <w:tc>
          <w:tcPr>
            <w:tcW w:w="1122"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jc w:val="right"/>
              <w:rPr>
                <w:color w:val="000000"/>
                <w:sz w:val="22"/>
                <w:szCs w:val="22"/>
                <w:lang w:eastAsia="sk-SK"/>
              </w:rPr>
            </w:pPr>
            <w:r w:rsidRPr="00B37E51">
              <w:rPr>
                <w:color w:val="000000"/>
                <w:sz w:val="22"/>
                <w:szCs w:val="22"/>
                <w:lang w:eastAsia="sk-SK"/>
              </w:rPr>
              <w:t>0,267</w:t>
            </w:r>
          </w:p>
        </w:tc>
      </w:tr>
      <w:tr w:rsidR="00B37E51" w:rsidRPr="00B37E51" w:rsidTr="003D0BAD">
        <w:trPr>
          <w:trHeight w:val="301"/>
        </w:trPr>
        <w:tc>
          <w:tcPr>
            <w:tcW w:w="394" w:type="dxa"/>
            <w:tcBorders>
              <w:top w:val="nil"/>
              <w:left w:val="nil"/>
              <w:bottom w:val="nil"/>
              <w:right w:val="nil"/>
            </w:tcBorders>
            <w:shd w:val="clear" w:color="auto" w:fill="auto"/>
            <w:noWrap/>
            <w:vAlign w:val="bottom"/>
            <w:hideMark/>
          </w:tcPr>
          <w:p w:rsidR="00B37E51" w:rsidRPr="003D0BAD" w:rsidRDefault="00B37E51" w:rsidP="00C736AE">
            <w:pPr>
              <w:suppressAutoHyphens w:val="0"/>
              <w:spacing w:after="0" w:line="240" w:lineRule="auto"/>
              <w:rPr>
                <w:color w:val="000000"/>
                <w:lang w:eastAsia="sk-SK"/>
              </w:rPr>
            </w:pPr>
            <w:r w:rsidRPr="003D0BAD">
              <w:rPr>
                <w:color w:val="000000"/>
                <w:lang w:eastAsia="sk-SK"/>
              </w:rPr>
              <w:t>1</w:t>
            </w:r>
            <w:r w:rsidR="00715F44" w:rsidRPr="003D0BAD">
              <w:rPr>
                <w:color w:val="000000"/>
                <w:lang w:eastAsia="sk-SK"/>
              </w:rPr>
              <w:t>6</w:t>
            </w:r>
            <w:r w:rsidR="00C736AE">
              <w:rPr>
                <w:color w:val="000000"/>
                <w:lang w:eastAsia="sk-SK"/>
              </w:rPr>
              <w:t>.</w:t>
            </w:r>
          </w:p>
        </w:tc>
        <w:tc>
          <w:tcPr>
            <w:tcW w:w="6305"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rPr>
                <w:color w:val="000000"/>
                <w:sz w:val="22"/>
                <w:szCs w:val="22"/>
                <w:lang w:eastAsia="sk-SK"/>
              </w:rPr>
            </w:pPr>
            <w:r w:rsidRPr="00B37E51">
              <w:rPr>
                <w:color w:val="000000"/>
                <w:sz w:val="22"/>
                <w:szCs w:val="22"/>
                <w:lang w:eastAsia="sk-SK"/>
              </w:rPr>
              <w:t>Bahájske spoločenstvo v Slovenskej republike</w:t>
            </w:r>
          </w:p>
        </w:tc>
        <w:tc>
          <w:tcPr>
            <w:tcW w:w="1238" w:type="dxa"/>
            <w:tcBorders>
              <w:top w:val="nil"/>
              <w:left w:val="nil"/>
              <w:bottom w:val="nil"/>
              <w:right w:val="nil"/>
            </w:tcBorders>
            <w:shd w:val="clear" w:color="auto" w:fill="auto"/>
            <w:noWrap/>
            <w:vAlign w:val="bottom"/>
            <w:hideMark/>
          </w:tcPr>
          <w:p w:rsidR="00B37E51" w:rsidRPr="00B37E51" w:rsidRDefault="00B37E51" w:rsidP="00A40788">
            <w:pPr>
              <w:suppressAutoHyphens w:val="0"/>
              <w:spacing w:after="0" w:line="240" w:lineRule="auto"/>
              <w:jc w:val="right"/>
              <w:rPr>
                <w:color w:val="000000"/>
                <w:sz w:val="22"/>
                <w:szCs w:val="22"/>
                <w:lang w:eastAsia="sk-SK"/>
              </w:rPr>
            </w:pPr>
            <w:r w:rsidRPr="00B37E51">
              <w:rPr>
                <w:color w:val="000000"/>
                <w:sz w:val="22"/>
                <w:szCs w:val="22"/>
                <w:lang w:eastAsia="sk-SK"/>
              </w:rPr>
              <w:t>0</w:t>
            </w:r>
          </w:p>
        </w:tc>
        <w:tc>
          <w:tcPr>
            <w:tcW w:w="1122"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jc w:val="right"/>
              <w:rPr>
                <w:color w:val="000000"/>
                <w:sz w:val="22"/>
                <w:szCs w:val="22"/>
                <w:lang w:eastAsia="sk-SK"/>
              </w:rPr>
            </w:pPr>
            <w:r w:rsidRPr="00B37E51">
              <w:rPr>
                <w:color w:val="000000"/>
                <w:sz w:val="22"/>
                <w:szCs w:val="22"/>
                <w:lang w:eastAsia="sk-SK"/>
              </w:rPr>
              <w:t>0,000</w:t>
            </w:r>
          </w:p>
        </w:tc>
      </w:tr>
      <w:tr w:rsidR="00B37E51" w:rsidRPr="00B37E51" w:rsidTr="003D0BAD">
        <w:trPr>
          <w:trHeight w:val="301"/>
        </w:trPr>
        <w:tc>
          <w:tcPr>
            <w:tcW w:w="394" w:type="dxa"/>
            <w:tcBorders>
              <w:top w:val="nil"/>
              <w:left w:val="nil"/>
              <w:bottom w:val="nil"/>
              <w:right w:val="nil"/>
            </w:tcBorders>
            <w:shd w:val="clear" w:color="auto" w:fill="auto"/>
            <w:noWrap/>
            <w:vAlign w:val="bottom"/>
            <w:hideMark/>
          </w:tcPr>
          <w:p w:rsidR="00B37E51" w:rsidRPr="003D0BAD" w:rsidRDefault="00715F44" w:rsidP="00C736AE">
            <w:pPr>
              <w:suppressAutoHyphens w:val="0"/>
              <w:spacing w:after="0" w:line="240" w:lineRule="auto"/>
              <w:rPr>
                <w:color w:val="000000"/>
                <w:lang w:eastAsia="sk-SK"/>
              </w:rPr>
            </w:pPr>
            <w:r w:rsidRPr="003D0BAD">
              <w:rPr>
                <w:color w:val="000000"/>
                <w:lang w:eastAsia="sk-SK"/>
              </w:rPr>
              <w:t>17</w:t>
            </w:r>
            <w:r w:rsidR="00C736AE">
              <w:rPr>
                <w:color w:val="000000"/>
                <w:lang w:eastAsia="sk-SK"/>
              </w:rPr>
              <w:t>.</w:t>
            </w:r>
          </w:p>
        </w:tc>
        <w:tc>
          <w:tcPr>
            <w:tcW w:w="6305"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rPr>
                <w:color w:val="000000"/>
                <w:sz w:val="22"/>
                <w:szCs w:val="22"/>
                <w:lang w:eastAsia="sk-SK"/>
              </w:rPr>
            </w:pPr>
            <w:r w:rsidRPr="00B37E51">
              <w:rPr>
                <w:color w:val="000000"/>
                <w:sz w:val="22"/>
                <w:szCs w:val="22"/>
                <w:lang w:eastAsia="sk-SK"/>
              </w:rPr>
              <w:t>Cirkev Ježiša Krista Svätých neskorších dní v Slovenskej republike</w:t>
            </w:r>
          </w:p>
        </w:tc>
        <w:tc>
          <w:tcPr>
            <w:tcW w:w="1238" w:type="dxa"/>
            <w:tcBorders>
              <w:top w:val="nil"/>
              <w:left w:val="nil"/>
              <w:bottom w:val="nil"/>
              <w:right w:val="nil"/>
            </w:tcBorders>
            <w:shd w:val="clear" w:color="auto" w:fill="auto"/>
            <w:noWrap/>
            <w:vAlign w:val="bottom"/>
            <w:hideMark/>
          </w:tcPr>
          <w:p w:rsidR="00B37E51" w:rsidRPr="00B37E51" w:rsidRDefault="00B37E51" w:rsidP="00A40788">
            <w:pPr>
              <w:suppressAutoHyphens w:val="0"/>
              <w:spacing w:after="0" w:line="240" w:lineRule="auto"/>
              <w:jc w:val="right"/>
              <w:rPr>
                <w:color w:val="000000"/>
                <w:sz w:val="22"/>
                <w:szCs w:val="22"/>
                <w:lang w:eastAsia="sk-SK"/>
              </w:rPr>
            </w:pPr>
            <w:r w:rsidRPr="00B37E51">
              <w:rPr>
                <w:color w:val="000000"/>
                <w:sz w:val="22"/>
                <w:szCs w:val="22"/>
                <w:lang w:eastAsia="sk-SK"/>
              </w:rPr>
              <w:t>0</w:t>
            </w:r>
          </w:p>
        </w:tc>
        <w:tc>
          <w:tcPr>
            <w:tcW w:w="1122" w:type="dxa"/>
            <w:tcBorders>
              <w:top w:val="nil"/>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jc w:val="right"/>
              <w:rPr>
                <w:color w:val="000000"/>
                <w:sz w:val="22"/>
                <w:szCs w:val="22"/>
                <w:lang w:eastAsia="sk-SK"/>
              </w:rPr>
            </w:pPr>
            <w:r w:rsidRPr="00B37E51">
              <w:rPr>
                <w:color w:val="000000"/>
                <w:sz w:val="22"/>
                <w:szCs w:val="22"/>
                <w:lang w:eastAsia="sk-SK"/>
              </w:rPr>
              <w:t>0,000</w:t>
            </w:r>
          </w:p>
        </w:tc>
      </w:tr>
      <w:tr w:rsidR="00B37E51" w:rsidRPr="00B37E51" w:rsidTr="003D0BAD">
        <w:trPr>
          <w:trHeight w:val="301"/>
        </w:trPr>
        <w:tc>
          <w:tcPr>
            <w:tcW w:w="394" w:type="dxa"/>
            <w:tcBorders>
              <w:top w:val="nil"/>
              <w:left w:val="nil"/>
              <w:bottom w:val="single" w:sz="4" w:space="0" w:color="auto"/>
              <w:right w:val="nil"/>
            </w:tcBorders>
            <w:shd w:val="clear" w:color="auto" w:fill="auto"/>
            <w:noWrap/>
            <w:vAlign w:val="bottom"/>
            <w:hideMark/>
          </w:tcPr>
          <w:p w:rsidR="00B37E51" w:rsidRPr="003D0BAD" w:rsidRDefault="00715F44" w:rsidP="00C736AE">
            <w:pPr>
              <w:suppressAutoHyphens w:val="0"/>
              <w:spacing w:after="0" w:line="240" w:lineRule="auto"/>
              <w:rPr>
                <w:color w:val="000000"/>
                <w:lang w:eastAsia="sk-SK"/>
              </w:rPr>
            </w:pPr>
            <w:r w:rsidRPr="003D0BAD">
              <w:rPr>
                <w:color w:val="000000"/>
                <w:lang w:eastAsia="sk-SK"/>
              </w:rPr>
              <w:t>18</w:t>
            </w:r>
            <w:r w:rsidR="00C736AE">
              <w:rPr>
                <w:color w:val="000000"/>
                <w:lang w:eastAsia="sk-SK"/>
              </w:rPr>
              <w:t>.</w:t>
            </w:r>
          </w:p>
        </w:tc>
        <w:tc>
          <w:tcPr>
            <w:tcW w:w="6305" w:type="dxa"/>
            <w:tcBorders>
              <w:top w:val="nil"/>
              <w:left w:val="nil"/>
              <w:bottom w:val="single" w:sz="4" w:space="0" w:color="auto"/>
              <w:right w:val="nil"/>
            </w:tcBorders>
            <w:shd w:val="clear" w:color="auto" w:fill="auto"/>
            <w:noWrap/>
            <w:vAlign w:val="bottom"/>
            <w:hideMark/>
          </w:tcPr>
          <w:p w:rsidR="00B37E51" w:rsidRPr="00B37E51" w:rsidRDefault="00B37E51" w:rsidP="00B37E51">
            <w:pPr>
              <w:suppressAutoHyphens w:val="0"/>
              <w:spacing w:after="0" w:line="240" w:lineRule="auto"/>
              <w:rPr>
                <w:color w:val="000000"/>
                <w:sz w:val="22"/>
                <w:szCs w:val="22"/>
                <w:lang w:eastAsia="sk-SK"/>
              </w:rPr>
            </w:pPr>
            <w:r w:rsidRPr="00B37E51">
              <w:rPr>
                <w:color w:val="000000"/>
                <w:sz w:val="22"/>
                <w:szCs w:val="22"/>
                <w:lang w:eastAsia="sk-SK"/>
              </w:rPr>
              <w:t>Novoapoštolská cirkev v Slovenskej republike</w:t>
            </w:r>
          </w:p>
        </w:tc>
        <w:tc>
          <w:tcPr>
            <w:tcW w:w="1238" w:type="dxa"/>
            <w:tcBorders>
              <w:top w:val="nil"/>
              <w:left w:val="nil"/>
              <w:bottom w:val="single" w:sz="4" w:space="0" w:color="auto"/>
              <w:right w:val="nil"/>
            </w:tcBorders>
            <w:shd w:val="clear" w:color="auto" w:fill="auto"/>
            <w:noWrap/>
            <w:vAlign w:val="bottom"/>
            <w:hideMark/>
          </w:tcPr>
          <w:p w:rsidR="00B37E51" w:rsidRPr="00B37E51" w:rsidRDefault="00B37E51" w:rsidP="00A40788">
            <w:pPr>
              <w:suppressAutoHyphens w:val="0"/>
              <w:spacing w:after="0" w:line="240" w:lineRule="auto"/>
              <w:jc w:val="right"/>
              <w:rPr>
                <w:color w:val="000000"/>
                <w:sz w:val="22"/>
                <w:szCs w:val="22"/>
                <w:lang w:eastAsia="sk-SK"/>
              </w:rPr>
            </w:pPr>
            <w:r w:rsidRPr="00B37E51">
              <w:rPr>
                <w:color w:val="000000"/>
                <w:sz w:val="22"/>
                <w:szCs w:val="22"/>
                <w:lang w:eastAsia="sk-SK"/>
              </w:rPr>
              <w:t>8 382</w:t>
            </w:r>
          </w:p>
        </w:tc>
        <w:tc>
          <w:tcPr>
            <w:tcW w:w="1122" w:type="dxa"/>
            <w:tcBorders>
              <w:top w:val="nil"/>
              <w:left w:val="nil"/>
              <w:bottom w:val="single" w:sz="4" w:space="0" w:color="auto"/>
              <w:right w:val="nil"/>
            </w:tcBorders>
            <w:shd w:val="clear" w:color="auto" w:fill="auto"/>
            <w:noWrap/>
            <w:vAlign w:val="bottom"/>
            <w:hideMark/>
          </w:tcPr>
          <w:p w:rsidR="00B37E51" w:rsidRPr="00B37E51" w:rsidRDefault="00B37E51" w:rsidP="00B37E51">
            <w:pPr>
              <w:suppressAutoHyphens w:val="0"/>
              <w:spacing w:after="0" w:line="240" w:lineRule="auto"/>
              <w:jc w:val="right"/>
              <w:rPr>
                <w:color w:val="000000"/>
                <w:sz w:val="22"/>
                <w:szCs w:val="22"/>
                <w:lang w:eastAsia="sk-SK"/>
              </w:rPr>
            </w:pPr>
            <w:r w:rsidRPr="00B37E51">
              <w:rPr>
                <w:color w:val="000000"/>
                <w:sz w:val="22"/>
                <w:szCs w:val="22"/>
                <w:lang w:eastAsia="sk-SK"/>
              </w:rPr>
              <w:t>0,018</w:t>
            </w:r>
          </w:p>
        </w:tc>
      </w:tr>
      <w:tr w:rsidR="00B37E51" w:rsidRPr="00B37E51" w:rsidTr="003D0BAD">
        <w:trPr>
          <w:trHeight w:val="301"/>
        </w:trPr>
        <w:tc>
          <w:tcPr>
            <w:tcW w:w="394" w:type="dxa"/>
            <w:tcBorders>
              <w:top w:val="single" w:sz="4" w:space="0" w:color="auto"/>
              <w:left w:val="nil"/>
              <w:bottom w:val="nil"/>
              <w:right w:val="nil"/>
            </w:tcBorders>
            <w:shd w:val="clear" w:color="auto" w:fill="auto"/>
            <w:noWrap/>
            <w:vAlign w:val="bottom"/>
            <w:hideMark/>
          </w:tcPr>
          <w:p w:rsidR="00B37E51" w:rsidRPr="003D0BAD" w:rsidRDefault="00B37E51" w:rsidP="00B37E51">
            <w:pPr>
              <w:suppressAutoHyphens w:val="0"/>
              <w:spacing w:after="0" w:line="240" w:lineRule="auto"/>
              <w:rPr>
                <w:color w:val="000000"/>
                <w:lang w:eastAsia="sk-SK"/>
              </w:rPr>
            </w:pPr>
          </w:p>
        </w:tc>
        <w:tc>
          <w:tcPr>
            <w:tcW w:w="6305" w:type="dxa"/>
            <w:tcBorders>
              <w:top w:val="single" w:sz="4" w:space="0" w:color="auto"/>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rPr>
                <w:color w:val="000000"/>
                <w:sz w:val="22"/>
                <w:szCs w:val="22"/>
                <w:lang w:eastAsia="sk-SK"/>
              </w:rPr>
            </w:pPr>
            <w:r w:rsidRPr="00B37E51">
              <w:rPr>
                <w:color w:val="000000"/>
                <w:sz w:val="22"/>
                <w:szCs w:val="22"/>
                <w:lang w:eastAsia="sk-SK"/>
              </w:rPr>
              <w:t>spolu</w:t>
            </w:r>
          </w:p>
        </w:tc>
        <w:tc>
          <w:tcPr>
            <w:tcW w:w="1238" w:type="dxa"/>
            <w:tcBorders>
              <w:top w:val="single" w:sz="4" w:space="0" w:color="auto"/>
              <w:left w:val="nil"/>
              <w:bottom w:val="nil"/>
              <w:right w:val="nil"/>
            </w:tcBorders>
            <w:shd w:val="clear" w:color="auto" w:fill="auto"/>
            <w:noWrap/>
            <w:vAlign w:val="bottom"/>
            <w:hideMark/>
          </w:tcPr>
          <w:p w:rsidR="00B37E51" w:rsidRPr="00B37E51" w:rsidRDefault="00B37E51" w:rsidP="00A40788">
            <w:pPr>
              <w:suppressAutoHyphens w:val="0"/>
              <w:spacing w:after="0" w:line="240" w:lineRule="auto"/>
              <w:jc w:val="right"/>
              <w:rPr>
                <w:color w:val="000000"/>
                <w:sz w:val="22"/>
                <w:szCs w:val="22"/>
                <w:lang w:eastAsia="sk-SK"/>
              </w:rPr>
            </w:pPr>
            <w:r w:rsidRPr="00B37E51">
              <w:rPr>
                <w:color w:val="000000"/>
                <w:sz w:val="22"/>
                <w:szCs w:val="22"/>
                <w:lang w:eastAsia="sk-SK"/>
              </w:rPr>
              <w:t>47 647 623</w:t>
            </w:r>
          </w:p>
        </w:tc>
        <w:tc>
          <w:tcPr>
            <w:tcW w:w="1122" w:type="dxa"/>
            <w:tcBorders>
              <w:top w:val="single" w:sz="4" w:space="0" w:color="auto"/>
              <w:left w:val="nil"/>
              <w:bottom w:val="nil"/>
              <w:right w:val="nil"/>
            </w:tcBorders>
            <w:shd w:val="clear" w:color="auto" w:fill="auto"/>
            <w:noWrap/>
            <w:vAlign w:val="bottom"/>
            <w:hideMark/>
          </w:tcPr>
          <w:p w:rsidR="00B37E51" w:rsidRPr="00B37E51" w:rsidRDefault="00B37E51" w:rsidP="00B37E51">
            <w:pPr>
              <w:suppressAutoHyphens w:val="0"/>
              <w:spacing w:after="0" w:line="240" w:lineRule="auto"/>
              <w:jc w:val="right"/>
              <w:rPr>
                <w:color w:val="000000"/>
                <w:sz w:val="22"/>
                <w:szCs w:val="22"/>
                <w:lang w:eastAsia="sk-SK"/>
              </w:rPr>
            </w:pPr>
            <w:r w:rsidRPr="00B37E51">
              <w:rPr>
                <w:color w:val="000000"/>
                <w:sz w:val="22"/>
                <w:szCs w:val="22"/>
                <w:lang w:eastAsia="sk-SK"/>
              </w:rPr>
              <w:t>100</w:t>
            </w:r>
          </w:p>
        </w:tc>
      </w:tr>
    </w:tbl>
    <w:p w:rsidR="00B37E51" w:rsidRDefault="00B37E51" w:rsidP="00F87128">
      <w:pPr>
        <w:spacing w:after="0"/>
        <w:jc w:val="center"/>
        <w:rPr>
          <w:sz w:val="24"/>
          <w:szCs w:val="24"/>
        </w:rPr>
      </w:pPr>
    </w:p>
    <w:p w:rsidR="000E7379" w:rsidRDefault="000E7379">
      <w:pPr>
        <w:suppressAutoHyphens w:val="0"/>
        <w:spacing w:after="0" w:line="240" w:lineRule="auto"/>
        <w:rPr>
          <w:sz w:val="24"/>
          <w:szCs w:val="24"/>
        </w:rPr>
      </w:pPr>
    </w:p>
    <w:sectPr w:rsidR="000E7379">
      <w:footerReference w:type="default" r:id="rId8"/>
      <w:pgSz w:w="11906" w:h="16838"/>
      <w:pgMar w:top="1418" w:right="1418" w:bottom="1134" w:left="1418"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275" w:rsidRDefault="00F12275">
      <w:pPr>
        <w:spacing w:after="0" w:line="240" w:lineRule="auto"/>
      </w:pPr>
      <w:r>
        <w:separator/>
      </w:r>
    </w:p>
  </w:endnote>
  <w:endnote w:type="continuationSeparator" w:id="0">
    <w:p w:rsidR="00F12275" w:rsidRDefault="00F1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altName w:val="Times New Roman"/>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902470"/>
      <w:docPartObj>
        <w:docPartGallery w:val="Page Numbers (Bottom of Page)"/>
        <w:docPartUnique/>
      </w:docPartObj>
    </w:sdtPr>
    <w:sdtEndPr/>
    <w:sdtContent>
      <w:p w:rsidR="00D607A9" w:rsidRDefault="00D607A9" w:rsidP="00D607A9">
        <w:pPr>
          <w:pStyle w:val="Pta"/>
          <w:jc w:val="center"/>
        </w:pPr>
        <w:r>
          <w:fldChar w:fldCharType="begin"/>
        </w:r>
        <w:r>
          <w:instrText>PAGE   \* MERGEFORMAT</w:instrText>
        </w:r>
        <w:r>
          <w:fldChar w:fldCharType="separate"/>
        </w:r>
        <w:r w:rsidR="008D30B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275" w:rsidRDefault="00F12275">
      <w:pPr>
        <w:spacing w:after="0" w:line="240" w:lineRule="auto"/>
      </w:pPr>
      <w:r>
        <w:separator/>
      </w:r>
    </w:p>
  </w:footnote>
  <w:footnote w:type="continuationSeparator" w:id="0">
    <w:p w:rsidR="00F12275" w:rsidRDefault="00F12275">
      <w:pPr>
        <w:spacing w:after="0" w:line="240" w:lineRule="auto"/>
      </w:pPr>
      <w:r>
        <w:continuationSeparator/>
      </w:r>
    </w:p>
  </w:footnote>
  <w:footnote w:id="1">
    <w:p w:rsidR="000D5D9D" w:rsidRPr="00A22ACD" w:rsidRDefault="000D5D9D" w:rsidP="009B1719">
      <w:pPr>
        <w:pStyle w:val="Textpoznmkypodiarou"/>
        <w:tabs>
          <w:tab w:val="left" w:pos="0"/>
        </w:tabs>
        <w:spacing w:after="0"/>
        <w:jc w:val="both"/>
      </w:pPr>
      <w:r>
        <w:rPr>
          <w:rStyle w:val="Znakyprepoznmkupodiarou"/>
        </w:rPr>
        <w:footnoteRef/>
      </w:r>
      <w:r w:rsidRPr="00E5476D">
        <w:t>)</w:t>
      </w:r>
      <w:r w:rsidR="008802A9">
        <w:t xml:space="preserve"> </w:t>
      </w:r>
      <w:r>
        <w:t xml:space="preserve">§ 4 ods. 4 zákona č. 308/1991 Zb. o slobode náboženskej viery a postavení cirkví a náboženských spoločností </w:t>
      </w:r>
      <w:r w:rsidRPr="00A22ACD">
        <w:t xml:space="preserve">v znení </w:t>
      </w:r>
      <w:r w:rsidR="00307C48">
        <w:t>zákona č. 394/2000 Z. z</w:t>
      </w:r>
      <w:r>
        <w:t>.</w:t>
      </w:r>
      <w:r w:rsidRPr="00A22ACD">
        <w:t xml:space="preserve"> </w:t>
      </w:r>
    </w:p>
  </w:footnote>
  <w:footnote w:id="2">
    <w:p w:rsidR="00A0743D" w:rsidRDefault="000D5D9D" w:rsidP="009B1719">
      <w:pPr>
        <w:pStyle w:val="Textpoznmkypodiarou"/>
        <w:tabs>
          <w:tab w:val="left" w:pos="0"/>
        </w:tabs>
        <w:spacing w:after="0"/>
        <w:jc w:val="both"/>
      </w:pPr>
      <w:r w:rsidRPr="00045A60">
        <w:rPr>
          <w:rStyle w:val="Odkaznapoznmkupodiarou"/>
        </w:rPr>
        <w:footnoteRef/>
      </w:r>
      <w:r w:rsidRPr="00E105D9">
        <w:t>)</w:t>
      </w:r>
      <w:r w:rsidRPr="00045A60">
        <w:t xml:space="preserve"> </w:t>
      </w:r>
      <w:r w:rsidR="00A0743D">
        <w:t>Z</w:t>
      </w:r>
      <w:r w:rsidRPr="00045A60">
        <w:t>ákon č. 263/2008 Z. z. o sčítaní obyvateľov, domov a bytov v roku 2011 a ktorým sa mení a</w:t>
      </w:r>
      <w:r w:rsidR="009B1719">
        <w:t> </w:t>
      </w:r>
      <w:r w:rsidRPr="00045A60">
        <w:t>dopĺňa zákon č.</w:t>
      </w:r>
      <w:r w:rsidR="00A0743D">
        <w:t> </w:t>
      </w:r>
      <w:r w:rsidRPr="00045A60">
        <w:t>5/2004 Z. z. o službách zamestnanosti a o zmene a doplnení niektorých zákonov v znení neskorších predpisov</w:t>
      </w:r>
      <w:r w:rsidR="00A0743D">
        <w:t xml:space="preserve">. </w:t>
      </w:r>
    </w:p>
    <w:p w:rsidR="000D5D9D" w:rsidRPr="00045A60" w:rsidRDefault="00A0743D" w:rsidP="009B1719">
      <w:pPr>
        <w:pStyle w:val="Textpoznmkypodiarou"/>
        <w:tabs>
          <w:tab w:val="left" w:pos="0"/>
        </w:tabs>
        <w:spacing w:after="0"/>
        <w:jc w:val="both"/>
      </w:pPr>
      <w:r>
        <w:t>Z</w:t>
      </w:r>
      <w:r w:rsidRPr="00A0743D">
        <w:t xml:space="preserve">ákon č. 223/2019 </w:t>
      </w:r>
      <w:r>
        <w:t>Z</w:t>
      </w:r>
      <w:r w:rsidRPr="00A0743D">
        <w:t>. z. o sčítaní obyvateľov, domov a bytov v roku 2021 a o zmene a doplnení niektorých zákonov.</w:t>
      </w:r>
    </w:p>
  </w:footnote>
  <w:footnote w:id="3">
    <w:p w:rsidR="00826FCE" w:rsidRDefault="009A5401" w:rsidP="00613F77">
      <w:pPr>
        <w:pStyle w:val="Textpoznmkypodiarou"/>
        <w:spacing w:after="0"/>
        <w:jc w:val="both"/>
      </w:pPr>
      <w:r>
        <w:rPr>
          <w:rStyle w:val="Odkaznapoznmkupodiarou"/>
        </w:rPr>
        <w:footnoteRef/>
      </w:r>
      <w:r w:rsidR="000B1649">
        <w:t>)</w:t>
      </w:r>
      <w:r>
        <w:t xml:space="preserve"> </w:t>
      </w:r>
      <w:r w:rsidR="00613F77">
        <w:t xml:space="preserve">§ 11 zákona č. 308/1991 Zb. </w:t>
      </w:r>
      <w:r w:rsidR="00613F77" w:rsidRPr="00A22ACD">
        <w:t>v</w:t>
      </w:r>
      <w:r w:rsidR="00613F77">
        <w:t> </w:t>
      </w:r>
      <w:r w:rsidR="00613F77" w:rsidRPr="00A22ACD">
        <w:t>znení</w:t>
      </w:r>
      <w:r w:rsidR="00613F77">
        <w:t xml:space="preserve"> neskorších predpisov</w:t>
      </w:r>
      <w:r w:rsidR="00826FCE">
        <w:t>.</w:t>
      </w:r>
    </w:p>
    <w:p w:rsidR="009A5401" w:rsidRDefault="00826FCE" w:rsidP="00613F77">
      <w:pPr>
        <w:pStyle w:val="Textpoznmkypodiarou"/>
        <w:spacing w:after="0"/>
        <w:jc w:val="both"/>
      </w:pPr>
      <w:r>
        <w:t>Z</w:t>
      </w:r>
      <w:r w:rsidR="00B01F88">
        <w:t>ákon č. 540/2001 Z. z. o štátnej štatistike v znení neskorších predpisov</w:t>
      </w:r>
      <w:r w:rsidR="00613F77">
        <w:t>.</w:t>
      </w:r>
      <w:r w:rsidR="00B01F88">
        <w:t xml:space="preserve"> </w:t>
      </w:r>
    </w:p>
  </w:footnote>
  <w:footnote w:id="4">
    <w:p w:rsidR="00C2718A" w:rsidRDefault="00C2718A" w:rsidP="00C2718A">
      <w:pPr>
        <w:pStyle w:val="Textpoznmkypodiarou"/>
        <w:spacing w:after="0"/>
        <w:jc w:val="both"/>
      </w:pPr>
      <w:r>
        <w:rPr>
          <w:rStyle w:val="Odkaznapoznmkupodiarou"/>
        </w:rPr>
        <w:footnoteRef/>
      </w:r>
      <w:r>
        <w:t xml:space="preserve">) Napríklad zákon č. 434/2010 Z. z. </w:t>
      </w:r>
      <w:r w:rsidRPr="00B55B73">
        <w:t>o poskytovaní dotácií v pôsobnosti Ministerstva kultúry Slovenskej republiky</w:t>
      </w:r>
      <w:r>
        <w:t xml:space="preserve"> </w:t>
      </w:r>
      <w:r w:rsidRPr="00045A60">
        <w:t>v znení neskorších predpisov</w:t>
      </w:r>
      <w:r>
        <w:t xml:space="preserve">, zákon č. 524/2010 Z. z. </w:t>
      </w:r>
      <w:r w:rsidRPr="00E105D9">
        <w:t>o poskytovaní dotácií v pôsobnosti Úradu vlády Slovenskej republiky</w:t>
      </w:r>
      <w:r>
        <w:t xml:space="preserve"> </w:t>
      </w:r>
      <w:r w:rsidRPr="00045A60">
        <w:t>v znení neskorších predpisov</w:t>
      </w:r>
      <w:r>
        <w:t xml:space="preserve">. </w:t>
      </w:r>
    </w:p>
  </w:footnote>
  <w:footnote w:id="5">
    <w:p w:rsidR="00C2718A" w:rsidRPr="00E5476D" w:rsidRDefault="00C2718A" w:rsidP="00C2718A">
      <w:pPr>
        <w:pStyle w:val="Textpoznmkypodiarou"/>
        <w:tabs>
          <w:tab w:val="left" w:pos="0"/>
        </w:tabs>
        <w:spacing w:after="0"/>
        <w:jc w:val="both"/>
      </w:pPr>
      <w:r>
        <w:rPr>
          <w:rStyle w:val="Znakyprepoznmkupodiarou"/>
        </w:rPr>
        <w:footnoteRef/>
      </w:r>
      <w:r w:rsidRPr="00E5476D">
        <w:t>)</w:t>
      </w:r>
      <w:r>
        <w:t xml:space="preserve"> Napríklad § 13 ods. 2 písm. a) zákona č. 595/2003 Z. z. o dani z príjmov, § 17 ods. 1 písm. c) zákona č. 582/2004 Z. z. o miestnych daniach a miestnom poplatku za komunálne odpady a drobné stavebné odpady v znení neskorších predpisov, § 8 ods. </w:t>
      </w:r>
      <w:r w:rsidRPr="00E5476D">
        <w:t xml:space="preserve">1 zákona č. 161/2005 Z. z. </w:t>
      </w:r>
      <w:r w:rsidRPr="00E5476D">
        <w:rPr>
          <w:bCs/>
        </w:rPr>
        <w:t>o navrátení vlastníctva k nehnuteľným veciam cirkvám a náboženským spoločnostiam a prechode vlastníctva k niektorým nehnuteľnostiam</w:t>
      </w:r>
      <w:r w:rsidRPr="00E5476D">
        <w:t>.</w:t>
      </w:r>
      <w:r>
        <w:t xml:space="preserve"> </w:t>
      </w:r>
    </w:p>
  </w:footnote>
  <w:footnote w:id="6">
    <w:p w:rsidR="00D86310" w:rsidRDefault="00D86310">
      <w:pPr>
        <w:pStyle w:val="Textpoznmkypodiarou"/>
      </w:pPr>
      <w:r>
        <w:rPr>
          <w:rStyle w:val="Odkaznapoznmkupodiarou"/>
        </w:rPr>
        <w:footnoteRef/>
      </w:r>
      <w:r>
        <w:t xml:space="preserve">) </w:t>
      </w:r>
      <w:r w:rsidRPr="00D86310">
        <w:t>Zákon č. 663/2007 Z. z. o minimálnej mzde v znení neskorších predpisov.</w:t>
      </w:r>
      <w:r>
        <w:t xml:space="preserve"> </w:t>
      </w:r>
    </w:p>
  </w:footnote>
  <w:footnote w:id="7">
    <w:p w:rsidR="000D5D9D" w:rsidRDefault="000D5D9D" w:rsidP="009B1719">
      <w:pPr>
        <w:pStyle w:val="Textpoznmkypodiarou"/>
        <w:tabs>
          <w:tab w:val="left" w:pos="0"/>
        </w:tabs>
        <w:spacing w:after="0"/>
        <w:jc w:val="both"/>
      </w:pPr>
      <w:r>
        <w:rPr>
          <w:rStyle w:val="Znakyprepoznmkupodiarou"/>
        </w:rPr>
        <w:footnoteRef/>
      </w:r>
      <w:r w:rsidRPr="00E5476D">
        <w:t>)</w:t>
      </w:r>
      <w:r w:rsidR="009B1719">
        <w:t xml:space="preserve"> </w:t>
      </w:r>
      <w:r>
        <w:t xml:space="preserve">Napríklad zákon Národnej rady Slovenskej republiky č. 39/1993 Z. z. o Najvyššom kontrolnom úrade Slovenskej republiky v znení neskorších predpisov, </w:t>
      </w:r>
      <w:r w:rsidR="009B1719">
        <w:t>zákon č. 357/2015 Z. z. o </w:t>
      </w:r>
      <w:r>
        <w:t>finančnej kontrole a audite a</w:t>
      </w:r>
      <w:r w:rsidR="00F0288C">
        <w:t> o </w:t>
      </w:r>
      <w:r>
        <w:t>zmene a doplnení niektorých zákonov</w:t>
      </w:r>
      <w:r w:rsidR="003148A1">
        <w:t xml:space="preserve"> v znení neskorších predpisov</w:t>
      </w:r>
      <w:r>
        <w:t>.</w:t>
      </w:r>
      <w:r w:rsidR="009B1719">
        <w:t xml:space="preserve"> </w:t>
      </w:r>
    </w:p>
  </w:footnote>
  <w:footnote w:id="8">
    <w:p w:rsidR="0023385D" w:rsidRDefault="0023385D">
      <w:pPr>
        <w:pStyle w:val="Textpoznmkypodiarou"/>
      </w:pPr>
      <w:r>
        <w:rPr>
          <w:rStyle w:val="Odkaznapoznmkupodiarou"/>
        </w:rPr>
        <w:footnoteRef/>
      </w:r>
      <w:r w:rsidR="00AF0B0D">
        <w:t>)</w:t>
      </w:r>
      <w:r>
        <w:t xml:space="preserve"> § 31 zákona č. 523/2004 Z. z. o rozpočtových pravidlách verejnej správy a o zmene a doplnení niektorých zákonov v znení neskorších predpisov.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6E2DD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Times New Roman" w:hAnsi="Times New Roman" w:cs="Times New Roman" w:hint="default"/>
        <w:sz w:val="24"/>
        <w:szCs w:val="24"/>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hint="default"/>
        <w:sz w:val="24"/>
        <w:szCs w:val="24"/>
        <w:highlight w:val="yellow"/>
        <w:shd w:val="clear" w:color="auto" w:fill="FFFF00"/>
      </w:rPr>
    </w:lvl>
  </w:abstractNum>
  <w:abstractNum w:abstractNumId="5" w15:restartNumberingAfterBreak="0">
    <w:nsid w:val="00000005"/>
    <w:multiLevelType w:val="singleLevel"/>
    <w:tmpl w:val="041B0011"/>
    <w:lvl w:ilvl="0">
      <w:start w:val="1"/>
      <w:numFmt w:val="decimal"/>
      <w:lvlText w:val="%1)"/>
      <w:lvlJc w:val="left"/>
      <w:pPr>
        <w:ind w:left="1785" w:hanging="360"/>
      </w:pPr>
      <w:rPr>
        <w:rFonts w:hint="default"/>
        <w:sz w:val="24"/>
        <w:szCs w:val="24"/>
      </w:rPr>
    </w:lvl>
  </w:abstractNum>
  <w:abstractNum w:abstractNumId="6" w15:restartNumberingAfterBreak="0">
    <w:nsid w:val="00000006"/>
    <w:multiLevelType w:val="singleLevel"/>
    <w:tmpl w:val="00000006"/>
    <w:name w:val="WW8Num6"/>
    <w:lvl w:ilvl="0">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singleLevel"/>
    <w:tmpl w:val="3918C06E"/>
    <w:name w:val="WW8Num9"/>
    <w:lvl w:ilvl="0">
      <w:start w:val="1"/>
      <w:numFmt w:val="lowerLetter"/>
      <w:lvlText w:val="%1)"/>
      <w:lvlJc w:val="left"/>
      <w:pPr>
        <w:tabs>
          <w:tab w:val="num" w:pos="0"/>
        </w:tabs>
        <w:ind w:left="1080" w:hanging="360"/>
      </w:pPr>
      <w:rPr>
        <w:rFonts w:ascii="Times New Roman" w:hAnsi="Times New Roman" w:cs="Times New Roman" w:hint="default"/>
        <w:sz w:val="24"/>
        <w:szCs w:val="24"/>
      </w:rPr>
    </w:lvl>
  </w:abstractNum>
  <w:abstractNum w:abstractNumId="10" w15:restartNumberingAfterBreak="0">
    <w:nsid w:val="0E0D3886"/>
    <w:multiLevelType w:val="hybridMultilevel"/>
    <w:tmpl w:val="3CB2FDA0"/>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17F00E6A"/>
    <w:multiLevelType w:val="hybridMultilevel"/>
    <w:tmpl w:val="F484F910"/>
    <w:lvl w:ilvl="0" w:tplc="45BA6CC6">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2AFE0CC7"/>
    <w:multiLevelType w:val="multilevel"/>
    <w:tmpl w:val="00000008"/>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16D3E92"/>
    <w:multiLevelType w:val="hybridMultilevel"/>
    <w:tmpl w:val="E6C48A9E"/>
    <w:lvl w:ilvl="0" w:tplc="00000003">
      <w:start w:val="1"/>
      <w:numFmt w:val="decimal"/>
      <w:lvlText w:val="(%1)"/>
      <w:lvlJc w:val="left"/>
      <w:pPr>
        <w:ind w:left="786" w:hanging="360"/>
      </w:pPr>
      <w:rPr>
        <w:rFonts w:ascii="Times New Roman" w:hAnsi="Times New Roman" w:cs="Times New Roman" w:hint="default"/>
        <w:sz w:val="24"/>
        <w:szCs w:val="24"/>
      </w:rPr>
    </w:lvl>
    <w:lvl w:ilvl="1" w:tplc="70D40250">
      <w:start w:val="1"/>
      <w:numFmt w:val="lowerLetter"/>
      <w:lvlText w:val="%2)"/>
      <w:lvlJc w:val="left"/>
      <w:pPr>
        <w:ind w:left="1800" w:hanging="360"/>
      </w:pPr>
      <w:rPr>
        <w:rFonts w:hint="default"/>
        <w:color w:val="auto"/>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3B043E"/>
    <w:multiLevelType w:val="hybridMultilevel"/>
    <w:tmpl w:val="F7EE1364"/>
    <w:lvl w:ilvl="0" w:tplc="041B0017">
      <w:start w:val="1"/>
      <w:numFmt w:val="lowerLetter"/>
      <w:lvlText w:val="%1)"/>
      <w:lvlJc w:val="left"/>
      <w:pPr>
        <w:ind w:left="1080" w:hanging="360"/>
      </w:pPr>
    </w:lvl>
    <w:lvl w:ilvl="1" w:tplc="041B0011">
      <w:start w:val="1"/>
      <w:numFmt w:val="decimal"/>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9205AC"/>
    <w:multiLevelType w:val="hybridMultilevel"/>
    <w:tmpl w:val="36D286E0"/>
    <w:lvl w:ilvl="0" w:tplc="A7A60900">
      <w:start w:val="1"/>
      <w:numFmt w:val="lowerLetter"/>
      <w:lvlText w:val="%1)"/>
      <w:lvlJc w:val="left"/>
      <w:pPr>
        <w:ind w:left="928" w:hanging="360"/>
      </w:pPr>
      <w:rPr>
        <w:rFonts w:hint="default"/>
        <w:strike w:val="0"/>
        <w:color w:val="auto"/>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4727711A"/>
    <w:multiLevelType w:val="hybridMultilevel"/>
    <w:tmpl w:val="68A278D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BE43C45"/>
    <w:multiLevelType w:val="hybridMultilevel"/>
    <w:tmpl w:val="34FCF22A"/>
    <w:lvl w:ilvl="0" w:tplc="45BA6C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E6B20A4"/>
    <w:multiLevelType w:val="hybridMultilevel"/>
    <w:tmpl w:val="F5661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C2395E"/>
    <w:multiLevelType w:val="hybridMultilevel"/>
    <w:tmpl w:val="F09E9466"/>
    <w:lvl w:ilvl="0" w:tplc="43C8A27C">
      <w:start w:val="1"/>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CF1B06"/>
    <w:multiLevelType w:val="hybridMultilevel"/>
    <w:tmpl w:val="4A947D1A"/>
    <w:lvl w:ilvl="0" w:tplc="96A273C2">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1" w15:restartNumberingAfterBreak="0">
    <w:nsid w:val="55F3095E"/>
    <w:multiLevelType w:val="hybridMultilevel"/>
    <w:tmpl w:val="1D76BB1C"/>
    <w:lvl w:ilvl="0" w:tplc="45BA6C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2AF2A9A"/>
    <w:multiLevelType w:val="hybridMultilevel"/>
    <w:tmpl w:val="1D967074"/>
    <w:lvl w:ilvl="0" w:tplc="041B0017">
      <w:start w:val="1"/>
      <w:numFmt w:val="lowerLetter"/>
      <w:lvlText w:val="%1)"/>
      <w:lvlJc w:val="left"/>
      <w:pPr>
        <w:ind w:left="1785" w:hanging="360"/>
      </w:pPr>
    </w:lvl>
    <w:lvl w:ilvl="1" w:tplc="041B0019" w:tentative="1">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23" w15:restartNumberingAfterBreak="0">
    <w:nsid w:val="64747F1B"/>
    <w:multiLevelType w:val="hybridMultilevel"/>
    <w:tmpl w:val="E6C48A9E"/>
    <w:lvl w:ilvl="0" w:tplc="00000003">
      <w:start w:val="1"/>
      <w:numFmt w:val="decimal"/>
      <w:lvlText w:val="(%1)"/>
      <w:lvlJc w:val="left"/>
      <w:pPr>
        <w:ind w:left="786" w:hanging="360"/>
      </w:pPr>
      <w:rPr>
        <w:rFonts w:ascii="Times New Roman" w:hAnsi="Times New Roman" w:cs="Times New Roman" w:hint="default"/>
        <w:sz w:val="24"/>
        <w:szCs w:val="24"/>
      </w:rPr>
    </w:lvl>
    <w:lvl w:ilvl="1" w:tplc="70D40250">
      <w:start w:val="1"/>
      <w:numFmt w:val="lowerLetter"/>
      <w:lvlText w:val="%2)"/>
      <w:lvlJc w:val="left"/>
      <w:pPr>
        <w:ind w:left="1800" w:hanging="360"/>
      </w:pPr>
      <w:rPr>
        <w:rFonts w:hint="default"/>
        <w:color w:val="auto"/>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F247F2"/>
    <w:multiLevelType w:val="hybridMultilevel"/>
    <w:tmpl w:val="4502AC52"/>
    <w:lvl w:ilvl="0" w:tplc="981E437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A0C2DDD"/>
    <w:multiLevelType w:val="hybridMultilevel"/>
    <w:tmpl w:val="F886CCD6"/>
    <w:lvl w:ilvl="0" w:tplc="041B000F">
      <w:start w:val="1"/>
      <w:numFmt w:val="decimal"/>
      <w:lvlText w:val="%1."/>
      <w:lvlJc w:val="left"/>
      <w:pPr>
        <w:ind w:left="1431" w:hanging="360"/>
      </w:pPr>
      <w:rPr>
        <w:rFonts w:hint="default"/>
        <w:sz w:val="24"/>
        <w:szCs w:val="24"/>
      </w:rPr>
    </w:lvl>
    <w:lvl w:ilvl="1" w:tplc="041B0019" w:tentative="1">
      <w:start w:val="1"/>
      <w:numFmt w:val="lowerLetter"/>
      <w:lvlText w:val="%2."/>
      <w:lvlJc w:val="left"/>
      <w:pPr>
        <w:ind w:left="2151" w:hanging="360"/>
      </w:pPr>
    </w:lvl>
    <w:lvl w:ilvl="2" w:tplc="041B001B" w:tentative="1">
      <w:start w:val="1"/>
      <w:numFmt w:val="lowerRoman"/>
      <w:lvlText w:val="%3."/>
      <w:lvlJc w:val="right"/>
      <w:pPr>
        <w:ind w:left="2871" w:hanging="180"/>
      </w:pPr>
    </w:lvl>
    <w:lvl w:ilvl="3" w:tplc="041B000F" w:tentative="1">
      <w:start w:val="1"/>
      <w:numFmt w:val="decimal"/>
      <w:lvlText w:val="%4."/>
      <w:lvlJc w:val="left"/>
      <w:pPr>
        <w:ind w:left="3591" w:hanging="360"/>
      </w:pPr>
    </w:lvl>
    <w:lvl w:ilvl="4" w:tplc="041B0019" w:tentative="1">
      <w:start w:val="1"/>
      <w:numFmt w:val="lowerLetter"/>
      <w:lvlText w:val="%5."/>
      <w:lvlJc w:val="left"/>
      <w:pPr>
        <w:ind w:left="4311" w:hanging="360"/>
      </w:pPr>
    </w:lvl>
    <w:lvl w:ilvl="5" w:tplc="041B001B" w:tentative="1">
      <w:start w:val="1"/>
      <w:numFmt w:val="lowerRoman"/>
      <w:lvlText w:val="%6."/>
      <w:lvlJc w:val="right"/>
      <w:pPr>
        <w:ind w:left="5031" w:hanging="180"/>
      </w:pPr>
    </w:lvl>
    <w:lvl w:ilvl="6" w:tplc="041B000F" w:tentative="1">
      <w:start w:val="1"/>
      <w:numFmt w:val="decimal"/>
      <w:lvlText w:val="%7."/>
      <w:lvlJc w:val="left"/>
      <w:pPr>
        <w:ind w:left="5751" w:hanging="360"/>
      </w:pPr>
    </w:lvl>
    <w:lvl w:ilvl="7" w:tplc="041B0019" w:tentative="1">
      <w:start w:val="1"/>
      <w:numFmt w:val="lowerLetter"/>
      <w:lvlText w:val="%8."/>
      <w:lvlJc w:val="left"/>
      <w:pPr>
        <w:ind w:left="6471" w:hanging="360"/>
      </w:pPr>
    </w:lvl>
    <w:lvl w:ilvl="8" w:tplc="041B001B" w:tentative="1">
      <w:start w:val="1"/>
      <w:numFmt w:val="lowerRoman"/>
      <w:lvlText w:val="%9."/>
      <w:lvlJc w:val="right"/>
      <w:pPr>
        <w:ind w:left="7191" w:hanging="180"/>
      </w:pPr>
    </w:lvl>
  </w:abstractNum>
  <w:abstractNum w:abstractNumId="26" w15:restartNumberingAfterBreak="0">
    <w:nsid w:val="6B3E0784"/>
    <w:multiLevelType w:val="hybridMultilevel"/>
    <w:tmpl w:val="E57C709C"/>
    <w:lvl w:ilvl="0" w:tplc="041B0017">
      <w:start w:val="1"/>
      <w:numFmt w:val="lowerLetter"/>
      <w:lvlText w:val="%1)"/>
      <w:lvlJc w:val="left"/>
      <w:pPr>
        <w:ind w:left="1785" w:hanging="360"/>
      </w:pPr>
    </w:lvl>
    <w:lvl w:ilvl="1" w:tplc="041B0019" w:tentative="1">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27" w15:restartNumberingAfterBreak="0">
    <w:nsid w:val="753C6089"/>
    <w:multiLevelType w:val="hybridMultilevel"/>
    <w:tmpl w:val="A746D71A"/>
    <w:lvl w:ilvl="0" w:tplc="00000003">
      <w:start w:val="1"/>
      <w:numFmt w:val="decimal"/>
      <w:lvlText w:val="(%1)"/>
      <w:lvlJc w:val="left"/>
      <w:pPr>
        <w:ind w:left="1431" w:hanging="360"/>
      </w:pPr>
      <w:rPr>
        <w:rFonts w:ascii="Times New Roman" w:hAnsi="Times New Roman" w:cs="Times New Roman" w:hint="default"/>
        <w:sz w:val="24"/>
        <w:szCs w:val="24"/>
      </w:rPr>
    </w:lvl>
    <w:lvl w:ilvl="1" w:tplc="041B0019" w:tentative="1">
      <w:start w:val="1"/>
      <w:numFmt w:val="lowerLetter"/>
      <w:lvlText w:val="%2."/>
      <w:lvlJc w:val="left"/>
      <w:pPr>
        <w:ind w:left="2151" w:hanging="360"/>
      </w:pPr>
    </w:lvl>
    <w:lvl w:ilvl="2" w:tplc="041B001B" w:tentative="1">
      <w:start w:val="1"/>
      <w:numFmt w:val="lowerRoman"/>
      <w:lvlText w:val="%3."/>
      <w:lvlJc w:val="right"/>
      <w:pPr>
        <w:ind w:left="2871" w:hanging="180"/>
      </w:pPr>
    </w:lvl>
    <w:lvl w:ilvl="3" w:tplc="041B000F" w:tentative="1">
      <w:start w:val="1"/>
      <w:numFmt w:val="decimal"/>
      <w:lvlText w:val="%4."/>
      <w:lvlJc w:val="left"/>
      <w:pPr>
        <w:ind w:left="3591" w:hanging="360"/>
      </w:pPr>
    </w:lvl>
    <w:lvl w:ilvl="4" w:tplc="041B0019" w:tentative="1">
      <w:start w:val="1"/>
      <w:numFmt w:val="lowerLetter"/>
      <w:lvlText w:val="%5."/>
      <w:lvlJc w:val="left"/>
      <w:pPr>
        <w:ind w:left="4311" w:hanging="360"/>
      </w:pPr>
    </w:lvl>
    <w:lvl w:ilvl="5" w:tplc="041B001B" w:tentative="1">
      <w:start w:val="1"/>
      <w:numFmt w:val="lowerRoman"/>
      <w:lvlText w:val="%6."/>
      <w:lvlJc w:val="right"/>
      <w:pPr>
        <w:ind w:left="5031" w:hanging="180"/>
      </w:pPr>
    </w:lvl>
    <w:lvl w:ilvl="6" w:tplc="041B000F" w:tentative="1">
      <w:start w:val="1"/>
      <w:numFmt w:val="decimal"/>
      <w:lvlText w:val="%7."/>
      <w:lvlJc w:val="left"/>
      <w:pPr>
        <w:ind w:left="5751" w:hanging="360"/>
      </w:pPr>
    </w:lvl>
    <w:lvl w:ilvl="7" w:tplc="041B0019" w:tentative="1">
      <w:start w:val="1"/>
      <w:numFmt w:val="lowerLetter"/>
      <w:lvlText w:val="%8."/>
      <w:lvlJc w:val="left"/>
      <w:pPr>
        <w:ind w:left="6471" w:hanging="360"/>
      </w:pPr>
    </w:lvl>
    <w:lvl w:ilvl="8" w:tplc="041B001B" w:tentative="1">
      <w:start w:val="1"/>
      <w:numFmt w:val="lowerRoman"/>
      <w:lvlText w:val="%9."/>
      <w:lvlJc w:val="right"/>
      <w:pPr>
        <w:ind w:left="7191" w:hanging="180"/>
      </w:pPr>
    </w:lvl>
  </w:abstractNum>
  <w:abstractNum w:abstractNumId="28" w15:restartNumberingAfterBreak="0">
    <w:nsid w:val="7C7A220F"/>
    <w:multiLevelType w:val="hybridMultilevel"/>
    <w:tmpl w:val="A746D71A"/>
    <w:lvl w:ilvl="0" w:tplc="00000003">
      <w:start w:val="1"/>
      <w:numFmt w:val="decimal"/>
      <w:lvlText w:val="(%1)"/>
      <w:lvlJc w:val="left"/>
      <w:pPr>
        <w:ind w:left="1431" w:hanging="360"/>
      </w:pPr>
      <w:rPr>
        <w:rFonts w:ascii="Times New Roman" w:hAnsi="Times New Roman" w:cs="Times New Roman" w:hint="default"/>
        <w:sz w:val="24"/>
        <w:szCs w:val="24"/>
      </w:rPr>
    </w:lvl>
    <w:lvl w:ilvl="1" w:tplc="041B0019" w:tentative="1">
      <w:start w:val="1"/>
      <w:numFmt w:val="lowerLetter"/>
      <w:lvlText w:val="%2."/>
      <w:lvlJc w:val="left"/>
      <w:pPr>
        <w:ind w:left="2151" w:hanging="360"/>
      </w:pPr>
    </w:lvl>
    <w:lvl w:ilvl="2" w:tplc="041B001B" w:tentative="1">
      <w:start w:val="1"/>
      <w:numFmt w:val="lowerRoman"/>
      <w:lvlText w:val="%3."/>
      <w:lvlJc w:val="right"/>
      <w:pPr>
        <w:ind w:left="2871" w:hanging="180"/>
      </w:pPr>
    </w:lvl>
    <w:lvl w:ilvl="3" w:tplc="041B000F" w:tentative="1">
      <w:start w:val="1"/>
      <w:numFmt w:val="decimal"/>
      <w:lvlText w:val="%4."/>
      <w:lvlJc w:val="left"/>
      <w:pPr>
        <w:ind w:left="3591" w:hanging="360"/>
      </w:pPr>
    </w:lvl>
    <w:lvl w:ilvl="4" w:tplc="041B0019" w:tentative="1">
      <w:start w:val="1"/>
      <w:numFmt w:val="lowerLetter"/>
      <w:lvlText w:val="%5."/>
      <w:lvlJc w:val="left"/>
      <w:pPr>
        <w:ind w:left="4311" w:hanging="360"/>
      </w:pPr>
    </w:lvl>
    <w:lvl w:ilvl="5" w:tplc="041B001B" w:tentative="1">
      <w:start w:val="1"/>
      <w:numFmt w:val="lowerRoman"/>
      <w:lvlText w:val="%6."/>
      <w:lvlJc w:val="right"/>
      <w:pPr>
        <w:ind w:left="5031" w:hanging="180"/>
      </w:pPr>
    </w:lvl>
    <w:lvl w:ilvl="6" w:tplc="041B000F" w:tentative="1">
      <w:start w:val="1"/>
      <w:numFmt w:val="decimal"/>
      <w:lvlText w:val="%7."/>
      <w:lvlJc w:val="left"/>
      <w:pPr>
        <w:ind w:left="5751" w:hanging="360"/>
      </w:pPr>
    </w:lvl>
    <w:lvl w:ilvl="7" w:tplc="041B0019" w:tentative="1">
      <w:start w:val="1"/>
      <w:numFmt w:val="lowerLetter"/>
      <w:lvlText w:val="%8."/>
      <w:lvlJc w:val="left"/>
      <w:pPr>
        <w:ind w:left="6471" w:hanging="360"/>
      </w:pPr>
    </w:lvl>
    <w:lvl w:ilvl="8" w:tplc="041B001B" w:tentative="1">
      <w:start w:val="1"/>
      <w:numFmt w:val="lowerRoman"/>
      <w:lvlText w:val="%9."/>
      <w:lvlJc w:val="right"/>
      <w:pPr>
        <w:ind w:left="7191"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8"/>
  </w:num>
  <w:num w:numId="11">
    <w:abstractNumId w:val="23"/>
  </w:num>
  <w:num w:numId="12">
    <w:abstractNumId w:val="12"/>
  </w:num>
  <w:num w:numId="13">
    <w:abstractNumId w:val="16"/>
  </w:num>
  <w:num w:numId="14">
    <w:abstractNumId w:val="10"/>
  </w:num>
  <w:num w:numId="15">
    <w:abstractNumId w:val="14"/>
  </w:num>
  <w:num w:numId="16">
    <w:abstractNumId w:val="20"/>
  </w:num>
  <w:num w:numId="17">
    <w:abstractNumId w:val="22"/>
  </w:num>
  <w:num w:numId="18">
    <w:abstractNumId w:val="11"/>
  </w:num>
  <w:num w:numId="19">
    <w:abstractNumId w:val="28"/>
  </w:num>
  <w:num w:numId="20">
    <w:abstractNumId w:val="26"/>
  </w:num>
  <w:num w:numId="21">
    <w:abstractNumId w:val="15"/>
  </w:num>
  <w:num w:numId="22">
    <w:abstractNumId w:val="17"/>
  </w:num>
  <w:num w:numId="23">
    <w:abstractNumId w:val="21"/>
  </w:num>
  <w:num w:numId="24">
    <w:abstractNumId w:val="0"/>
  </w:num>
  <w:num w:numId="25">
    <w:abstractNumId w:val="27"/>
  </w:num>
  <w:num w:numId="26">
    <w:abstractNumId w:val="25"/>
  </w:num>
  <w:num w:numId="27">
    <w:abstractNumId w:val="13"/>
  </w:num>
  <w:num w:numId="28">
    <w:abstractNumId w:val="2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A0"/>
    <w:rsid w:val="0000754F"/>
    <w:rsid w:val="00022106"/>
    <w:rsid w:val="0002509F"/>
    <w:rsid w:val="000344EE"/>
    <w:rsid w:val="00043724"/>
    <w:rsid w:val="00045A60"/>
    <w:rsid w:val="00063C98"/>
    <w:rsid w:val="00071D33"/>
    <w:rsid w:val="000734C6"/>
    <w:rsid w:val="00095B51"/>
    <w:rsid w:val="000A0782"/>
    <w:rsid w:val="000B1649"/>
    <w:rsid w:val="000B269A"/>
    <w:rsid w:val="000B47AC"/>
    <w:rsid w:val="000C08C4"/>
    <w:rsid w:val="000C2A05"/>
    <w:rsid w:val="000C5BE8"/>
    <w:rsid w:val="000D3D05"/>
    <w:rsid w:val="000D4AA0"/>
    <w:rsid w:val="000D5D9D"/>
    <w:rsid w:val="000D7571"/>
    <w:rsid w:val="000E7379"/>
    <w:rsid w:val="000E79F0"/>
    <w:rsid w:val="00103236"/>
    <w:rsid w:val="001043FB"/>
    <w:rsid w:val="00104418"/>
    <w:rsid w:val="0011058B"/>
    <w:rsid w:val="00122442"/>
    <w:rsid w:val="0012266A"/>
    <w:rsid w:val="00126096"/>
    <w:rsid w:val="001261AC"/>
    <w:rsid w:val="00137345"/>
    <w:rsid w:val="00142180"/>
    <w:rsid w:val="001432E5"/>
    <w:rsid w:val="00147FD4"/>
    <w:rsid w:val="00155776"/>
    <w:rsid w:val="001726E0"/>
    <w:rsid w:val="001967B9"/>
    <w:rsid w:val="001A4B0F"/>
    <w:rsid w:val="001B2836"/>
    <w:rsid w:val="001C0E0E"/>
    <w:rsid w:val="001C14EE"/>
    <w:rsid w:val="001E7D6C"/>
    <w:rsid w:val="00216602"/>
    <w:rsid w:val="0022025D"/>
    <w:rsid w:val="00220A38"/>
    <w:rsid w:val="00227062"/>
    <w:rsid w:val="0023014F"/>
    <w:rsid w:val="0023385D"/>
    <w:rsid w:val="00242056"/>
    <w:rsid w:val="00247691"/>
    <w:rsid w:val="002532E7"/>
    <w:rsid w:val="002672D0"/>
    <w:rsid w:val="0027359D"/>
    <w:rsid w:val="00275FE6"/>
    <w:rsid w:val="002A6C63"/>
    <w:rsid w:val="002B12EA"/>
    <w:rsid w:val="002B25B6"/>
    <w:rsid w:val="002B2F97"/>
    <w:rsid w:val="002B3163"/>
    <w:rsid w:val="002D1028"/>
    <w:rsid w:val="002F4D61"/>
    <w:rsid w:val="003019E9"/>
    <w:rsid w:val="00304EB8"/>
    <w:rsid w:val="00306501"/>
    <w:rsid w:val="00307C48"/>
    <w:rsid w:val="0031398B"/>
    <w:rsid w:val="003148A1"/>
    <w:rsid w:val="00316CF2"/>
    <w:rsid w:val="00323CC8"/>
    <w:rsid w:val="00335B26"/>
    <w:rsid w:val="003423C8"/>
    <w:rsid w:val="00343513"/>
    <w:rsid w:val="00345CA7"/>
    <w:rsid w:val="003511F4"/>
    <w:rsid w:val="003522FB"/>
    <w:rsid w:val="00352454"/>
    <w:rsid w:val="00362A92"/>
    <w:rsid w:val="00365F4B"/>
    <w:rsid w:val="0036639B"/>
    <w:rsid w:val="00373E47"/>
    <w:rsid w:val="00376D39"/>
    <w:rsid w:val="0038779E"/>
    <w:rsid w:val="00395F06"/>
    <w:rsid w:val="003A2EFA"/>
    <w:rsid w:val="003A382E"/>
    <w:rsid w:val="003A650D"/>
    <w:rsid w:val="003B0387"/>
    <w:rsid w:val="003B6B43"/>
    <w:rsid w:val="003C37BF"/>
    <w:rsid w:val="003D0BAD"/>
    <w:rsid w:val="003D1597"/>
    <w:rsid w:val="003D55BB"/>
    <w:rsid w:val="00401FE9"/>
    <w:rsid w:val="0041450D"/>
    <w:rsid w:val="0041729C"/>
    <w:rsid w:val="004317D3"/>
    <w:rsid w:val="004322BD"/>
    <w:rsid w:val="0044493F"/>
    <w:rsid w:val="00455D8C"/>
    <w:rsid w:val="00457B65"/>
    <w:rsid w:val="00465ED3"/>
    <w:rsid w:val="00466B30"/>
    <w:rsid w:val="00477293"/>
    <w:rsid w:val="00482759"/>
    <w:rsid w:val="004831DE"/>
    <w:rsid w:val="004843FE"/>
    <w:rsid w:val="00493BD7"/>
    <w:rsid w:val="004A17F1"/>
    <w:rsid w:val="004A6A8E"/>
    <w:rsid w:val="004B573F"/>
    <w:rsid w:val="004D2E6C"/>
    <w:rsid w:val="004E046E"/>
    <w:rsid w:val="004F4B70"/>
    <w:rsid w:val="004F5D2A"/>
    <w:rsid w:val="00502424"/>
    <w:rsid w:val="00504A65"/>
    <w:rsid w:val="0050731A"/>
    <w:rsid w:val="005117A8"/>
    <w:rsid w:val="0051375C"/>
    <w:rsid w:val="00516036"/>
    <w:rsid w:val="00517ABB"/>
    <w:rsid w:val="00525070"/>
    <w:rsid w:val="00526A49"/>
    <w:rsid w:val="00530E9D"/>
    <w:rsid w:val="00530F28"/>
    <w:rsid w:val="00536AD9"/>
    <w:rsid w:val="00545E40"/>
    <w:rsid w:val="00553356"/>
    <w:rsid w:val="005707F0"/>
    <w:rsid w:val="005768F1"/>
    <w:rsid w:val="005821B9"/>
    <w:rsid w:val="00594828"/>
    <w:rsid w:val="00594A68"/>
    <w:rsid w:val="005B7401"/>
    <w:rsid w:val="005D12B5"/>
    <w:rsid w:val="00600DC3"/>
    <w:rsid w:val="0060383E"/>
    <w:rsid w:val="00604354"/>
    <w:rsid w:val="006121C6"/>
    <w:rsid w:val="00613F77"/>
    <w:rsid w:val="0061482A"/>
    <w:rsid w:val="00630064"/>
    <w:rsid w:val="0063051C"/>
    <w:rsid w:val="00650D36"/>
    <w:rsid w:val="00653CC0"/>
    <w:rsid w:val="00656358"/>
    <w:rsid w:val="00660312"/>
    <w:rsid w:val="00670387"/>
    <w:rsid w:val="006724F8"/>
    <w:rsid w:val="0068101B"/>
    <w:rsid w:val="00681CF5"/>
    <w:rsid w:val="006857F9"/>
    <w:rsid w:val="00687E3E"/>
    <w:rsid w:val="006909AC"/>
    <w:rsid w:val="0069238B"/>
    <w:rsid w:val="00696462"/>
    <w:rsid w:val="006A032D"/>
    <w:rsid w:val="006A7C45"/>
    <w:rsid w:val="006D2932"/>
    <w:rsid w:val="006F77AD"/>
    <w:rsid w:val="00700F11"/>
    <w:rsid w:val="00715F44"/>
    <w:rsid w:val="00717B57"/>
    <w:rsid w:val="007222B0"/>
    <w:rsid w:val="0074010D"/>
    <w:rsid w:val="00741067"/>
    <w:rsid w:val="00745DAD"/>
    <w:rsid w:val="00753CE0"/>
    <w:rsid w:val="007750D7"/>
    <w:rsid w:val="007753E0"/>
    <w:rsid w:val="0078480F"/>
    <w:rsid w:val="007849FE"/>
    <w:rsid w:val="00784BCE"/>
    <w:rsid w:val="007927A5"/>
    <w:rsid w:val="00796EE8"/>
    <w:rsid w:val="007A1DC3"/>
    <w:rsid w:val="007A7DA8"/>
    <w:rsid w:val="007B1AC6"/>
    <w:rsid w:val="007B3AD2"/>
    <w:rsid w:val="007B4F05"/>
    <w:rsid w:val="007C0C5E"/>
    <w:rsid w:val="007C0E42"/>
    <w:rsid w:val="007C4B83"/>
    <w:rsid w:val="007D078B"/>
    <w:rsid w:val="007E3BD6"/>
    <w:rsid w:val="00801E88"/>
    <w:rsid w:val="0080370A"/>
    <w:rsid w:val="00825AC8"/>
    <w:rsid w:val="00826FCE"/>
    <w:rsid w:val="008300AD"/>
    <w:rsid w:val="008332AB"/>
    <w:rsid w:val="00833A2E"/>
    <w:rsid w:val="0084301C"/>
    <w:rsid w:val="00845242"/>
    <w:rsid w:val="00845D1B"/>
    <w:rsid w:val="00853CFB"/>
    <w:rsid w:val="008677FF"/>
    <w:rsid w:val="0087421B"/>
    <w:rsid w:val="008802A9"/>
    <w:rsid w:val="0088303D"/>
    <w:rsid w:val="008869F7"/>
    <w:rsid w:val="00886F62"/>
    <w:rsid w:val="008A1069"/>
    <w:rsid w:val="008B076D"/>
    <w:rsid w:val="008B73C6"/>
    <w:rsid w:val="008B7C7B"/>
    <w:rsid w:val="008C09B0"/>
    <w:rsid w:val="008C6A84"/>
    <w:rsid w:val="008C7625"/>
    <w:rsid w:val="008D10AD"/>
    <w:rsid w:val="008D30B5"/>
    <w:rsid w:val="008E30D9"/>
    <w:rsid w:val="008E58D5"/>
    <w:rsid w:val="008E7C13"/>
    <w:rsid w:val="0090299F"/>
    <w:rsid w:val="00906C86"/>
    <w:rsid w:val="009116E9"/>
    <w:rsid w:val="0091785E"/>
    <w:rsid w:val="0092451D"/>
    <w:rsid w:val="00924FDD"/>
    <w:rsid w:val="00925181"/>
    <w:rsid w:val="00925647"/>
    <w:rsid w:val="00932B1C"/>
    <w:rsid w:val="009400D8"/>
    <w:rsid w:val="00940E05"/>
    <w:rsid w:val="00957FD0"/>
    <w:rsid w:val="0096126A"/>
    <w:rsid w:val="009619B4"/>
    <w:rsid w:val="009632C8"/>
    <w:rsid w:val="00976F99"/>
    <w:rsid w:val="0098098E"/>
    <w:rsid w:val="00982193"/>
    <w:rsid w:val="00991597"/>
    <w:rsid w:val="00991CB1"/>
    <w:rsid w:val="009938EC"/>
    <w:rsid w:val="009A4F55"/>
    <w:rsid w:val="009A5401"/>
    <w:rsid w:val="009A5612"/>
    <w:rsid w:val="009B0B77"/>
    <w:rsid w:val="009B0EA4"/>
    <w:rsid w:val="009B1719"/>
    <w:rsid w:val="009B7041"/>
    <w:rsid w:val="009C5C94"/>
    <w:rsid w:val="009D2702"/>
    <w:rsid w:val="009D2F7A"/>
    <w:rsid w:val="009D63E4"/>
    <w:rsid w:val="009F4186"/>
    <w:rsid w:val="00A0743D"/>
    <w:rsid w:val="00A110ED"/>
    <w:rsid w:val="00A1204F"/>
    <w:rsid w:val="00A22ACD"/>
    <w:rsid w:val="00A23AF0"/>
    <w:rsid w:val="00A23B60"/>
    <w:rsid w:val="00A25FE0"/>
    <w:rsid w:val="00A26701"/>
    <w:rsid w:val="00A33E10"/>
    <w:rsid w:val="00A33FF4"/>
    <w:rsid w:val="00A40788"/>
    <w:rsid w:val="00A51491"/>
    <w:rsid w:val="00A530BD"/>
    <w:rsid w:val="00A537F6"/>
    <w:rsid w:val="00A603E6"/>
    <w:rsid w:val="00AA7DEF"/>
    <w:rsid w:val="00AD13C1"/>
    <w:rsid w:val="00AD60FB"/>
    <w:rsid w:val="00AD6364"/>
    <w:rsid w:val="00AD7A7C"/>
    <w:rsid w:val="00AF0B0D"/>
    <w:rsid w:val="00AF579E"/>
    <w:rsid w:val="00AF5EDC"/>
    <w:rsid w:val="00AF615F"/>
    <w:rsid w:val="00AF6234"/>
    <w:rsid w:val="00AF7B0F"/>
    <w:rsid w:val="00B01537"/>
    <w:rsid w:val="00B01F88"/>
    <w:rsid w:val="00B020BF"/>
    <w:rsid w:val="00B03DB9"/>
    <w:rsid w:val="00B0714A"/>
    <w:rsid w:val="00B11EDB"/>
    <w:rsid w:val="00B212A8"/>
    <w:rsid w:val="00B21A0B"/>
    <w:rsid w:val="00B270BB"/>
    <w:rsid w:val="00B33337"/>
    <w:rsid w:val="00B37E51"/>
    <w:rsid w:val="00B45EF3"/>
    <w:rsid w:val="00B46015"/>
    <w:rsid w:val="00B523E4"/>
    <w:rsid w:val="00B55B73"/>
    <w:rsid w:val="00B57717"/>
    <w:rsid w:val="00B57D66"/>
    <w:rsid w:val="00B6059D"/>
    <w:rsid w:val="00B63DDF"/>
    <w:rsid w:val="00B65747"/>
    <w:rsid w:val="00B827E8"/>
    <w:rsid w:val="00B8631A"/>
    <w:rsid w:val="00B90FD5"/>
    <w:rsid w:val="00BA008E"/>
    <w:rsid w:val="00BA253B"/>
    <w:rsid w:val="00BB09ED"/>
    <w:rsid w:val="00BB428B"/>
    <w:rsid w:val="00BB594D"/>
    <w:rsid w:val="00BC3036"/>
    <w:rsid w:val="00BD6CFF"/>
    <w:rsid w:val="00BF0EB4"/>
    <w:rsid w:val="00C15382"/>
    <w:rsid w:val="00C21223"/>
    <w:rsid w:val="00C2310E"/>
    <w:rsid w:val="00C24BEB"/>
    <w:rsid w:val="00C24D98"/>
    <w:rsid w:val="00C25D81"/>
    <w:rsid w:val="00C2718A"/>
    <w:rsid w:val="00C425AE"/>
    <w:rsid w:val="00C44EFD"/>
    <w:rsid w:val="00C70B43"/>
    <w:rsid w:val="00C70F97"/>
    <w:rsid w:val="00C71BB6"/>
    <w:rsid w:val="00C736AE"/>
    <w:rsid w:val="00C81A77"/>
    <w:rsid w:val="00C86843"/>
    <w:rsid w:val="00C873D2"/>
    <w:rsid w:val="00C96282"/>
    <w:rsid w:val="00CA446A"/>
    <w:rsid w:val="00CA4DBD"/>
    <w:rsid w:val="00CA5B4A"/>
    <w:rsid w:val="00CA676E"/>
    <w:rsid w:val="00CB09A0"/>
    <w:rsid w:val="00CB289F"/>
    <w:rsid w:val="00CD6666"/>
    <w:rsid w:val="00CE0D4C"/>
    <w:rsid w:val="00CE3DF6"/>
    <w:rsid w:val="00D01C18"/>
    <w:rsid w:val="00D026A0"/>
    <w:rsid w:val="00D04E52"/>
    <w:rsid w:val="00D057DC"/>
    <w:rsid w:val="00D05C25"/>
    <w:rsid w:val="00D06FF1"/>
    <w:rsid w:val="00D13867"/>
    <w:rsid w:val="00D25DEA"/>
    <w:rsid w:val="00D2604D"/>
    <w:rsid w:val="00D307A0"/>
    <w:rsid w:val="00D348DA"/>
    <w:rsid w:val="00D53670"/>
    <w:rsid w:val="00D5542C"/>
    <w:rsid w:val="00D56517"/>
    <w:rsid w:val="00D607A9"/>
    <w:rsid w:val="00D764E3"/>
    <w:rsid w:val="00D83318"/>
    <w:rsid w:val="00D86310"/>
    <w:rsid w:val="00D94427"/>
    <w:rsid w:val="00DA53C2"/>
    <w:rsid w:val="00DA6382"/>
    <w:rsid w:val="00DB39AF"/>
    <w:rsid w:val="00DC701F"/>
    <w:rsid w:val="00DE68E9"/>
    <w:rsid w:val="00DF0130"/>
    <w:rsid w:val="00DF655B"/>
    <w:rsid w:val="00DF7747"/>
    <w:rsid w:val="00E00F6A"/>
    <w:rsid w:val="00E054E2"/>
    <w:rsid w:val="00E105D9"/>
    <w:rsid w:val="00E11060"/>
    <w:rsid w:val="00E12004"/>
    <w:rsid w:val="00E24655"/>
    <w:rsid w:val="00E336E2"/>
    <w:rsid w:val="00E3515D"/>
    <w:rsid w:val="00E457CB"/>
    <w:rsid w:val="00E46BEA"/>
    <w:rsid w:val="00E478FB"/>
    <w:rsid w:val="00E5090D"/>
    <w:rsid w:val="00E5476D"/>
    <w:rsid w:val="00E7519D"/>
    <w:rsid w:val="00E76D9B"/>
    <w:rsid w:val="00E833F2"/>
    <w:rsid w:val="00E935F3"/>
    <w:rsid w:val="00E937BF"/>
    <w:rsid w:val="00E941B9"/>
    <w:rsid w:val="00EB1FF8"/>
    <w:rsid w:val="00ED2011"/>
    <w:rsid w:val="00ED312C"/>
    <w:rsid w:val="00EE3192"/>
    <w:rsid w:val="00EF748F"/>
    <w:rsid w:val="00F0288C"/>
    <w:rsid w:val="00F12275"/>
    <w:rsid w:val="00F147C4"/>
    <w:rsid w:val="00F170A0"/>
    <w:rsid w:val="00F2329A"/>
    <w:rsid w:val="00F24C66"/>
    <w:rsid w:val="00F2516B"/>
    <w:rsid w:val="00F32793"/>
    <w:rsid w:val="00F32A64"/>
    <w:rsid w:val="00F32E4D"/>
    <w:rsid w:val="00F338A2"/>
    <w:rsid w:val="00F34E57"/>
    <w:rsid w:val="00F4460D"/>
    <w:rsid w:val="00F53F82"/>
    <w:rsid w:val="00F64390"/>
    <w:rsid w:val="00F7148D"/>
    <w:rsid w:val="00F73203"/>
    <w:rsid w:val="00F743EE"/>
    <w:rsid w:val="00F809B0"/>
    <w:rsid w:val="00F80E22"/>
    <w:rsid w:val="00F87128"/>
    <w:rsid w:val="00FA1816"/>
    <w:rsid w:val="00FA491F"/>
    <w:rsid w:val="00FA7951"/>
    <w:rsid w:val="00FC212D"/>
    <w:rsid w:val="00FC489B"/>
    <w:rsid w:val="00FC771F"/>
    <w:rsid w:val="00FD19D2"/>
    <w:rsid w:val="00FD29F1"/>
    <w:rsid w:val="00FD516E"/>
    <w:rsid w:val="00FD7462"/>
    <w:rsid w:val="00FE4FC9"/>
    <w:rsid w:val="00FE7E00"/>
    <w:rsid w:val="00FF61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6683519"/>
  <w14:defaultImageDpi w14:val="300"/>
  <w15:docId w15:val="{4ECB4C32-C705-405D-A8D8-C0919C85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after="200" w:line="276" w:lineRule="auto"/>
    </w:pPr>
    <w:rPr>
      <w:lang w:eastAsia="en-US"/>
    </w:rPr>
  </w:style>
  <w:style w:type="paragraph" w:styleId="Nadpis1">
    <w:name w:val="heading 1"/>
    <w:basedOn w:val="Normlny"/>
    <w:link w:val="Nadpis1Char"/>
    <w:uiPriority w:val="9"/>
    <w:qFormat/>
    <w:rsid w:val="009632C8"/>
    <w:pPr>
      <w:suppressAutoHyphens w:val="0"/>
      <w:spacing w:before="100" w:beforeAutospacing="1" w:after="100" w:afterAutospacing="1" w:line="240" w:lineRule="auto"/>
      <w:outlineLvl w:val="0"/>
    </w:pPr>
    <w:rPr>
      <w:b/>
      <w:bCs/>
      <w:kern w:val="36"/>
      <w:sz w:val="48"/>
      <w:szCs w:val="48"/>
      <w:lang w:eastAsia="sk-SK"/>
    </w:rPr>
  </w:style>
  <w:style w:type="paragraph" w:styleId="Nadpis9">
    <w:name w:val="heading 9"/>
    <w:basedOn w:val="Normlny"/>
    <w:next w:val="Normlny"/>
    <w:link w:val="Nadpis9Char"/>
    <w:uiPriority w:val="9"/>
    <w:semiHidden/>
    <w:unhideWhenUsed/>
    <w:qFormat/>
    <w:rsid w:val="00D607A9"/>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Predvolenpsmoodseku2">
    <w:name w:val="Predvolené písmo odseku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Predvolenpsmoodseku1">
    <w:name w:val="Predvolené písmo odseku1"/>
  </w:style>
  <w:style w:type="character" w:customStyle="1" w:styleId="TextpoznmkypodiarouChar">
    <w:name w:val="Text poznámky pod čiarou Char"/>
  </w:style>
  <w:style w:type="character" w:customStyle="1" w:styleId="Znakyprepoznmkupodiarou">
    <w:name w:val="Znaky pre poznámku pod čiarou"/>
    <w:rPr>
      <w:vertAlign w:val="superscript"/>
    </w:rPr>
  </w:style>
  <w:style w:type="character" w:customStyle="1" w:styleId="Odkaznapoznmkupodiarou1">
    <w:name w:val="Odkaz na poznámku pod čiarou1"/>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customStyle="1" w:styleId="Odkaznavysvetlivku1">
    <w:name w:val="Odkaz na vysvetlivku1"/>
    <w:rPr>
      <w:vertAlign w:val="superscript"/>
    </w:rPr>
  </w:style>
  <w:style w:type="character" w:customStyle="1" w:styleId="Symbolypreslovanie">
    <w:name w:val="Symboly pre číslovanie"/>
  </w:style>
  <w:style w:type="character" w:customStyle="1" w:styleId="Odkaznakomentr1">
    <w:name w:val="Odkaz na komentár1"/>
    <w:rPr>
      <w:sz w:val="16"/>
      <w:szCs w:val="16"/>
    </w:rPr>
  </w:style>
  <w:style w:type="character" w:customStyle="1" w:styleId="TextkomentraChar">
    <w:name w:val="Text komentára Char"/>
  </w:style>
  <w:style w:type="character" w:customStyle="1" w:styleId="PredmetkomentraChar">
    <w:name w:val="Predmet komentára Char"/>
  </w:style>
  <w:style w:type="character" w:customStyle="1" w:styleId="TextbublinyChar">
    <w:name w:val="Text bubliny Char"/>
  </w:style>
  <w:style w:type="character" w:styleId="Odkaznapoznmkupodiarou">
    <w:name w:val="footnote reference"/>
    <w:rPr>
      <w:vertAlign w:val="superscript"/>
    </w:rPr>
  </w:style>
  <w:style w:type="character" w:customStyle="1" w:styleId="Znakyprekoncovpoznmku">
    <w:name w:val="Znaky pre koncovú poznámku"/>
    <w:rPr>
      <w:vertAlign w:val="superscript"/>
    </w:rPr>
  </w:style>
  <w:style w:type="character" w:styleId="Odkaznavysvetlivku">
    <w:name w:val="endnote reference"/>
    <w:rPr>
      <w:vertAlign w:val="superscript"/>
    </w:rPr>
  </w:style>
  <w:style w:type="paragraph" w:customStyle="1" w:styleId="Nadpis">
    <w:name w:val="Nadpis"/>
    <w:basedOn w:val="Normlny"/>
    <w:next w:val="Zkladntext"/>
    <w:pPr>
      <w:keepNext/>
      <w:spacing w:before="240" w:after="120"/>
    </w:pPr>
  </w:style>
  <w:style w:type="paragraph" w:styleId="Zkladntext">
    <w:name w:val="Body Text"/>
    <w:basedOn w:val="Normlny"/>
    <w:pPr>
      <w:spacing w:after="120"/>
    </w:pPr>
  </w:style>
  <w:style w:type="paragraph" w:styleId="Zoznam">
    <w:name w:val="List"/>
    <w:basedOn w:val="Zkladntext"/>
    <w:rPr>
      <w:rFonts w:cs="Mangal"/>
    </w:rPr>
  </w:style>
  <w:style w:type="paragraph" w:styleId="Popis">
    <w:name w:val="caption"/>
    <w:basedOn w:val="Normlny"/>
    <w:qFormat/>
    <w:pPr>
      <w:suppressLineNumbers/>
      <w:spacing w:before="120" w:after="120"/>
    </w:pPr>
  </w:style>
  <w:style w:type="paragraph" w:customStyle="1" w:styleId="Index">
    <w:name w:val="Index"/>
    <w:basedOn w:val="Normlny"/>
    <w:pPr>
      <w:suppressLineNumbers/>
    </w:pPr>
    <w:rPr>
      <w:rFonts w:cs="Mangal"/>
    </w:rPr>
  </w:style>
  <w:style w:type="paragraph" w:customStyle="1" w:styleId="Popisok">
    <w:name w:val="Popisok"/>
    <w:basedOn w:val="Normlny"/>
    <w:pPr>
      <w:suppressLineNumbers/>
      <w:spacing w:before="120" w:after="120"/>
    </w:pPr>
  </w:style>
  <w:style w:type="paragraph" w:styleId="Textpoznmkypodiarou">
    <w:name w:val="footnote text"/>
    <w:basedOn w:val="Normlny"/>
  </w:style>
  <w:style w:type="paragraph" w:customStyle="1" w:styleId="Textkomentra1">
    <w:name w:val="Text komentára1"/>
    <w:basedOn w:val="Normlny"/>
  </w:style>
  <w:style w:type="paragraph" w:styleId="Predmetkomentra">
    <w:name w:val="annotation subject"/>
    <w:basedOn w:val="Textkomentra1"/>
    <w:next w:val="Textkomentra1"/>
    <w:rPr>
      <w:b/>
      <w:bCs/>
    </w:rPr>
  </w:style>
  <w:style w:type="paragraph" w:styleId="Textbubliny">
    <w:name w:val="Balloon Text"/>
    <w:basedOn w:val="Normlny"/>
    <w:pPr>
      <w:spacing w:after="0" w:line="240" w:lineRule="auto"/>
    </w:pPr>
  </w:style>
  <w:style w:type="paragraph" w:styleId="Textvysvetlivky">
    <w:name w:val="endnote text"/>
    <w:basedOn w:val="Normlny"/>
    <w:link w:val="TextvysvetlivkyChar"/>
    <w:uiPriority w:val="99"/>
    <w:semiHidden/>
    <w:unhideWhenUsed/>
    <w:rsid w:val="007753E0"/>
  </w:style>
  <w:style w:type="character" w:customStyle="1" w:styleId="TextvysvetlivkyChar">
    <w:name w:val="Text vysvetlivky Char"/>
    <w:link w:val="Textvysvetlivky"/>
    <w:uiPriority w:val="99"/>
    <w:semiHidden/>
    <w:rsid w:val="007753E0"/>
    <w:rPr>
      <w:lang w:eastAsia="en-US"/>
    </w:rPr>
  </w:style>
  <w:style w:type="character" w:styleId="Odkaznakomentr">
    <w:name w:val="annotation reference"/>
    <w:uiPriority w:val="99"/>
    <w:semiHidden/>
    <w:unhideWhenUsed/>
    <w:rsid w:val="007753E0"/>
    <w:rPr>
      <w:sz w:val="16"/>
      <w:szCs w:val="16"/>
    </w:rPr>
  </w:style>
  <w:style w:type="paragraph" w:styleId="Textkomentra">
    <w:name w:val="annotation text"/>
    <w:basedOn w:val="Normlny"/>
    <w:link w:val="TextkomentraChar1"/>
    <w:uiPriority w:val="99"/>
    <w:semiHidden/>
    <w:unhideWhenUsed/>
    <w:rsid w:val="007753E0"/>
  </w:style>
  <w:style w:type="character" w:customStyle="1" w:styleId="TextkomentraChar1">
    <w:name w:val="Text komentára Char1"/>
    <w:link w:val="Textkomentra"/>
    <w:uiPriority w:val="99"/>
    <w:semiHidden/>
    <w:rsid w:val="007753E0"/>
    <w:rPr>
      <w:lang w:eastAsia="en-US"/>
    </w:rPr>
  </w:style>
  <w:style w:type="character" w:customStyle="1" w:styleId="Nadpis1Char">
    <w:name w:val="Nadpis 1 Char"/>
    <w:link w:val="Nadpis1"/>
    <w:uiPriority w:val="9"/>
    <w:rsid w:val="009632C8"/>
    <w:rPr>
      <w:b/>
      <w:bCs/>
      <w:kern w:val="36"/>
      <w:sz w:val="48"/>
      <w:szCs w:val="48"/>
    </w:rPr>
  </w:style>
  <w:style w:type="paragraph" w:customStyle="1" w:styleId="Strednzoznam2zvraznenie21">
    <w:name w:val="Stredný zoznam 2 – zvýraznenie 21"/>
    <w:hidden/>
    <w:uiPriority w:val="99"/>
    <w:semiHidden/>
    <w:rsid w:val="00982193"/>
    <w:rPr>
      <w:lang w:eastAsia="en-US"/>
    </w:rPr>
  </w:style>
  <w:style w:type="paragraph" w:customStyle="1" w:styleId="Farebnpodfarbeniezvraznenie11">
    <w:name w:val="Farebné podfarbenie – zvýraznenie 11"/>
    <w:hidden/>
    <w:uiPriority w:val="99"/>
    <w:semiHidden/>
    <w:rsid w:val="00095B51"/>
    <w:rPr>
      <w:lang w:eastAsia="en-US"/>
    </w:rPr>
  </w:style>
  <w:style w:type="character" w:customStyle="1" w:styleId="Textzstupnhosymbolu1">
    <w:name w:val="Text zástupného symbolu1"/>
    <w:rsid w:val="00D026A0"/>
  </w:style>
  <w:style w:type="paragraph" w:customStyle="1" w:styleId="Svetlmriekazvraznenie31">
    <w:name w:val="Svetlá mriežka – zvýraznenie 31"/>
    <w:basedOn w:val="Normlny"/>
    <w:qFormat/>
    <w:rsid w:val="00D026A0"/>
    <w:pPr>
      <w:widowControl w:val="0"/>
      <w:spacing w:after="0" w:line="240" w:lineRule="auto"/>
      <w:ind w:left="720"/>
    </w:pPr>
  </w:style>
  <w:style w:type="character" w:styleId="Siln">
    <w:name w:val="Strong"/>
    <w:uiPriority w:val="22"/>
    <w:qFormat/>
    <w:rsid w:val="00E5476D"/>
    <w:rPr>
      <w:b/>
      <w:bCs/>
    </w:rPr>
  </w:style>
  <w:style w:type="paragraph" w:customStyle="1" w:styleId="western">
    <w:name w:val="western"/>
    <w:basedOn w:val="Normlny"/>
    <w:rsid w:val="00307C48"/>
    <w:pPr>
      <w:suppressAutoHyphens w:val="0"/>
      <w:spacing w:before="198" w:after="0" w:line="264" w:lineRule="auto"/>
      <w:jc w:val="both"/>
    </w:pPr>
    <w:rPr>
      <w:sz w:val="18"/>
      <w:szCs w:val="18"/>
      <w:lang w:eastAsia="sk-SK"/>
    </w:rPr>
  </w:style>
  <w:style w:type="paragraph" w:styleId="Odsekzoznamu">
    <w:name w:val="List Paragraph"/>
    <w:basedOn w:val="Normlny"/>
    <w:uiPriority w:val="99"/>
    <w:qFormat/>
    <w:rsid w:val="00376D39"/>
    <w:pPr>
      <w:ind w:left="720"/>
      <w:contextualSpacing/>
    </w:pPr>
  </w:style>
  <w:style w:type="character" w:customStyle="1" w:styleId="Nadpis9Char">
    <w:name w:val="Nadpis 9 Char"/>
    <w:basedOn w:val="Predvolenpsmoodseku"/>
    <w:link w:val="Nadpis9"/>
    <w:uiPriority w:val="9"/>
    <w:semiHidden/>
    <w:rsid w:val="00D607A9"/>
    <w:rPr>
      <w:rFonts w:asciiTheme="majorHAnsi" w:eastAsiaTheme="majorEastAsia" w:hAnsiTheme="majorHAnsi" w:cstheme="majorBidi"/>
      <w:i/>
      <w:iCs/>
      <w:color w:val="404040" w:themeColor="text1" w:themeTint="BF"/>
      <w:lang w:eastAsia="en-US"/>
    </w:rPr>
  </w:style>
  <w:style w:type="paragraph" w:styleId="Hlavika">
    <w:name w:val="header"/>
    <w:basedOn w:val="Normlny"/>
    <w:link w:val="HlavikaChar"/>
    <w:uiPriority w:val="99"/>
    <w:unhideWhenUsed/>
    <w:rsid w:val="00D607A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607A9"/>
    <w:rPr>
      <w:lang w:eastAsia="en-US"/>
    </w:rPr>
  </w:style>
  <w:style w:type="paragraph" w:styleId="Pta">
    <w:name w:val="footer"/>
    <w:basedOn w:val="Normlny"/>
    <w:link w:val="PtaChar"/>
    <w:uiPriority w:val="99"/>
    <w:unhideWhenUsed/>
    <w:rsid w:val="00D607A9"/>
    <w:pPr>
      <w:tabs>
        <w:tab w:val="center" w:pos="4536"/>
        <w:tab w:val="right" w:pos="9072"/>
      </w:tabs>
      <w:spacing w:after="0" w:line="240" w:lineRule="auto"/>
    </w:pPr>
  </w:style>
  <w:style w:type="character" w:customStyle="1" w:styleId="PtaChar">
    <w:name w:val="Päta Char"/>
    <w:basedOn w:val="Predvolenpsmoodseku"/>
    <w:link w:val="Pta"/>
    <w:uiPriority w:val="99"/>
    <w:rsid w:val="00D607A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4486">
      <w:bodyDiv w:val="1"/>
      <w:marLeft w:val="0"/>
      <w:marRight w:val="0"/>
      <w:marTop w:val="0"/>
      <w:marBottom w:val="0"/>
      <w:divBdr>
        <w:top w:val="none" w:sz="0" w:space="0" w:color="auto"/>
        <w:left w:val="none" w:sz="0" w:space="0" w:color="auto"/>
        <w:bottom w:val="none" w:sz="0" w:space="0" w:color="auto"/>
        <w:right w:val="none" w:sz="0" w:space="0" w:color="auto"/>
      </w:divBdr>
    </w:div>
    <w:div w:id="241764083">
      <w:bodyDiv w:val="1"/>
      <w:marLeft w:val="0"/>
      <w:marRight w:val="0"/>
      <w:marTop w:val="0"/>
      <w:marBottom w:val="0"/>
      <w:divBdr>
        <w:top w:val="none" w:sz="0" w:space="0" w:color="auto"/>
        <w:left w:val="none" w:sz="0" w:space="0" w:color="auto"/>
        <w:bottom w:val="none" w:sz="0" w:space="0" w:color="auto"/>
        <w:right w:val="none" w:sz="0" w:space="0" w:color="auto"/>
      </w:divBdr>
    </w:div>
    <w:div w:id="1365062737">
      <w:bodyDiv w:val="1"/>
      <w:marLeft w:val="0"/>
      <w:marRight w:val="0"/>
      <w:marTop w:val="0"/>
      <w:marBottom w:val="0"/>
      <w:divBdr>
        <w:top w:val="none" w:sz="0" w:space="0" w:color="auto"/>
        <w:left w:val="none" w:sz="0" w:space="0" w:color="auto"/>
        <w:bottom w:val="none" w:sz="0" w:space="0" w:color="auto"/>
        <w:right w:val="none" w:sz="0" w:space="0" w:color="auto"/>
      </w:divBdr>
    </w:div>
    <w:div w:id="1537886380">
      <w:bodyDiv w:val="1"/>
      <w:marLeft w:val="0"/>
      <w:marRight w:val="0"/>
      <w:marTop w:val="0"/>
      <w:marBottom w:val="0"/>
      <w:divBdr>
        <w:top w:val="none" w:sz="0" w:space="0" w:color="auto"/>
        <w:left w:val="none" w:sz="0" w:space="0" w:color="auto"/>
        <w:bottom w:val="none" w:sz="0" w:space="0" w:color="auto"/>
        <w:right w:val="none" w:sz="0" w:space="0" w:color="auto"/>
      </w:divBdr>
    </w:div>
    <w:div w:id="1969192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CFF32-F55A-45E3-B918-2BC25C31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1249</Words>
  <Characters>7120</Characters>
  <Application>Microsoft Office Word</Application>
  <DocSecurity>0</DocSecurity>
  <Lines>59</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Porubčin Karol</dc:creator>
  <cp:lastModifiedBy>Porubčin Karol</cp:lastModifiedBy>
  <cp:revision>3</cp:revision>
  <cp:lastPrinted>2019-10-16T07:02:00Z</cp:lastPrinted>
  <dcterms:created xsi:type="dcterms:W3CDTF">2024-06-21T12:07:00Z</dcterms:created>
  <dcterms:modified xsi:type="dcterms:W3CDTF">2024-06-21T12:39:00Z</dcterms:modified>
</cp:coreProperties>
</file>