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E1322" w14:textId="77777777" w:rsidR="00272230" w:rsidRPr="003D0B1E" w:rsidRDefault="006D4CA7" w:rsidP="003D0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0B1E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7FC0DCA2" w14:textId="77777777" w:rsidR="00596C35" w:rsidRPr="003D0B1E" w:rsidRDefault="00596C35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14:paraId="1270058B" w14:textId="77777777" w:rsidR="00C27C97" w:rsidRPr="003D0B1E" w:rsidRDefault="00C27C97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14:paraId="24DD3887" w14:textId="2D7A2752" w:rsidR="006D4CA7" w:rsidRPr="003D0B1E" w:rsidRDefault="006D4CA7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3D0B1E">
        <w:rPr>
          <w:rFonts w:ascii="Times New Roman" w:hAnsi="Times New Roman" w:cs="Times New Roman"/>
          <w:sz w:val="24"/>
          <w:szCs w:val="24"/>
        </w:rPr>
        <w:t>Na základe § 70 ods. 2 zákona Národnej rady Slovenskej republiky č. 350/1996 Z. z. o</w:t>
      </w:r>
      <w:r w:rsidR="00596C35" w:rsidRPr="003D0B1E">
        <w:rPr>
          <w:rFonts w:ascii="Times New Roman" w:hAnsi="Times New Roman" w:cs="Times New Roman"/>
          <w:sz w:val="24"/>
          <w:szCs w:val="24"/>
        </w:rPr>
        <w:t> </w:t>
      </w:r>
      <w:r w:rsidRPr="003D0B1E">
        <w:rPr>
          <w:rFonts w:ascii="Times New Roman" w:hAnsi="Times New Roman" w:cs="Times New Roman"/>
          <w:sz w:val="24"/>
          <w:szCs w:val="24"/>
        </w:rPr>
        <w:t>rokovacom poriadku Národnej rady Slovenskej republiky</w:t>
      </w:r>
      <w:r w:rsidR="00DD59D0" w:rsidRPr="003D0B1E">
        <w:rPr>
          <w:rFonts w:ascii="Times New Roman" w:hAnsi="Times New Roman" w:cs="Times New Roman"/>
          <w:sz w:val="24"/>
          <w:szCs w:val="24"/>
        </w:rPr>
        <w:t xml:space="preserve"> v znení zákona č. 399/2015 Z. z.</w:t>
      </w:r>
      <w:r w:rsidR="00173EFA" w:rsidRPr="003D0B1E">
        <w:rPr>
          <w:rFonts w:ascii="Times New Roman" w:hAnsi="Times New Roman" w:cs="Times New Roman"/>
          <w:sz w:val="24"/>
          <w:szCs w:val="24"/>
        </w:rPr>
        <w:t xml:space="preserve"> </w:t>
      </w:r>
      <w:r w:rsidRPr="003D0B1E">
        <w:rPr>
          <w:rFonts w:ascii="Times New Roman" w:hAnsi="Times New Roman" w:cs="Times New Roman"/>
          <w:sz w:val="24"/>
          <w:szCs w:val="24"/>
        </w:rPr>
        <w:t>Ministerstvo práce, sociálnych vecí a rodiny Slovenskej republiky (ďalej len ,,ministerstvo“)</w:t>
      </w:r>
      <w:r w:rsidR="006B64FC" w:rsidRPr="003D0B1E">
        <w:rPr>
          <w:rFonts w:ascii="Times New Roman" w:hAnsi="Times New Roman" w:cs="Times New Roman"/>
          <w:sz w:val="24"/>
          <w:szCs w:val="24"/>
        </w:rPr>
        <w:t xml:space="preserve"> </w:t>
      </w:r>
      <w:r w:rsidR="00906EAD" w:rsidRPr="003D0B1E">
        <w:rPr>
          <w:rFonts w:ascii="Times New Roman" w:hAnsi="Times New Roman" w:cs="Times New Roman"/>
          <w:sz w:val="24"/>
          <w:szCs w:val="24"/>
        </w:rPr>
        <w:t xml:space="preserve">ako ústredný orgán štátnej správy pre štátne sociálne dávky </w:t>
      </w:r>
      <w:r w:rsidRPr="003D0B1E">
        <w:rPr>
          <w:rFonts w:ascii="Times New Roman" w:hAnsi="Times New Roman" w:cs="Times New Roman"/>
          <w:sz w:val="24"/>
          <w:szCs w:val="24"/>
        </w:rPr>
        <w:t xml:space="preserve">predkladá na rokovanie vlády Slovenskej republiky </w:t>
      </w:r>
      <w:r w:rsidR="003D0B1E">
        <w:rPr>
          <w:rFonts w:ascii="Times New Roman" w:hAnsi="Times New Roman" w:cs="Times New Roman"/>
          <w:sz w:val="24"/>
          <w:szCs w:val="24"/>
        </w:rPr>
        <w:t>n</w:t>
      </w:r>
      <w:r w:rsidR="00696877" w:rsidRPr="003D0B1E">
        <w:rPr>
          <w:rFonts w:ascii="Times New Roman" w:hAnsi="Times New Roman" w:cs="Times New Roman"/>
          <w:sz w:val="24"/>
          <w:szCs w:val="24"/>
        </w:rPr>
        <w:t xml:space="preserve">ávrh poslancov Národnej rady Slovenskej republiky </w:t>
      </w:r>
      <w:r w:rsidR="00D60D8E" w:rsidRPr="003D0B1E">
        <w:rPr>
          <w:rFonts w:ascii="Times New Roman" w:hAnsi="Times New Roman" w:cs="Times New Roman"/>
          <w:sz w:val="24"/>
          <w:szCs w:val="24"/>
        </w:rPr>
        <w:t>Rudolfa HULIAKA, Dagmar KRAMPLOVEJ, Andreja DANKA a Adama LUČANSKÉHO</w:t>
      </w:r>
      <w:r w:rsidR="00696877" w:rsidRPr="003D0B1E">
        <w:rPr>
          <w:rFonts w:ascii="Times New Roman" w:hAnsi="Times New Roman" w:cs="Times New Roman"/>
          <w:sz w:val="24"/>
          <w:szCs w:val="24"/>
        </w:rPr>
        <w:t xml:space="preserve"> na vydanie zákona, ktorým sa mení zákon č. </w:t>
      </w:r>
      <w:r w:rsidR="00D60D8E" w:rsidRPr="003D0B1E">
        <w:rPr>
          <w:rFonts w:ascii="Times New Roman" w:hAnsi="Times New Roman" w:cs="Times New Roman"/>
          <w:sz w:val="24"/>
          <w:szCs w:val="24"/>
        </w:rPr>
        <w:t>238/1998</w:t>
      </w:r>
      <w:r w:rsidR="00696877" w:rsidRPr="003D0B1E">
        <w:rPr>
          <w:rFonts w:ascii="Times New Roman" w:hAnsi="Times New Roman" w:cs="Times New Roman"/>
          <w:sz w:val="24"/>
          <w:szCs w:val="24"/>
        </w:rPr>
        <w:t xml:space="preserve"> Z. z. o</w:t>
      </w:r>
      <w:r w:rsidR="00D60D8E" w:rsidRPr="003D0B1E">
        <w:rPr>
          <w:rFonts w:ascii="Times New Roman" w:hAnsi="Times New Roman" w:cs="Times New Roman"/>
          <w:sz w:val="24"/>
          <w:szCs w:val="24"/>
        </w:rPr>
        <w:t> príspevku na pohreb</w:t>
      </w:r>
      <w:r w:rsidR="00696877" w:rsidRPr="003D0B1E">
        <w:rPr>
          <w:rFonts w:ascii="Times New Roman" w:hAnsi="Times New Roman" w:cs="Times New Roman"/>
          <w:sz w:val="24"/>
          <w:szCs w:val="24"/>
        </w:rPr>
        <w:t xml:space="preserve"> v znení neskorších predpisov </w:t>
      </w:r>
      <w:r w:rsidRPr="003D0B1E">
        <w:rPr>
          <w:rFonts w:ascii="Times New Roman" w:hAnsi="Times New Roman" w:cs="Times New Roman"/>
          <w:sz w:val="24"/>
          <w:szCs w:val="24"/>
        </w:rPr>
        <w:t xml:space="preserve">(tlač </w:t>
      </w:r>
      <w:r w:rsidR="00D60D8E" w:rsidRPr="003D0B1E">
        <w:rPr>
          <w:rFonts w:ascii="Times New Roman" w:hAnsi="Times New Roman" w:cs="Times New Roman"/>
          <w:sz w:val="24"/>
          <w:szCs w:val="24"/>
        </w:rPr>
        <w:t>346</w:t>
      </w:r>
      <w:r w:rsidRPr="003D0B1E">
        <w:rPr>
          <w:rFonts w:ascii="Times New Roman" w:hAnsi="Times New Roman" w:cs="Times New Roman"/>
          <w:sz w:val="24"/>
          <w:szCs w:val="24"/>
        </w:rPr>
        <w:t>).</w:t>
      </w:r>
    </w:p>
    <w:p w14:paraId="55CE4851" w14:textId="77777777" w:rsidR="00596C35" w:rsidRPr="003D0B1E" w:rsidRDefault="00596C35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14:paraId="65B92AE2" w14:textId="77777777" w:rsidR="006D4CA7" w:rsidRPr="003D0B1E" w:rsidRDefault="006D4CA7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3D0B1E">
        <w:rPr>
          <w:rFonts w:ascii="Times New Roman" w:hAnsi="Times New Roman" w:cs="Times New Roman"/>
          <w:sz w:val="24"/>
          <w:szCs w:val="24"/>
        </w:rPr>
        <w:t>Ministerstvo k</w:t>
      </w:r>
      <w:r w:rsidR="006B64FC" w:rsidRPr="003D0B1E">
        <w:rPr>
          <w:rFonts w:ascii="Times New Roman" w:hAnsi="Times New Roman" w:cs="Times New Roman"/>
          <w:sz w:val="24"/>
          <w:szCs w:val="24"/>
        </w:rPr>
        <w:t xml:space="preserve"> predloženému </w:t>
      </w:r>
      <w:r w:rsidRPr="003D0B1E">
        <w:rPr>
          <w:rFonts w:ascii="Times New Roman" w:hAnsi="Times New Roman" w:cs="Times New Roman"/>
          <w:sz w:val="24"/>
          <w:szCs w:val="24"/>
        </w:rPr>
        <w:t>poslaneckému návrhu uvádza nasledovné:</w:t>
      </w:r>
    </w:p>
    <w:p w14:paraId="0BAF09AE" w14:textId="77777777" w:rsidR="00596C35" w:rsidRPr="003D0B1E" w:rsidRDefault="00596C35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14:paraId="55130910" w14:textId="77777777" w:rsidR="006D4CA7" w:rsidRPr="003D0B1E" w:rsidRDefault="006D4CA7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E">
        <w:rPr>
          <w:rFonts w:ascii="Times New Roman" w:hAnsi="Times New Roman" w:cs="Times New Roman"/>
          <w:b/>
          <w:sz w:val="24"/>
          <w:szCs w:val="24"/>
        </w:rPr>
        <w:t>Všeobecne</w:t>
      </w:r>
    </w:p>
    <w:p w14:paraId="564F9522" w14:textId="77777777" w:rsidR="00596C35" w:rsidRPr="003D0B1E" w:rsidRDefault="00596C35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14:paraId="46192FE3" w14:textId="77777777" w:rsidR="00C53FB7" w:rsidRPr="003D0B1E" w:rsidRDefault="00C53FB7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3D0B1E">
        <w:rPr>
          <w:rFonts w:ascii="Times New Roman" w:hAnsi="Times New Roman" w:cs="Times New Roman"/>
          <w:sz w:val="24"/>
          <w:szCs w:val="24"/>
        </w:rPr>
        <w:t xml:space="preserve">Cieľom poslaneckého návrhu je </w:t>
      </w:r>
      <w:r w:rsidR="00696877" w:rsidRPr="003D0B1E">
        <w:rPr>
          <w:rFonts w:ascii="Times New Roman" w:hAnsi="Times New Roman" w:cs="Times New Roman"/>
          <w:sz w:val="24"/>
          <w:szCs w:val="24"/>
        </w:rPr>
        <w:t xml:space="preserve">zvýšiť </w:t>
      </w:r>
      <w:r w:rsidR="00D60D8E" w:rsidRPr="003D0B1E">
        <w:rPr>
          <w:rFonts w:ascii="Times New Roman" w:hAnsi="Times New Roman" w:cs="Times New Roman"/>
          <w:sz w:val="24"/>
          <w:szCs w:val="24"/>
        </w:rPr>
        <w:t>príspevok na pohreb na sumu 200</w:t>
      </w:r>
      <w:r w:rsidR="00696877" w:rsidRPr="003D0B1E">
        <w:rPr>
          <w:rFonts w:ascii="Times New Roman" w:hAnsi="Times New Roman" w:cs="Times New Roman"/>
          <w:sz w:val="24"/>
          <w:szCs w:val="24"/>
        </w:rPr>
        <w:t xml:space="preserve"> </w:t>
      </w:r>
      <w:r w:rsidR="006C3FF2" w:rsidRPr="003D0B1E">
        <w:rPr>
          <w:rFonts w:ascii="Times New Roman" w:hAnsi="Times New Roman" w:cs="Times New Roman"/>
          <w:sz w:val="24"/>
          <w:szCs w:val="24"/>
        </w:rPr>
        <w:t>eur</w:t>
      </w:r>
      <w:r w:rsidR="00696877" w:rsidRPr="003D0B1E">
        <w:rPr>
          <w:rFonts w:ascii="Times New Roman" w:hAnsi="Times New Roman" w:cs="Times New Roman"/>
          <w:sz w:val="24"/>
          <w:szCs w:val="24"/>
        </w:rPr>
        <w:t xml:space="preserve"> mesačne. </w:t>
      </w:r>
    </w:p>
    <w:p w14:paraId="4F4EFEF1" w14:textId="77777777" w:rsidR="00D4081F" w:rsidRPr="003D0B1E" w:rsidRDefault="00D4081F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14:paraId="24973779" w14:textId="77777777" w:rsidR="00CE7132" w:rsidRPr="003D0B1E" w:rsidRDefault="00CE7132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E">
        <w:rPr>
          <w:rFonts w:ascii="Times New Roman" w:hAnsi="Times New Roman" w:cs="Times New Roman"/>
          <w:b/>
          <w:sz w:val="24"/>
          <w:szCs w:val="24"/>
        </w:rPr>
        <w:t>Stanovisko</w:t>
      </w:r>
    </w:p>
    <w:p w14:paraId="5837E137" w14:textId="77777777" w:rsidR="00596C35" w:rsidRPr="003D0B1E" w:rsidRDefault="00596C35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14:paraId="72C7E706" w14:textId="77777777" w:rsidR="00596C35" w:rsidRPr="003D0B1E" w:rsidRDefault="00696877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3D0B1E">
        <w:rPr>
          <w:rFonts w:ascii="Times New Roman" w:hAnsi="Times New Roman" w:cs="Times New Roman"/>
          <w:sz w:val="24"/>
          <w:szCs w:val="24"/>
        </w:rPr>
        <w:t xml:space="preserve">Ministerstvo </w:t>
      </w:r>
      <w:r w:rsidR="00B92B25" w:rsidRPr="003D0B1E">
        <w:rPr>
          <w:rFonts w:ascii="Times New Roman" w:hAnsi="Times New Roman" w:cs="Times New Roman"/>
          <w:sz w:val="24"/>
          <w:szCs w:val="24"/>
        </w:rPr>
        <w:t xml:space="preserve">akceptuje </w:t>
      </w:r>
      <w:r w:rsidRPr="003D0B1E">
        <w:rPr>
          <w:rFonts w:ascii="Times New Roman" w:hAnsi="Times New Roman" w:cs="Times New Roman"/>
          <w:sz w:val="24"/>
          <w:szCs w:val="24"/>
        </w:rPr>
        <w:t xml:space="preserve">návrh </w:t>
      </w:r>
      <w:r w:rsidR="00D60D8E" w:rsidRPr="003D0B1E">
        <w:rPr>
          <w:rFonts w:ascii="Times New Roman" w:hAnsi="Times New Roman" w:cs="Times New Roman"/>
          <w:sz w:val="24"/>
          <w:szCs w:val="24"/>
        </w:rPr>
        <w:t>poslancov Národnej rady Slovenskej republiky Rudolfa HULIAKA, Dagmar KRAMPLOVEJ, Andreja DANKA a Adama LUČANSKÉHO na vydanie zákona, ktorým sa mení zákon č. 238/1998 Z. z. o príspevku na pohreb v znení neskorších predpisov</w:t>
      </w:r>
      <w:r w:rsidRPr="003D0B1E">
        <w:rPr>
          <w:rFonts w:ascii="Times New Roman" w:hAnsi="Times New Roman" w:cs="Times New Roman"/>
          <w:sz w:val="24"/>
          <w:szCs w:val="24"/>
        </w:rPr>
        <w:t xml:space="preserve">, ktorým sa zvyšuje </w:t>
      </w:r>
      <w:r w:rsidR="001808C9" w:rsidRPr="003D0B1E">
        <w:rPr>
          <w:rFonts w:ascii="Times New Roman" w:hAnsi="Times New Roman" w:cs="Times New Roman"/>
          <w:sz w:val="24"/>
          <w:szCs w:val="24"/>
        </w:rPr>
        <w:t xml:space="preserve">suma </w:t>
      </w:r>
      <w:r w:rsidR="00D60D8E" w:rsidRPr="003D0B1E">
        <w:rPr>
          <w:rFonts w:ascii="Times New Roman" w:hAnsi="Times New Roman" w:cs="Times New Roman"/>
          <w:sz w:val="24"/>
          <w:szCs w:val="24"/>
        </w:rPr>
        <w:t>príspevku na pohreb na 20</w:t>
      </w:r>
      <w:r w:rsidR="001808C9" w:rsidRPr="003D0B1E">
        <w:rPr>
          <w:rFonts w:ascii="Times New Roman" w:hAnsi="Times New Roman" w:cs="Times New Roman"/>
          <w:sz w:val="24"/>
          <w:szCs w:val="24"/>
        </w:rPr>
        <w:t xml:space="preserve">0 </w:t>
      </w:r>
      <w:r w:rsidR="00B6365B" w:rsidRPr="003D0B1E">
        <w:rPr>
          <w:rFonts w:ascii="Times New Roman" w:hAnsi="Times New Roman" w:cs="Times New Roman"/>
          <w:sz w:val="24"/>
          <w:szCs w:val="24"/>
        </w:rPr>
        <w:t>eur</w:t>
      </w:r>
      <w:r w:rsidR="00D60D8E" w:rsidRPr="003D0B1E">
        <w:rPr>
          <w:rFonts w:ascii="Times New Roman" w:hAnsi="Times New Roman" w:cs="Times New Roman"/>
          <w:sz w:val="24"/>
          <w:szCs w:val="24"/>
        </w:rPr>
        <w:t>.</w:t>
      </w:r>
      <w:r w:rsidR="001808C9" w:rsidRPr="003D0B1E">
        <w:rPr>
          <w:rFonts w:ascii="Times New Roman" w:hAnsi="Times New Roman" w:cs="Times New Roman"/>
          <w:sz w:val="24"/>
          <w:szCs w:val="24"/>
        </w:rPr>
        <w:t xml:space="preserve"> </w:t>
      </w:r>
      <w:r w:rsidR="00D60D8E" w:rsidRPr="003D0B1E">
        <w:rPr>
          <w:rFonts w:ascii="Times New Roman" w:hAnsi="Times New Roman" w:cs="Times New Roman"/>
          <w:sz w:val="24"/>
          <w:szCs w:val="24"/>
        </w:rPr>
        <w:t>Navrhovanou zmenou</w:t>
      </w:r>
      <w:r w:rsidRPr="003D0B1E">
        <w:rPr>
          <w:rFonts w:ascii="Times New Roman" w:hAnsi="Times New Roman" w:cs="Times New Roman"/>
          <w:sz w:val="24"/>
          <w:szCs w:val="24"/>
        </w:rPr>
        <w:t xml:space="preserve"> sa </w:t>
      </w:r>
      <w:r w:rsidR="001808C9" w:rsidRPr="003D0B1E">
        <w:rPr>
          <w:rFonts w:ascii="Times New Roman" w:hAnsi="Times New Roman" w:cs="Times New Roman"/>
          <w:sz w:val="24"/>
          <w:szCs w:val="24"/>
        </w:rPr>
        <w:t xml:space="preserve">pomôže všetkým </w:t>
      </w:r>
      <w:r w:rsidR="00944CD3" w:rsidRPr="003D0B1E">
        <w:rPr>
          <w:rFonts w:ascii="Times New Roman" w:hAnsi="Times New Roman" w:cs="Times New Roman"/>
          <w:sz w:val="24"/>
          <w:szCs w:val="24"/>
        </w:rPr>
        <w:t>fyzickým osobám</w:t>
      </w:r>
      <w:r w:rsidR="00D60D8E" w:rsidRPr="003D0B1E">
        <w:rPr>
          <w:rFonts w:ascii="Times New Roman" w:hAnsi="Times New Roman" w:cs="Times New Roman"/>
          <w:sz w:val="24"/>
          <w:szCs w:val="24"/>
        </w:rPr>
        <w:t>, ktoré</w:t>
      </w:r>
      <w:r w:rsidR="00944CD3" w:rsidRPr="003D0B1E">
        <w:rPr>
          <w:rFonts w:ascii="Times New Roman" w:hAnsi="Times New Roman" w:cs="Times New Roman"/>
          <w:sz w:val="24"/>
          <w:szCs w:val="24"/>
        </w:rPr>
        <w:t xml:space="preserve"> zabezpečujú pohreb zomretého</w:t>
      </w:r>
      <w:r w:rsidRPr="003D0B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5E3344" w14:textId="77777777" w:rsidR="00944CD3" w:rsidRPr="003D0B1E" w:rsidRDefault="00944CD3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14:paraId="14E174EC" w14:textId="3EAEDFD2" w:rsidR="00944CD3" w:rsidRPr="003D0B1E" w:rsidRDefault="00944CD3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3D0B1E">
        <w:rPr>
          <w:rFonts w:ascii="Times New Roman" w:hAnsi="Times New Roman" w:cs="Times New Roman"/>
          <w:sz w:val="24"/>
          <w:szCs w:val="24"/>
        </w:rPr>
        <w:t>Ministerstvo</w:t>
      </w:r>
      <w:r w:rsidR="00B92B25" w:rsidRPr="003D0B1E">
        <w:rPr>
          <w:rFonts w:ascii="Times New Roman" w:hAnsi="Times New Roman" w:cs="Times New Roman"/>
          <w:sz w:val="24"/>
          <w:szCs w:val="24"/>
        </w:rPr>
        <w:t xml:space="preserve"> upozorňuje na skutočnosť</w:t>
      </w:r>
      <w:r w:rsidRPr="003D0B1E">
        <w:rPr>
          <w:rFonts w:ascii="Times New Roman" w:hAnsi="Times New Roman" w:cs="Times New Roman"/>
          <w:sz w:val="24"/>
          <w:szCs w:val="24"/>
        </w:rPr>
        <w:t xml:space="preserve">, že </w:t>
      </w:r>
      <w:r w:rsidR="00B92B25" w:rsidRPr="003D0B1E">
        <w:rPr>
          <w:rFonts w:ascii="Times New Roman" w:hAnsi="Times New Roman" w:cs="Times New Roman"/>
          <w:sz w:val="24"/>
          <w:szCs w:val="24"/>
        </w:rPr>
        <w:t>predložený</w:t>
      </w:r>
      <w:r w:rsidR="001947D5" w:rsidRPr="003D0B1E">
        <w:rPr>
          <w:rFonts w:ascii="Times New Roman" w:hAnsi="Times New Roman" w:cs="Times New Roman"/>
          <w:sz w:val="24"/>
          <w:szCs w:val="24"/>
        </w:rPr>
        <w:t xml:space="preserve"> návrh nie je rozpočtovo krytý,</w:t>
      </w:r>
      <w:r w:rsidRPr="003D0B1E">
        <w:rPr>
          <w:rFonts w:ascii="Times New Roman" w:hAnsi="Times New Roman" w:cs="Times New Roman"/>
          <w:sz w:val="24"/>
          <w:szCs w:val="24"/>
        </w:rPr>
        <w:t xml:space="preserve"> nie je možné </w:t>
      </w:r>
      <w:r w:rsidR="00081C2B" w:rsidRPr="003D0B1E">
        <w:rPr>
          <w:rFonts w:ascii="Times New Roman" w:hAnsi="Times New Roman" w:cs="Times New Roman"/>
          <w:sz w:val="24"/>
          <w:szCs w:val="24"/>
        </w:rPr>
        <w:t xml:space="preserve">ho </w:t>
      </w:r>
      <w:r w:rsidR="00B92B25" w:rsidRPr="003D0B1E">
        <w:rPr>
          <w:rFonts w:ascii="Times New Roman" w:hAnsi="Times New Roman" w:cs="Times New Roman"/>
          <w:sz w:val="24"/>
          <w:szCs w:val="24"/>
        </w:rPr>
        <w:t xml:space="preserve">zabezpečiť v rámci limitov </w:t>
      </w:r>
      <w:r w:rsidRPr="003D0B1E">
        <w:rPr>
          <w:rFonts w:ascii="Times New Roman" w:hAnsi="Times New Roman" w:cs="Times New Roman"/>
          <w:sz w:val="24"/>
          <w:szCs w:val="24"/>
        </w:rPr>
        <w:t>rozpočtovej kapitoly ministerstva</w:t>
      </w:r>
      <w:r w:rsidR="001947D5" w:rsidRPr="003D0B1E">
        <w:rPr>
          <w:rFonts w:ascii="Times New Roman" w:hAnsi="Times New Roman" w:cs="Times New Roman"/>
          <w:sz w:val="24"/>
          <w:szCs w:val="24"/>
        </w:rPr>
        <w:t xml:space="preserve"> a</w:t>
      </w:r>
      <w:r w:rsidR="00081C2B" w:rsidRPr="003D0B1E">
        <w:rPr>
          <w:rFonts w:ascii="Times New Roman" w:hAnsi="Times New Roman" w:cs="Times New Roman"/>
          <w:sz w:val="24"/>
          <w:szCs w:val="24"/>
        </w:rPr>
        <w:t xml:space="preserve"> preto žiada</w:t>
      </w:r>
      <w:r w:rsidR="001947D5" w:rsidRPr="003D0B1E">
        <w:rPr>
          <w:rFonts w:ascii="Times New Roman" w:hAnsi="Times New Roman" w:cs="Times New Roman"/>
          <w:sz w:val="24"/>
          <w:szCs w:val="24"/>
        </w:rPr>
        <w:t xml:space="preserve"> finančný vplyv </w:t>
      </w:r>
      <w:r w:rsidR="00081C2B" w:rsidRPr="003D0B1E">
        <w:rPr>
          <w:rFonts w:ascii="Times New Roman" w:hAnsi="Times New Roman" w:cs="Times New Roman"/>
          <w:sz w:val="24"/>
          <w:szCs w:val="24"/>
        </w:rPr>
        <w:t>zohľadniť v</w:t>
      </w:r>
      <w:r w:rsidR="00B92B25" w:rsidRPr="003D0B1E">
        <w:rPr>
          <w:rFonts w:ascii="Times New Roman" w:hAnsi="Times New Roman" w:cs="Times New Roman"/>
          <w:sz w:val="24"/>
          <w:szCs w:val="24"/>
        </w:rPr>
        <w:t xml:space="preserve"> návrhu rozpočtu </w:t>
      </w:r>
      <w:r w:rsidR="003760C6" w:rsidRPr="003D0B1E">
        <w:rPr>
          <w:rFonts w:ascii="Times New Roman" w:hAnsi="Times New Roman" w:cs="Times New Roman"/>
          <w:sz w:val="24"/>
          <w:szCs w:val="24"/>
        </w:rPr>
        <w:t xml:space="preserve">verejnej správy </w:t>
      </w:r>
      <w:r w:rsidR="00B92B25" w:rsidRPr="003D0B1E">
        <w:rPr>
          <w:rFonts w:ascii="Times New Roman" w:hAnsi="Times New Roman" w:cs="Times New Roman"/>
          <w:sz w:val="24"/>
          <w:szCs w:val="24"/>
        </w:rPr>
        <w:t>na roky 2025-2027</w:t>
      </w:r>
      <w:r w:rsidRPr="003D0B1E">
        <w:rPr>
          <w:rFonts w:ascii="Times New Roman" w:hAnsi="Times New Roman" w:cs="Times New Roman"/>
          <w:sz w:val="24"/>
          <w:szCs w:val="24"/>
        </w:rPr>
        <w:t>.</w:t>
      </w:r>
    </w:p>
    <w:p w14:paraId="55CD6430" w14:textId="0F109D0B" w:rsidR="00A34876" w:rsidRPr="003D0B1E" w:rsidRDefault="00A34876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14:paraId="049CCB7E" w14:textId="68BFB206" w:rsidR="00A34876" w:rsidRPr="003D0B1E" w:rsidRDefault="00A34876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3D0B1E">
        <w:rPr>
          <w:rFonts w:ascii="Times New Roman" w:hAnsi="Times New Roman" w:cs="Times New Roman"/>
          <w:sz w:val="24"/>
          <w:szCs w:val="24"/>
        </w:rPr>
        <w:t>Ministerstvo prerokovalo svoje stanovisko k poslaneckému návrhu zákona v súlade s</w:t>
      </w:r>
      <w:r w:rsidR="003D0B1E">
        <w:rPr>
          <w:rFonts w:ascii="Times New Roman" w:hAnsi="Times New Roman" w:cs="Times New Roman"/>
          <w:sz w:val="24"/>
          <w:szCs w:val="24"/>
        </w:rPr>
        <w:t> </w:t>
      </w:r>
      <w:r w:rsidRPr="003D0B1E">
        <w:rPr>
          <w:rFonts w:ascii="Times New Roman" w:hAnsi="Times New Roman" w:cs="Times New Roman"/>
          <w:sz w:val="24"/>
          <w:szCs w:val="24"/>
        </w:rPr>
        <w:t>čl.</w:t>
      </w:r>
      <w:r w:rsidR="003D0B1E">
        <w:rPr>
          <w:rFonts w:ascii="Times New Roman" w:hAnsi="Times New Roman" w:cs="Times New Roman"/>
          <w:sz w:val="24"/>
          <w:szCs w:val="24"/>
        </w:rPr>
        <w:t> </w:t>
      </w:r>
      <w:r w:rsidRPr="003D0B1E">
        <w:rPr>
          <w:rFonts w:ascii="Times New Roman" w:hAnsi="Times New Roman" w:cs="Times New Roman"/>
          <w:sz w:val="24"/>
          <w:szCs w:val="24"/>
        </w:rPr>
        <w:t>31</w:t>
      </w:r>
      <w:r w:rsidR="003D0B1E">
        <w:rPr>
          <w:rFonts w:ascii="Times New Roman" w:hAnsi="Times New Roman" w:cs="Times New Roman"/>
          <w:sz w:val="24"/>
          <w:szCs w:val="24"/>
        </w:rPr>
        <w:t> </w:t>
      </w:r>
      <w:r w:rsidRPr="003D0B1E">
        <w:rPr>
          <w:rFonts w:ascii="Times New Roman" w:hAnsi="Times New Roman" w:cs="Times New Roman"/>
          <w:sz w:val="24"/>
          <w:szCs w:val="24"/>
        </w:rPr>
        <w:t>Legislatívnych pravidiel vlády Slovenskej republiky v pripomienkovom konaní. V</w:t>
      </w:r>
      <w:r w:rsidR="003D0B1E">
        <w:rPr>
          <w:rFonts w:ascii="Times New Roman" w:hAnsi="Times New Roman" w:cs="Times New Roman"/>
          <w:sz w:val="24"/>
          <w:szCs w:val="24"/>
        </w:rPr>
        <w:t> </w:t>
      </w:r>
      <w:r w:rsidRPr="003D0B1E">
        <w:rPr>
          <w:rFonts w:ascii="Times New Roman" w:hAnsi="Times New Roman" w:cs="Times New Roman"/>
          <w:sz w:val="24"/>
          <w:szCs w:val="24"/>
        </w:rPr>
        <w:t>rámci pripomienkového konania bola Ministerstvom financií Slovenskej republiky uplatnená nasledovná obyčajná pripomienka:</w:t>
      </w:r>
    </w:p>
    <w:p w14:paraId="0E374963" w14:textId="77777777" w:rsidR="00A34876" w:rsidRPr="003D0B1E" w:rsidRDefault="00A34876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14:paraId="7A071FAC" w14:textId="77777777" w:rsidR="00A34876" w:rsidRPr="003D0B1E" w:rsidRDefault="00A34876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3D0B1E">
        <w:rPr>
          <w:rFonts w:ascii="Times New Roman" w:hAnsi="Times New Roman" w:cs="Times New Roman"/>
          <w:sz w:val="24"/>
          <w:szCs w:val="24"/>
        </w:rPr>
        <w:t>Pripomienka Ministerstva financií Slovenskej republiky:</w:t>
      </w:r>
    </w:p>
    <w:p w14:paraId="7E56F8F9" w14:textId="77777777" w:rsidR="00A34876" w:rsidRPr="003D0B1E" w:rsidRDefault="00A34876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14:paraId="699A7372" w14:textId="77777777" w:rsidR="00A34876" w:rsidRPr="003D0B1E" w:rsidRDefault="00A34876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B1E">
        <w:rPr>
          <w:rFonts w:ascii="Times New Roman" w:hAnsi="Times New Roman" w:cs="Times New Roman"/>
          <w:sz w:val="24"/>
          <w:szCs w:val="24"/>
        </w:rPr>
        <w:t>„</w:t>
      </w:r>
      <w:r w:rsidRPr="003D0B1E">
        <w:rPr>
          <w:rFonts w:ascii="Times New Roman" w:hAnsi="Times New Roman" w:cs="Times New Roman"/>
          <w:i/>
          <w:sz w:val="24"/>
          <w:szCs w:val="24"/>
        </w:rPr>
        <w:t>V doložke vybraných vplyvov je označený negatívny vplyv na rozpočet verejnej správy. Cieľom návrhu zákona je zvýšenie príspevku na pohreb zo sumy 79,67 eur na 200 eur. Predkladatelia označili v doložke vybraných vplyvov negatívny vplyv na rozpočet verejnej správy a kvantifikovali celkové výdavky v sume 6,7 mil. eur ročne.</w:t>
      </w:r>
    </w:p>
    <w:p w14:paraId="654BDA84" w14:textId="77777777" w:rsidR="00A34876" w:rsidRPr="003D0B1E" w:rsidRDefault="00A34876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657595" w14:textId="336FD821" w:rsidR="00A34876" w:rsidRPr="003D0B1E" w:rsidRDefault="00A34876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3D0B1E">
        <w:rPr>
          <w:rFonts w:ascii="Times New Roman" w:hAnsi="Times New Roman" w:cs="Times New Roman"/>
          <w:i/>
          <w:sz w:val="24"/>
          <w:szCs w:val="24"/>
        </w:rPr>
        <w:t>Ministerstvo práce, sociálnych vecí a rodiny SR odporúča vláde SR vysloviť súhlas s</w:t>
      </w:r>
      <w:r w:rsidR="003D0B1E">
        <w:rPr>
          <w:rFonts w:ascii="Times New Roman" w:hAnsi="Times New Roman" w:cs="Times New Roman"/>
          <w:i/>
          <w:sz w:val="24"/>
          <w:szCs w:val="24"/>
        </w:rPr>
        <w:t> </w:t>
      </w:r>
      <w:r w:rsidRPr="003D0B1E">
        <w:rPr>
          <w:rFonts w:ascii="Times New Roman" w:hAnsi="Times New Roman" w:cs="Times New Roman"/>
          <w:i/>
          <w:sz w:val="24"/>
          <w:szCs w:val="24"/>
        </w:rPr>
        <w:t>predloženým poslaneckým návrhom, pričom v predkladacej správe uvádza: „Ministerstvo upozorňuje na skutočnosť, že predložený návrh nie je rozpočtovo krytý, nie je možné ho zabezpečiť v rámci limitov rozpočtovej kapitoly ministerstva, a preto žiada finančný vplyv zohľadniť v návrhu rozpočtu verejnej správy na roky 2025 až 2027.“. Upozorňujeme, že vzhľadom na to, že predložený poslanecký návrh predstavuje nekrytý negatívny vplyv na rozpočet verejnej správy, bude nevyhnutné v ďalšom procese doriešiť jeho zdrojové krytie.</w:t>
      </w:r>
      <w:r w:rsidRPr="003D0B1E">
        <w:rPr>
          <w:rFonts w:ascii="Times New Roman" w:hAnsi="Times New Roman" w:cs="Times New Roman"/>
          <w:sz w:val="24"/>
          <w:szCs w:val="24"/>
        </w:rPr>
        <w:t>“.</w:t>
      </w:r>
    </w:p>
    <w:p w14:paraId="284F4492" w14:textId="77777777" w:rsidR="00D82C48" w:rsidRPr="003D0B1E" w:rsidRDefault="00D82C48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14:paraId="04066FC8" w14:textId="77777777" w:rsidR="00801220" w:rsidRPr="003D0B1E" w:rsidRDefault="00A6670E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3D0B1E">
        <w:rPr>
          <w:rFonts w:ascii="Times New Roman" w:hAnsi="Times New Roman" w:cs="Times New Roman"/>
          <w:sz w:val="24"/>
          <w:szCs w:val="24"/>
        </w:rPr>
        <w:lastRenderedPageBreak/>
        <w:t xml:space="preserve">Ministerstvo zároveň uplatňuje k návrhu zákona túto </w:t>
      </w:r>
      <w:proofErr w:type="spellStart"/>
      <w:r w:rsidRPr="003D0B1E">
        <w:rPr>
          <w:rFonts w:ascii="Times New Roman" w:hAnsi="Times New Roman" w:cs="Times New Roman"/>
          <w:sz w:val="24"/>
          <w:szCs w:val="24"/>
        </w:rPr>
        <w:t>l</w:t>
      </w:r>
      <w:r w:rsidR="00244619" w:rsidRPr="003D0B1E">
        <w:rPr>
          <w:rFonts w:ascii="Times New Roman" w:hAnsi="Times New Roman" w:cs="Times New Roman"/>
          <w:sz w:val="24"/>
          <w:szCs w:val="24"/>
        </w:rPr>
        <w:t>egislatívnotechnick</w:t>
      </w:r>
      <w:r w:rsidRPr="003D0B1E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244619" w:rsidRPr="003D0B1E">
        <w:rPr>
          <w:rFonts w:ascii="Times New Roman" w:hAnsi="Times New Roman" w:cs="Times New Roman"/>
          <w:sz w:val="24"/>
          <w:szCs w:val="24"/>
        </w:rPr>
        <w:t xml:space="preserve"> pripomienk</w:t>
      </w:r>
      <w:r w:rsidRPr="003D0B1E">
        <w:rPr>
          <w:rFonts w:ascii="Times New Roman" w:hAnsi="Times New Roman" w:cs="Times New Roman"/>
          <w:sz w:val="24"/>
          <w:szCs w:val="24"/>
        </w:rPr>
        <w:t>u:</w:t>
      </w:r>
    </w:p>
    <w:p w14:paraId="05FAFDDD" w14:textId="77777777" w:rsidR="00244619" w:rsidRPr="003D0B1E" w:rsidRDefault="00244619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14:paraId="08E9AF3A" w14:textId="77777777" w:rsidR="00244619" w:rsidRPr="003D0B1E" w:rsidRDefault="00244619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3D0B1E">
        <w:rPr>
          <w:rFonts w:ascii="Times New Roman" w:hAnsi="Times New Roman" w:cs="Times New Roman"/>
          <w:sz w:val="24"/>
          <w:szCs w:val="24"/>
        </w:rPr>
        <w:t>Čl. I znie:</w:t>
      </w:r>
    </w:p>
    <w:p w14:paraId="345B73D1" w14:textId="77777777" w:rsidR="00244619" w:rsidRPr="003D0B1E" w:rsidRDefault="00244619" w:rsidP="003D0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D0B1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r w:rsidRPr="003D0B1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3376FA2F" w14:textId="77777777" w:rsidR="00244619" w:rsidRPr="003D0B1E" w:rsidRDefault="00244619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14:paraId="7668AE12" w14:textId="165CA223" w:rsidR="00244619" w:rsidRPr="003D0B1E" w:rsidRDefault="00244619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3D0B1E">
        <w:rPr>
          <w:rFonts w:ascii="Times New Roman" w:hAnsi="Times New Roman" w:cs="Times New Roman"/>
          <w:sz w:val="24"/>
          <w:szCs w:val="24"/>
        </w:rPr>
        <w:t>Zákon č. 238/1998 Z. z. o príspevku na pohreb v znení zákona č. 453/2003 Z. z., zákona č.</w:t>
      </w:r>
      <w:r w:rsidR="00746974" w:rsidRPr="003D0B1E">
        <w:rPr>
          <w:rFonts w:ascii="Times New Roman" w:hAnsi="Times New Roman" w:cs="Times New Roman"/>
          <w:sz w:val="24"/>
          <w:szCs w:val="24"/>
        </w:rPr>
        <w:t> </w:t>
      </w:r>
      <w:r w:rsidRPr="003D0B1E">
        <w:rPr>
          <w:rFonts w:ascii="Times New Roman" w:hAnsi="Times New Roman" w:cs="Times New Roman"/>
          <w:sz w:val="24"/>
          <w:szCs w:val="24"/>
        </w:rPr>
        <w:t>601/2003 Z. z.</w:t>
      </w:r>
      <w:r w:rsidR="00833D47" w:rsidRPr="003D0B1E">
        <w:rPr>
          <w:rFonts w:ascii="Times New Roman" w:hAnsi="Times New Roman" w:cs="Times New Roman"/>
          <w:sz w:val="24"/>
          <w:szCs w:val="24"/>
        </w:rPr>
        <w:t>,</w:t>
      </w:r>
      <w:r w:rsidRPr="003D0B1E">
        <w:rPr>
          <w:rFonts w:ascii="Times New Roman" w:hAnsi="Times New Roman" w:cs="Times New Roman"/>
          <w:sz w:val="24"/>
          <w:szCs w:val="24"/>
        </w:rPr>
        <w:t xml:space="preserve"> zákona č. 468/2011 Z. z. </w:t>
      </w:r>
      <w:r w:rsidR="00833D47" w:rsidRPr="003D0B1E">
        <w:rPr>
          <w:rFonts w:ascii="Times New Roman" w:hAnsi="Times New Roman" w:cs="Times New Roman"/>
          <w:sz w:val="24"/>
          <w:szCs w:val="24"/>
        </w:rPr>
        <w:t>a zákona č. 8</w:t>
      </w:r>
      <w:r w:rsidR="009E5798" w:rsidRPr="003D0B1E">
        <w:rPr>
          <w:rFonts w:ascii="Times New Roman" w:hAnsi="Times New Roman" w:cs="Times New Roman"/>
          <w:sz w:val="24"/>
          <w:szCs w:val="24"/>
        </w:rPr>
        <w:t>3</w:t>
      </w:r>
      <w:r w:rsidR="00833D47" w:rsidRPr="003D0B1E">
        <w:rPr>
          <w:rFonts w:ascii="Times New Roman" w:hAnsi="Times New Roman" w:cs="Times New Roman"/>
          <w:sz w:val="24"/>
          <w:szCs w:val="24"/>
        </w:rPr>
        <w:t xml:space="preserve">/2019 Z. z. </w:t>
      </w:r>
      <w:r w:rsidRPr="003D0B1E">
        <w:rPr>
          <w:rFonts w:ascii="Times New Roman" w:hAnsi="Times New Roman" w:cs="Times New Roman"/>
          <w:sz w:val="24"/>
          <w:szCs w:val="24"/>
        </w:rPr>
        <w:t xml:space="preserve">sa mení </w:t>
      </w:r>
      <w:r w:rsidR="00D223A2" w:rsidRPr="003D0B1E"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3D0B1E">
        <w:rPr>
          <w:rFonts w:ascii="Times New Roman" w:hAnsi="Times New Roman" w:cs="Times New Roman"/>
          <w:sz w:val="24"/>
          <w:szCs w:val="24"/>
        </w:rPr>
        <w:t>takto:</w:t>
      </w:r>
    </w:p>
    <w:p w14:paraId="28EACFF1" w14:textId="77777777" w:rsidR="00244619" w:rsidRPr="003D0B1E" w:rsidRDefault="00244619" w:rsidP="003D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381D80" w14:textId="089ABEC6" w:rsidR="00244619" w:rsidRPr="003D0B1E" w:rsidRDefault="00244619" w:rsidP="003D0B1E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0B1E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 odsek 1 znie:</w:t>
      </w:r>
    </w:p>
    <w:p w14:paraId="2AD0A63F" w14:textId="180CF4A4" w:rsidR="00244619" w:rsidRPr="003D0B1E" w:rsidRDefault="00244619" w:rsidP="003D0B1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0B1E">
        <w:rPr>
          <w:rFonts w:ascii="Times New Roman" w:eastAsia="Times New Roman" w:hAnsi="Times New Roman" w:cs="Times New Roman"/>
          <w:sz w:val="24"/>
          <w:szCs w:val="24"/>
          <w:lang w:eastAsia="sk-SK"/>
        </w:rPr>
        <w:t>„(1) Výška príspevku je 200 eur.“.</w:t>
      </w:r>
    </w:p>
    <w:p w14:paraId="21868433" w14:textId="77777777" w:rsidR="00244619" w:rsidRPr="003D0B1E" w:rsidRDefault="00244619" w:rsidP="003D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8A4CAD" w14:textId="483A0BC4" w:rsidR="00244619" w:rsidRPr="003D0B1E" w:rsidRDefault="00D223A2" w:rsidP="003D0B1E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0B1E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14 sa vkladá § 14a, ktorý vrátane nadpisu znie:</w:t>
      </w:r>
    </w:p>
    <w:p w14:paraId="14AC72E0" w14:textId="77777777" w:rsidR="00D223A2" w:rsidRPr="003D0B1E" w:rsidRDefault="00D223A2" w:rsidP="003D0B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0B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„§ 14a</w:t>
      </w:r>
    </w:p>
    <w:p w14:paraId="36BFAFAD" w14:textId="77777777" w:rsidR="00D223A2" w:rsidRPr="003D0B1E" w:rsidRDefault="00D223A2" w:rsidP="003D0B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0B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Zrušovacie ustanovenie účinné od 1. januára 2025</w:t>
      </w:r>
    </w:p>
    <w:p w14:paraId="72C35171" w14:textId="77777777" w:rsidR="00D223A2" w:rsidRPr="003D0B1E" w:rsidRDefault="00D223A2" w:rsidP="003D0B1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1854D6" w14:textId="77777777" w:rsidR="00D223A2" w:rsidRPr="003D0B1E" w:rsidRDefault="00D223A2" w:rsidP="003D0B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0B1E">
        <w:rPr>
          <w:rFonts w:ascii="Times New Roman" w:eastAsia="Times New Roman" w:hAnsi="Times New Roman" w:cs="Times New Roman"/>
          <w:sz w:val="24"/>
          <w:szCs w:val="24"/>
          <w:lang w:eastAsia="sk-SK"/>
        </w:rPr>
        <w:t>Zrušuje sa nariadenie vlády Slovenskej republiky č. 393/2007 Z. z. o zvýšení sumy príspevku na pohreb.“.“.</w:t>
      </w:r>
    </w:p>
    <w:p w14:paraId="227B6817" w14:textId="77777777" w:rsidR="00D223A2" w:rsidRPr="003D0B1E" w:rsidRDefault="00D223A2" w:rsidP="003D0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5505BB" w14:textId="77777777" w:rsidR="00D223A2" w:rsidRPr="003D0B1E" w:rsidRDefault="00D223A2" w:rsidP="003D0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0B1E">
        <w:rPr>
          <w:rFonts w:ascii="Times New Roman" w:eastAsia="Times New Roman" w:hAnsi="Times New Roman" w:cs="Times New Roman"/>
          <w:sz w:val="24"/>
          <w:szCs w:val="24"/>
          <w:lang w:eastAsia="sk-SK"/>
        </w:rPr>
        <w:t>V súvislosti s navrhovanou zmenou sa primerane upraví názov návrhu zákona.</w:t>
      </w:r>
    </w:p>
    <w:p w14:paraId="1FC9CCCC" w14:textId="77777777" w:rsidR="002E1EE8" w:rsidRPr="003D0B1E" w:rsidRDefault="002E1EE8" w:rsidP="003D0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C27D50" w14:textId="77777777" w:rsidR="002E1EE8" w:rsidRPr="003D0B1E" w:rsidRDefault="002E1EE8" w:rsidP="003D0B1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3D0B1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Odôvodnenie:</w:t>
      </w:r>
    </w:p>
    <w:p w14:paraId="422DF531" w14:textId="6D175FF2" w:rsidR="002E1EE8" w:rsidRPr="003D0B1E" w:rsidRDefault="002E1EE8" w:rsidP="003D0B1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Navrhujú sa </w:t>
      </w:r>
      <w:proofErr w:type="spellStart"/>
      <w:r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legislatívnotechnické</w:t>
      </w:r>
      <w:proofErr w:type="spellEnd"/>
      <w:r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zmeny reflektujúce skutočnosť, že</w:t>
      </w:r>
      <w:r w:rsidR="00746974"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 </w:t>
      </w:r>
      <w:r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suma príspevku na pohreb bola viackrát upravená zákonom ale zároveň aj nariadením vlády. Splnomocňovacie ustanovenie § 4 ods. 2 zákona č. 238/1998 Z. z. síce umožňuje zvýšiť sumu príspevku na pohreb nariadením vlády, avšak samotný text zákona nie je možné zmeniť právnym predpisom nižšej právnej sily. De </w:t>
      </w:r>
      <w:proofErr w:type="spellStart"/>
      <w:r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iure</w:t>
      </w:r>
      <w:proofErr w:type="spellEnd"/>
      <w:r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teda § 4 ods. 1 </w:t>
      </w:r>
      <w:r w:rsidR="00A6670E"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zákona č.</w:t>
      </w:r>
      <w:r w:rsidR="00746974"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 </w:t>
      </w:r>
      <w:r w:rsidR="00A6670E"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238/1998 Z. z. </w:t>
      </w:r>
      <w:r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obsahuje sumu, ktorá bola naposledy ustanovená zákonom, a to konkrétne zákonom č. 601/2003 Z. z. vo výške 2</w:t>
      </w:r>
      <w:r w:rsidR="00A059D4"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100 Sk. Pre</w:t>
      </w:r>
      <w:r w:rsidR="00746974"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 </w:t>
      </w:r>
      <w:r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zamedzenie nejasností pri výklade zákona sa preto navrhuje ustanoviť § 4 ods. 1 v úplnom znení.</w:t>
      </w:r>
    </w:p>
    <w:p w14:paraId="78243E8D" w14:textId="77777777" w:rsidR="002E1EE8" w:rsidRPr="003D0B1E" w:rsidRDefault="002E1EE8" w:rsidP="003D0B1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21809AB0" w14:textId="5BD4B9C5" w:rsidR="002E1EE8" w:rsidRPr="003D0B1E" w:rsidRDefault="002E1EE8" w:rsidP="003D0B1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Zároveň sa navrhuje doplniť do návrhu zákona zrušovacie ustanovenie, ktorým sa zrušuje nariadenie vlády Slovenskej republiky č. 393/2007 Z.</w:t>
      </w:r>
      <w:r w:rsidR="00746974"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 </w:t>
      </w:r>
      <w:r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z. o zvýšení sumy príspevku na pohreb, ktoré ustanovuje aktuálnu sumu príspevku na pohreb. Uvedené nariadenie vlády by sa prijatím návrhu zákona stalo </w:t>
      </w:r>
      <w:r w:rsidR="00A6670E"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obsolentným</w:t>
      </w:r>
      <w:r w:rsidRPr="003D0B1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</w:p>
    <w:p w14:paraId="0AE79DC6" w14:textId="48F6A002" w:rsidR="008C3FF0" w:rsidRPr="003D0B1E" w:rsidRDefault="008C3FF0" w:rsidP="003D0B1E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50C520DE" w14:textId="77777777" w:rsidR="008C3FF0" w:rsidRPr="003D0B1E" w:rsidRDefault="008C3FF0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14:paraId="58EDD026" w14:textId="77777777" w:rsidR="00CE7132" w:rsidRPr="003D0B1E" w:rsidRDefault="00CE7132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E">
        <w:rPr>
          <w:rFonts w:ascii="Times New Roman" w:hAnsi="Times New Roman" w:cs="Times New Roman"/>
          <w:b/>
          <w:sz w:val="24"/>
          <w:szCs w:val="24"/>
        </w:rPr>
        <w:t>Záver</w:t>
      </w:r>
    </w:p>
    <w:p w14:paraId="3657253C" w14:textId="77777777" w:rsidR="00596C35" w:rsidRPr="003D0B1E" w:rsidRDefault="00596C35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</w:p>
    <w:p w14:paraId="483C4A0F" w14:textId="48BF393C" w:rsidR="006D4CA7" w:rsidRPr="003D0B1E" w:rsidRDefault="004613D7" w:rsidP="003D0B1E">
      <w:pPr>
        <w:spacing w:after="0" w:line="240" w:lineRule="auto"/>
        <w:ind w:firstLineChars="183" w:firstLine="439"/>
        <w:jc w:val="both"/>
        <w:rPr>
          <w:rFonts w:ascii="Times New Roman" w:hAnsi="Times New Roman" w:cs="Times New Roman"/>
          <w:sz w:val="24"/>
          <w:szCs w:val="24"/>
        </w:rPr>
      </w:pPr>
      <w:r w:rsidRPr="003D0B1E">
        <w:rPr>
          <w:rFonts w:ascii="Times New Roman" w:hAnsi="Times New Roman" w:cs="Times New Roman"/>
          <w:sz w:val="24"/>
          <w:szCs w:val="24"/>
        </w:rPr>
        <w:t>Vzhľadom na uvedené ministerstvo odporúča vláde Slovenskej republiky vysloviť s</w:t>
      </w:r>
      <w:r w:rsidR="005272E7" w:rsidRPr="003D0B1E">
        <w:rPr>
          <w:rFonts w:ascii="Times New Roman" w:hAnsi="Times New Roman" w:cs="Times New Roman"/>
          <w:sz w:val="24"/>
          <w:szCs w:val="24"/>
        </w:rPr>
        <w:t> </w:t>
      </w:r>
      <w:r w:rsidR="00696877" w:rsidRPr="003D0B1E">
        <w:rPr>
          <w:rFonts w:ascii="Times New Roman" w:hAnsi="Times New Roman" w:cs="Times New Roman"/>
          <w:sz w:val="24"/>
          <w:szCs w:val="24"/>
        </w:rPr>
        <w:t xml:space="preserve">návrhom poslancov Národnej rady Slovenskej republiky </w:t>
      </w:r>
      <w:r w:rsidR="00944CD3" w:rsidRPr="003D0B1E">
        <w:rPr>
          <w:rFonts w:ascii="Times New Roman" w:hAnsi="Times New Roman" w:cs="Times New Roman"/>
          <w:sz w:val="24"/>
          <w:szCs w:val="24"/>
        </w:rPr>
        <w:t>Rudolfa HULIAKA, Dagmar KRAMPLOVEJ, Andreja DANKA a Adama LUČANSKÉHO na vydanie zákona, ktorým sa mení zákon č. 238/1998 Z. z. o príspevku na pohreb v znení neskorších predpisov</w:t>
      </w:r>
      <w:r w:rsidR="002E060E" w:rsidRPr="003D0B1E">
        <w:rPr>
          <w:rFonts w:ascii="Times New Roman" w:hAnsi="Times New Roman" w:cs="Times New Roman"/>
          <w:sz w:val="24"/>
          <w:szCs w:val="24"/>
        </w:rPr>
        <w:t xml:space="preserve"> (tlač </w:t>
      </w:r>
      <w:r w:rsidR="002F0453" w:rsidRPr="003D0B1E">
        <w:rPr>
          <w:rFonts w:ascii="Times New Roman" w:hAnsi="Times New Roman" w:cs="Times New Roman"/>
          <w:sz w:val="24"/>
          <w:szCs w:val="24"/>
        </w:rPr>
        <w:t>346</w:t>
      </w:r>
      <w:r w:rsidR="002E060E" w:rsidRPr="003D0B1E">
        <w:rPr>
          <w:rFonts w:ascii="Times New Roman" w:hAnsi="Times New Roman" w:cs="Times New Roman"/>
          <w:sz w:val="24"/>
          <w:szCs w:val="24"/>
        </w:rPr>
        <w:t>)</w:t>
      </w:r>
      <w:r w:rsidRPr="003D0B1E">
        <w:rPr>
          <w:rFonts w:ascii="Times New Roman" w:hAnsi="Times New Roman" w:cs="Times New Roman"/>
          <w:sz w:val="24"/>
          <w:szCs w:val="24"/>
        </w:rPr>
        <w:t xml:space="preserve"> </w:t>
      </w:r>
      <w:r w:rsidRPr="003D0B1E">
        <w:rPr>
          <w:rFonts w:ascii="Times New Roman" w:hAnsi="Times New Roman" w:cs="Times New Roman"/>
          <w:b/>
          <w:sz w:val="24"/>
          <w:szCs w:val="24"/>
        </w:rPr>
        <w:t>súhlas</w:t>
      </w:r>
      <w:r w:rsidR="00A6670E" w:rsidRPr="003D0B1E">
        <w:rPr>
          <w:rFonts w:ascii="Times New Roman" w:hAnsi="Times New Roman" w:cs="Times New Roman"/>
          <w:b/>
          <w:sz w:val="24"/>
          <w:szCs w:val="24"/>
        </w:rPr>
        <w:t xml:space="preserve"> po zapracovaní pripomienok uvedených </w:t>
      </w:r>
      <w:r w:rsidR="003760C6" w:rsidRPr="003D0B1E">
        <w:rPr>
          <w:rFonts w:ascii="Times New Roman" w:hAnsi="Times New Roman" w:cs="Times New Roman"/>
          <w:b/>
          <w:sz w:val="24"/>
          <w:szCs w:val="24"/>
        </w:rPr>
        <w:t>v predkladacej správe</w:t>
      </w:r>
      <w:r w:rsidRPr="003D0B1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6D4CA7" w:rsidRPr="003D0B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0C364" w14:textId="77777777" w:rsidR="00A64FC3" w:rsidRDefault="00A64FC3" w:rsidP="000A124C">
      <w:pPr>
        <w:spacing w:after="0" w:line="240" w:lineRule="auto"/>
      </w:pPr>
      <w:r>
        <w:separator/>
      </w:r>
    </w:p>
  </w:endnote>
  <w:endnote w:type="continuationSeparator" w:id="0">
    <w:p w14:paraId="2CB1301F" w14:textId="77777777" w:rsidR="00A64FC3" w:rsidRDefault="00A64FC3" w:rsidP="000A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553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8FFBBF0" w14:textId="2A2EFF8F" w:rsidR="000A124C" w:rsidRPr="000A124C" w:rsidRDefault="000A124C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A12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A124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A12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314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A12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5D9C652" w14:textId="77777777" w:rsidR="000A124C" w:rsidRDefault="000A12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95A9E" w14:textId="77777777" w:rsidR="00A64FC3" w:rsidRDefault="00A64FC3" w:rsidP="000A124C">
      <w:pPr>
        <w:spacing w:after="0" w:line="240" w:lineRule="auto"/>
      </w:pPr>
      <w:r>
        <w:separator/>
      </w:r>
    </w:p>
  </w:footnote>
  <w:footnote w:type="continuationSeparator" w:id="0">
    <w:p w14:paraId="45729404" w14:textId="77777777" w:rsidR="00A64FC3" w:rsidRDefault="00A64FC3" w:rsidP="000A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A06"/>
    <w:multiLevelType w:val="hybridMultilevel"/>
    <w:tmpl w:val="BD48F4C2"/>
    <w:lvl w:ilvl="0" w:tplc="8A927B04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0C5D7C7F"/>
    <w:multiLevelType w:val="hybridMultilevel"/>
    <w:tmpl w:val="87B824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5E3E"/>
    <w:multiLevelType w:val="hybridMultilevel"/>
    <w:tmpl w:val="75CEC50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E0526"/>
    <w:multiLevelType w:val="hybridMultilevel"/>
    <w:tmpl w:val="90741E82"/>
    <w:lvl w:ilvl="0" w:tplc="0B229A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157CA"/>
    <w:multiLevelType w:val="hybridMultilevel"/>
    <w:tmpl w:val="218C6318"/>
    <w:lvl w:ilvl="0" w:tplc="E640B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6207"/>
    <w:multiLevelType w:val="hybridMultilevel"/>
    <w:tmpl w:val="E736941E"/>
    <w:lvl w:ilvl="0" w:tplc="7458C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FA5FB1"/>
    <w:multiLevelType w:val="hybridMultilevel"/>
    <w:tmpl w:val="64E2CC2C"/>
    <w:lvl w:ilvl="0" w:tplc="337C720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EA43F0"/>
    <w:multiLevelType w:val="hybridMultilevel"/>
    <w:tmpl w:val="FEF46D2A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4A07E7"/>
    <w:multiLevelType w:val="hybridMultilevel"/>
    <w:tmpl w:val="5E5AFC94"/>
    <w:lvl w:ilvl="0" w:tplc="4D202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C4"/>
    <w:rsid w:val="0000314E"/>
    <w:rsid w:val="000161BF"/>
    <w:rsid w:val="00032D06"/>
    <w:rsid w:val="0004600D"/>
    <w:rsid w:val="00046638"/>
    <w:rsid w:val="00074364"/>
    <w:rsid w:val="00081C2B"/>
    <w:rsid w:val="000821DC"/>
    <w:rsid w:val="000A124C"/>
    <w:rsid w:val="000B17FF"/>
    <w:rsid w:val="000B4479"/>
    <w:rsid w:val="000D05D4"/>
    <w:rsid w:val="00112DEE"/>
    <w:rsid w:val="0012263B"/>
    <w:rsid w:val="001516CD"/>
    <w:rsid w:val="00173EFA"/>
    <w:rsid w:val="001808C9"/>
    <w:rsid w:val="001947D5"/>
    <w:rsid w:val="001D7288"/>
    <w:rsid w:val="00244263"/>
    <w:rsid w:val="00244619"/>
    <w:rsid w:val="0024558E"/>
    <w:rsid w:val="00272230"/>
    <w:rsid w:val="00280C2B"/>
    <w:rsid w:val="002825DB"/>
    <w:rsid w:val="002D7DC4"/>
    <w:rsid w:val="002E060E"/>
    <w:rsid w:val="002E1EE8"/>
    <w:rsid w:val="002F0453"/>
    <w:rsid w:val="003246B2"/>
    <w:rsid w:val="00346C55"/>
    <w:rsid w:val="00361F95"/>
    <w:rsid w:val="003714FC"/>
    <w:rsid w:val="003760C6"/>
    <w:rsid w:val="003947CA"/>
    <w:rsid w:val="003A2AAE"/>
    <w:rsid w:val="003C2E68"/>
    <w:rsid w:val="003D0B1E"/>
    <w:rsid w:val="003F1894"/>
    <w:rsid w:val="00400AFE"/>
    <w:rsid w:val="00404CFC"/>
    <w:rsid w:val="00433950"/>
    <w:rsid w:val="004477D1"/>
    <w:rsid w:val="004613D7"/>
    <w:rsid w:val="00491FEC"/>
    <w:rsid w:val="00494192"/>
    <w:rsid w:val="004D3C5B"/>
    <w:rsid w:val="004E7EFA"/>
    <w:rsid w:val="00502CF1"/>
    <w:rsid w:val="005066D7"/>
    <w:rsid w:val="005143FE"/>
    <w:rsid w:val="005226D0"/>
    <w:rsid w:val="005272E7"/>
    <w:rsid w:val="0053355A"/>
    <w:rsid w:val="005342FF"/>
    <w:rsid w:val="0055023E"/>
    <w:rsid w:val="00596C35"/>
    <w:rsid w:val="005C1D89"/>
    <w:rsid w:val="005C4A0C"/>
    <w:rsid w:val="00637694"/>
    <w:rsid w:val="006426D3"/>
    <w:rsid w:val="006524D3"/>
    <w:rsid w:val="00696877"/>
    <w:rsid w:val="006B64FC"/>
    <w:rsid w:val="006C3FF2"/>
    <w:rsid w:val="006D4CA7"/>
    <w:rsid w:val="006E1A46"/>
    <w:rsid w:val="006F41B4"/>
    <w:rsid w:val="00712C4F"/>
    <w:rsid w:val="00713F82"/>
    <w:rsid w:val="007419DE"/>
    <w:rsid w:val="00746974"/>
    <w:rsid w:val="00776FE5"/>
    <w:rsid w:val="007854A4"/>
    <w:rsid w:val="00785CBE"/>
    <w:rsid w:val="00790FC9"/>
    <w:rsid w:val="007C773E"/>
    <w:rsid w:val="00801220"/>
    <w:rsid w:val="00806744"/>
    <w:rsid w:val="008118E0"/>
    <w:rsid w:val="00833D47"/>
    <w:rsid w:val="00837B8B"/>
    <w:rsid w:val="00841944"/>
    <w:rsid w:val="0086100D"/>
    <w:rsid w:val="00865D30"/>
    <w:rsid w:val="008C3FF0"/>
    <w:rsid w:val="008D3595"/>
    <w:rsid w:val="008D669D"/>
    <w:rsid w:val="00906EAD"/>
    <w:rsid w:val="00914D71"/>
    <w:rsid w:val="009307B5"/>
    <w:rsid w:val="00944CD3"/>
    <w:rsid w:val="00963455"/>
    <w:rsid w:val="00964885"/>
    <w:rsid w:val="00974292"/>
    <w:rsid w:val="009B3045"/>
    <w:rsid w:val="009C1DE8"/>
    <w:rsid w:val="009E5798"/>
    <w:rsid w:val="00A059D4"/>
    <w:rsid w:val="00A05A7A"/>
    <w:rsid w:val="00A34876"/>
    <w:rsid w:val="00A632D8"/>
    <w:rsid w:val="00A64FC3"/>
    <w:rsid w:val="00A6670E"/>
    <w:rsid w:val="00A803D9"/>
    <w:rsid w:val="00A9723A"/>
    <w:rsid w:val="00B1705B"/>
    <w:rsid w:val="00B17418"/>
    <w:rsid w:val="00B272DD"/>
    <w:rsid w:val="00B6365B"/>
    <w:rsid w:val="00B726E7"/>
    <w:rsid w:val="00B834E4"/>
    <w:rsid w:val="00B92B25"/>
    <w:rsid w:val="00C001A7"/>
    <w:rsid w:val="00C05500"/>
    <w:rsid w:val="00C27C97"/>
    <w:rsid w:val="00C45324"/>
    <w:rsid w:val="00C53FB7"/>
    <w:rsid w:val="00C56EA5"/>
    <w:rsid w:val="00C74A15"/>
    <w:rsid w:val="00CE189B"/>
    <w:rsid w:val="00CE7132"/>
    <w:rsid w:val="00CE7C00"/>
    <w:rsid w:val="00CF4A2E"/>
    <w:rsid w:val="00D02053"/>
    <w:rsid w:val="00D223A2"/>
    <w:rsid w:val="00D22B45"/>
    <w:rsid w:val="00D33982"/>
    <w:rsid w:val="00D4081F"/>
    <w:rsid w:val="00D462AD"/>
    <w:rsid w:val="00D527CA"/>
    <w:rsid w:val="00D60D8E"/>
    <w:rsid w:val="00D63207"/>
    <w:rsid w:val="00D73165"/>
    <w:rsid w:val="00D73BE0"/>
    <w:rsid w:val="00D818CB"/>
    <w:rsid w:val="00D82C48"/>
    <w:rsid w:val="00DD59D0"/>
    <w:rsid w:val="00DE589D"/>
    <w:rsid w:val="00E82CAB"/>
    <w:rsid w:val="00F04C4A"/>
    <w:rsid w:val="00F32BB2"/>
    <w:rsid w:val="00F42EBB"/>
    <w:rsid w:val="00F63662"/>
    <w:rsid w:val="00F86A69"/>
    <w:rsid w:val="00FD2387"/>
    <w:rsid w:val="00FF11B0"/>
    <w:rsid w:val="1BD33BB7"/>
    <w:rsid w:val="39F97A81"/>
    <w:rsid w:val="46A72311"/>
    <w:rsid w:val="5812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5B17"/>
  <w15:docId w15:val="{B500B1AA-54E8-49AA-BE21-CC6DD1CB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D4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6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404CFC"/>
  </w:style>
  <w:style w:type="character" w:customStyle="1" w:styleId="Nadpis1Char">
    <w:name w:val="Nadpis 1 Char"/>
    <w:basedOn w:val="Predvolenpsmoodseku"/>
    <w:link w:val="Nadpis1"/>
    <w:uiPriority w:val="9"/>
    <w:rsid w:val="006D4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dsekzoznamu">
    <w:name w:val="List Paragraph"/>
    <w:basedOn w:val="Normlny"/>
    <w:uiPriority w:val="99"/>
    <w:unhideWhenUsed/>
    <w:rsid w:val="00CE7C00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6968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A1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124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A1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124C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A803D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4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05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9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36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01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87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04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33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BA1BDD-A357-4EF1-85DF-36BD1CA0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Kováčiková Martina</dc:creator>
  <cp:lastModifiedBy>Banas František Jozef</cp:lastModifiedBy>
  <cp:revision>14</cp:revision>
  <cp:lastPrinted>2024-07-04T07:37:00Z</cp:lastPrinted>
  <dcterms:created xsi:type="dcterms:W3CDTF">2024-07-03T13:46:00Z</dcterms:created>
  <dcterms:modified xsi:type="dcterms:W3CDTF">2024-07-19T07:45:00Z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