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70" w:rsidRPr="00F06927" w:rsidRDefault="00F12CD2" w:rsidP="007A233A">
      <w:pPr>
        <w:spacing w:after="120"/>
        <w:jc w:val="center"/>
        <w:rPr>
          <w:caps/>
          <w:color w:val="000000"/>
          <w:lang w:eastAsia="sk-SK"/>
        </w:rPr>
      </w:pPr>
      <w:r w:rsidRPr="00F06927">
        <w:rPr>
          <w:b/>
          <w:caps/>
        </w:rPr>
        <w:t>Dôvodová</w:t>
      </w:r>
      <w:r w:rsidR="00575EE4" w:rsidRPr="00F06927">
        <w:rPr>
          <w:b/>
          <w:caps/>
        </w:rPr>
        <w:t xml:space="preserve"> správa</w:t>
      </w:r>
    </w:p>
    <w:p w:rsidR="00F12CD2" w:rsidRPr="00F06927" w:rsidRDefault="00F12CD2" w:rsidP="007A233A">
      <w:pPr>
        <w:spacing w:after="120"/>
        <w:jc w:val="both"/>
        <w:rPr>
          <w:b/>
        </w:rPr>
      </w:pPr>
      <w:r w:rsidRPr="00F06927">
        <w:rPr>
          <w:b/>
        </w:rPr>
        <w:t xml:space="preserve">Všeobecná časť </w:t>
      </w:r>
    </w:p>
    <w:p w:rsidR="007E09CD" w:rsidRPr="00826922" w:rsidRDefault="007E09CD" w:rsidP="00404501">
      <w:pPr>
        <w:ind w:firstLine="708"/>
        <w:jc w:val="both"/>
        <w:rPr>
          <w:lang w:eastAsia="sk-SK"/>
        </w:rPr>
      </w:pPr>
      <w:r w:rsidRPr="00826922">
        <w:rPr>
          <w:lang w:eastAsia="sk-SK"/>
        </w:rPr>
        <w:t xml:space="preserve">Návrh zákona, ktorým sa mení a dopĺňa zákon č. 747/2004 Z. z. o dohľade nad finančným trhom a o zmene a doplnení niektorých zákonov v znení neskorších predpisov a ktorým sa menia a dopĺňajú niektoré zákony (ďalej len „návrh zákona“) je v prvom rade implementácia niektorých ustanovení nariadenia Európskeho parlamentu a Rady (EÚ) 2022/2554 zo 14. decembra 2022 o digitálnej prevádzkovej odolnosti finančného sektora a o zmene nariadení (ES) č. 1060/2009, (EÚ) č. 648/2012, (EÚ) č. 600/2014, (EÚ) č. 909/2014 a (EÚ) 2016/1011 </w:t>
      </w:r>
      <w:r w:rsidR="0098552A" w:rsidRPr="00826922">
        <w:rPr>
          <w:lang w:eastAsia="sk-SK"/>
        </w:rPr>
        <w:t xml:space="preserve">(Ú. v. EÚ L 333, 27.12.2022) </w:t>
      </w:r>
      <w:r w:rsidRPr="00826922">
        <w:rPr>
          <w:lang w:eastAsia="sk-SK"/>
        </w:rPr>
        <w:t>(ďalej len „nariadenie DORA) a transpozícia smernice Európskeho parlamentu a Rady (EÚ) 2022/2556 zo 14. decembra 2022, ktorou sa menia smernice 2009/65/ES, 2009/138/ES, 2011/61/EÚ, 2013/36/EÚ, 2014/59/EÚ, 2014/65/EÚ, a (EÚ) 2016/2341 pokiaľ ide o digitálnu prevádzkovú odolnosť finančného sektora</w:t>
      </w:r>
      <w:r w:rsidR="0098552A" w:rsidRPr="00826922">
        <w:rPr>
          <w:lang w:eastAsia="sk-SK"/>
        </w:rPr>
        <w:t xml:space="preserve"> (Ú. v. EÚ L 333, 27.12.2022)</w:t>
      </w:r>
      <w:r w:rsidRPr="00826922">
        <w:rPr>
          <w:lang w:eastAsia="sk-SK"/>
        </w:rPr>
        <w:t xml:space="preserve"> (ďalej len „smernica k DORA“).</w:t>
      </w:r>
    </w:p>
    <w:p w:rsidR="00404501" w:rsidRPr="00826922" w:rsidRDefault="00404501" w:rsidP="00404501">
      <w:pPr>
        <w:ind w:firstLine="708"/>
        <w:jc w:val="both"/>
        <w:rPr>
          <w:lang w:eastAsia="sk-SK"/>
        </w:rPr>
      </w:pPr>
    </w:p>
    <w:p w:rsidR="007E09CD" w:rsidRPr="00826922" w:rsidRDefault="007E09CD" w:rsidP="00404501">
      <w:pPr>
        <w:ind w:firstLine="708"/>
        <w:jc w:val="both"/>
        <w:rPr>
          <w:lang w:eastAsia="sk-SK"/>
        </w:rPr>
      </w:pPr>
      <w:r w:rsidRPr="00826922">
        <w:rPr>
          <w:lang w:eastAsia="sk-SK"/>
        </w:rPr>
        <w:t xml:space="preserve">Nariadenie DORA a smernica DORA je súčasťou balíka opatrení, ktorých cieľom je ďalej umožniť a podporiť potenciál digitálnych financií v oblasti inovácií a hospodárskej súťaže a zároveň zmierniť príslušné riziká kybernetických útokov posilnením digitálnej prevádzkovej odolnosti inštitúcií pôsobiacich na finančnom trhu. </w:t>
      </w:r>
    </w:p>
    <w:p w:rsidR="00404501" w:rsidRPr="00826922" w:rsidRDefault="00404501" w:rsidP="00404501">
      <w:pPr>
        <w:ind w:firstLine="708"/>
        <w:jc w:val="both"/>
        <w:rPr>
          <w:lang w:eastAsia="sk-SK"/>
        </w:rPr>
      </w:pPr>
    </w:p>
    <w:p w:rsidR="007E09CD" w:rsidRPr="00826922" w:rsidRDefault="00F06927" w:rsidP="00404501">
      <w:pPr>
        <w:ind w:firstLine="708"/>
        <w:jc w:val="both"/>
        <w:rPr>
          <w:lang w:eastAsia="sk-SK"/>
        </w:rPr>
      </w:pPr>
      <w:r w:rsidRPr="00826922">
        <w:rPr>
          <w:lang w:eastAsia="sk-SK"/>
        </w:rPr>
        <w:t>C</w:t>
      </w:r>
      <w:r w:rsidR="007E09CD" w:rsidRPr="00826922">
        <w:rPr>
          <w:lang w:eastAsia="sk-SK"/>
        </w:rPr>
        <w:t>ieľom nariadenia DORA je konsolidovať a vylepšiť požiadavky na riziko informačných a komunikačných technológií ako súčasť požiadaviek na prevádzkové riziko, ktoré sa doteraz riešili samostatn</w:t>
      </w:r>
      <w:r w:rsidR="00013DA8">
        <w:rPr>
          <w:lang w:eastAsia="sk-SK"/>
        </w:rPr>
        <w:t xml:space="preserve">e v rôznych právnych aktoch </w:t>
      </w:r>
      <w:r w:rsidR="0052682F">
        <w:rPr>
          <w:lang w:eastAsia="sk-SK"/>
        </w:rPr>
        <w:t>Európskej ú</w:t>
      </w:r>
      <w:r w:rsidR="00013DA8">
        <w:rPr>
          <w:lang w:eastAsia="sk-SK"/>
        </w:rPr>
        <w:t>nie</w:t>
      </w:r>
      <w:r w:rsidR="0052682F">
        <w:rPr>
          <w:lang w:eastAsia="sk-SK"/>
        </w:rPr>
        <w:t>. Zároveň nariadenie DORA</w:t>
      </w:r>
      <w:r w:rsidR="00013DA8">
        <w:rPr>
          <w:lang w:eastAsia="sk-SK"/>
        </w:rPr>
        <w:t xml:space="preserve"> </w:t>
      </w:r>
      <w:r w:rsidR="0052682F">
        <w:rPr>
          <w:lang w:eastAsia="sk-SK"/>
        </w:rPr>
        <w:t>upravuje</w:t>
      </w:r>
      <w:r w:rsidR="00013DA8">
        <w:rPr>
          <w:lang w:eastAsia="sk-SK"/>
        </w:rPr>
        <w:t xml:space="preserve"> vzťahy </w:t>
      </w:r>
      <w:r w:rsidR="00EC1ABE">
        <w:rPr>
          <w:lang w:eastAsia="sk-SK"/>
        </w:rPr>
        <w:t>vo vybraných oblastiach</w:t>
      </w:r>
      <w:r w:rsidR="0052682F">
        <w:rPr>
          <w:lang w:eastAsia="sk-SK"/>
        </w:rPr>
        <w:t xml:space="preserve"> kybernetickej bezpečnosti finančných inštitúcií</w:t>
      </w:r>
      <w:r w:rsidR="00013DA8">
        <w:rPr>
          <w:lang w:eastAsia="sk-SK"/>
        </w:rPr>
        <w:t xml:space="preserve">, </w:t>
      </w:r>
      <w:r w:rsidR="00EC1ABE">
        <w:rPr>
          <w:lang w:eastAsia="sk-SK"/>
        </w:rPr>
        <w:t>v ktorých</w:t>
      </w:r>
      <w:r w:rsidR="00013DA8">
        <w:rPr>
          <w:lang w:eastAsia="sk-SK"/>
        </w:rPr>
        <w:t xml:space="preserve"> je nariadenie DORA považované za nadradený právny akt </w:t>
      </w:r>
      <w:r w:rsidR="0052682F">
        <w:rPr>
          <w:lang w:eastAsia="sk-SK"/>
        </w:rPr>
        <w:t>s cieľom</w:t>
      </w:r>
      <w:r w:rsidR="00EC1ABE">
        <w:rPr>
          <w:lang w:eastAsia="sk-SK"/>
        </w:rPr>
        <w:t xml:space="preserve"> minimalizácie prekrývania povinností </w:t>
      </w:r>
      <w:r w:rsidR="0052682F">
        <w:rPr>
          <w:lang w:eastAsia="sk-SK"/>
        </w:rPr>
        <w:t xml:space="preserve">finančných inštitúcií </w:t>
      </w:r>
      <w:r w:rsidR="00EC1ABE">
        <w:rPr>
          <w:lang w:eastAsia="sk-SK"/>
        </w:rPr>
        <w:t>vyplývajúcich z</w:t>
      </w:r>
      <w:r w:rsidR="0052682F">
        <w:rPr>
          <w:lang w:eastAsia="sk-SK"/>
        </w:rPr>
        <w:t> požiadaviek na kybernetickú bezpečnosť</w:t>
      </w:r>
      <w:r w:rsidR="0052682F" w:rsidRPr="0052682F">
        <w:rPr>
          <w:lang w:eastAsia="sk-SK"/>
        </w:rPr>
        <w:t xml:space="preserve"> </w:t>
      </w:r>
      <w:r w:rsidR="0052682F">
        <w:rPr>
          <w:lang w:eastAsia="sk-SK"/>
        </w:rPr>
        <w:t>s ostatnými právnymi aktami Európskej únie</w:t>
      </w:r>
      <w:r w:rsidR="00013DA8">
        <w:rPr>
          <w:lang w:eastAsia="sk-SK"/>
        </w:rPr>
        <w:t xml:space="preserve">. </w:t>
      </w:r>
      <w:bookmarkStart w:id="0" w:name="_GoBack"/>
      <w:bookmarkEnd w:id="0"/>
      <w:r w:rsidR="007E09CD" w:rsidRPr="00826922">
        <w:rPr>
          <w:lang w:eastAsia="sk-SK"/>
        </w:rPr>
        <w:t xml:space="preserve"> Na základe týchto požiadaviek by </w:t>
      </w:r>
      <w:r w:rsidRPr="00826922">
        <w:rPr>
          <w:lang w:eastAsia="sk-SK"/>
        </w:rPr>
        <w:t xml:space="preserve">sa </w:t>
      </w:r>
      <w:r w:rsidR="007E09CD" w:rsidRPr="00826922">
        <w:rPr>
          <w:lang w:eastAsia="sk-SK"/>
        </w:rPr>
        <w:t>mali subjekty finančného trhu pri riešení rizík in</w:t>
      </w:r>
      <w:r w:rsidRPr="00826922">
        <w:rPr>
          <w:lang w:eastAsia="sk-SK"/>
        </w:rPr>
        <w:t>formačných a komunikačných technológií riadiť rovnakým prístupom a rovnakými pravidlami, pričom by mali zohľadniť svoju veľkosť a celkový rizikový profil, ako aj povahu, rozsah a zložitosť svojich služieb, činností a operácií. Konzistentnosť prispieva k posilneniu dôvery vo finančný systém a k zachovaniu jeho stability, a to najmä v časoch vysokej miery spoliehania sa na IKT systémy, platformy a infraštruktúry, čo so sebou prináša zvýšené digitálne riziko</w:t>
      </w:r>
      <w:r w:rsidR="00013DA8">
        <w:rPr>
          <w:lang w:eastAsia="sk-SK"/>
        </w:rPr>
        <w:t xml:space="preserve">. </w:t>
      </w:r>
    </w:p>
    <w:p w:rsidR="00F06927" w:rsidRPr="00826922" w:rsidRDefault="007E09CD" w:rsidP="00404501">
      <w:pPr>
        <w:jc w:val="both"/>
        <w:rPr>
          <w:lang w:eastAsia="sk-SK"/>
        </w:rPr>
      </w:pPr>
      <w:r w:rsidRPr="00826922">
        <w:rPr>
          <w:lang w:eastAsia="sk-SK"/>
        </w:rPr>
        <w:tab/>
      </w:r>
    </w:p>
    <w:p w:rsidR="007E09CD" w:rsidRPr="00826922" w:rsidRDefault="007E09CD" w:rsidP="00404501">
      <w:pPr>
        <w:ind w:firstLine="708"/>
        <w:jc w:val="both"/>
        <w:rPr>
          <w:lang w:eastAsia="sk-SK"/>
        </w:rPr>
      </w:pPr>
      <w:r w:rsidRPr="00826922">
        <w:rPr>
          <w:lang w:eastAsia="sk-SK"/>
        </w:rPr>
        <w:t xml:space="preserve">Hoci nariadenie DORA je priamo účinné, návrh zákona obsahuje niektoré ustanovenia, ktoré sú nevyhnutné k harmonizácii slovenského právneho poriadku s týmto nariadením. Je napríklad potrebné rozšírenie rozsahu dohľadu Národnej banky Slovenska v oblasti digitálnej prevádzkovej odolnosti dohliadaných subjektov Národnou bankou Slovenska. Národná banka Slovenska </w:t>
      </w:r>
      <w:r w:rsidR="000A489F" w:rsidRPr="00826922">
        <w:rPr>
          <w:lang w:eastAsia="sk-SK"/>
        </w:rPr>
        <w:t xml:space="preserve">bude v tejto súvislosti </w:t>
      </w:r>
      <w:r w:rsidRPr="00826922">
        <w:rPr>
          <w:lang w:eastAsia="sk-SK"/>
        </w:rPr>
        <w:t xml:space="preserve">vydávať </w:t>
      </w:r>
      <w:r w:rsidR="000A489F" w:rsidRPr="00826922">
        <w:rPr>
          <w:lang w:eastAsia="sk-SK"/>
        </w:rPr>
        <w:t xml:space="preserve">napríklad </w:t>
      </w:r>
      <w:r w:rsidRPr="00826922">
        <w:rPr>
          <w:lang w:eastAsia="sk-SK"/>
        </w:rPr>
        <w:t xml:space="preserve">osvedčenia o vykonaní penetračného testu na základe konkrétnej hrozby. </w:t>
      </w:r>
    </w:p>
    <w:p w:rsidR="00404501" w:rsidRPr="00826922" w:rsidRDefault="00404501" w:rsidP="00404501">
      <w:pPr>
        <w:ind w:firstLine="708"/>
        <w:jc w:val="both"/>
        <w:rPr>
          <w:lang w:eastAsia="sk-SK"/>
        </w:rPr>
      </w:pPr>
    </w:p>
    <w:p w:rsidR="00F06927" w:rsidRPr="00826922" w:rsidRDefault="007E09CD" w:rsidP="00404501">
      <w:pPr>
        <w:ind w:firstLine="708"/>
        <w:jc w:val="both"/>
        <w:rPr>
          <w:lang w:eastAsia="sk-SK"/>
        </w:rPr>
      </w:pPr>
      <w:r w:rsidRPr="00826922">
        <w:rPr>
          <w:lang w:eastAsia="sk-SK"/>
        </w:rPr>
        <w:t xml:space="preserve">Súčasťou návrhu zákona budú aj novely ďalších zákonov, súvisiace s implementáciou smernice DORA v sektorových zákonoch finančného trhu (zákon o bankách, zákon o cenných papieroch, zákon o burze cenných papierov, zákon o doplnkovom dôchodkovom sporení, zákon o platobných službách,  zákon o kolektívnom investovaní, zákon o riešení krízových situácií a zákon o poisťovníctve) a úpravy spočívajúce v spresnení niektorých platných ustanovení s cieľom reagovať na poznatky sa skúsenosti z aplikačnej praxe. Zároveň súčasťou návrhu zákona je aj implementácia nariadenia o okamžitých platbách v zákone o platobných službách. Návrh zákona v neposlednom rade upravuje aj zákon o elektronických komunikáciách, ktorý umožňuje na základe súdneho rozhodnutia prístup Národnej banky </w:t>
      </w:r>
      <w:r w:rsidRPr="00826922">
        <w:rPr>
          <w:lang w:eastAsia="sk-SK"/>
        </w:rPr>
        <w:lastRenderedPageBreak/>
        <w:t xml:space="preserve">Slovenska k telekomunikačným dátam, v prípade odôvodneného podozrenia z porušenia ustanovení nariadenia DORA a jeho následnom vyšetrovaní. </w:t>
      </w:r>
    </w:p>
    <w:p w:rsidR="007E09CD" w:rsidRPr="00826922" w:rsidRDefault="007E09CD" w:rsidP="00404501">
      <w:pPr>
        <w:ind w:firstLine="708"/>
        <w:jc w:val="both"/>
        <w:rPr>
          <w:lang w:eastAsia="sk-SK"/>
        </w:rPr>
      </w:pPr>
    </w:p>
    <w:p w:rsidR="007E09CD" w:rsidRPr="00826922" w:rsidRDefault="007E09CD" w:rsidP="00404501">
      <w:pPr>
        <w:jc w:val="both"/>
        <w:rPr>
          <w:lang w:eastAsia="sk-SK"/>
        </w:rPr>
      </w:pPr>
      <w:r w:rsidRPr="00826922">
        <w:rPr>
          <w:lang w:eastAsia="sk-SK"/>
        </w:rPr>
        <w:tab/>
        <w:t>Návrh zákona</w:t>
      </w:r>
      <w:r w:rsidR="005B536F" w:rsidRPr="00826922">
        <w:rPr>
          <w:lang w:eastAsia="sk-SK"/>
        </w:rPr>
        <w:t xml:space="preserve"> </w:t>
      </w:r>
      <w:r w:rsidRPr="00826922">
        <w:rPr>
          <w:lang w:eastAsia="sk-SK"/>
        </w:rPr>
        <w:t xml:space="preserve">bude predložený na </w:t>
      </w:r>
      <w:proofErr w:type="spellStart"/>
      <w:r w:rsidRPr="00826922">
        <w:rPr>
          <w:lang w:eastAsia="sk-SK"/>
        </w:rPr>
        <w:t>vnútrokomunitárne</w:t>
      </w:r>
      <w:proofErr w:type="spellEnd"/>
      <w:r w:rsidRPr="00826922">
        <w:rPr>
          <w:lang w:eastAsia="sk-SK"/>
        </w:rPr>
        <w:t xml:space="preserve"> pripomienkovanie Európskej centrálnej banke podľa čl. 16 ods. 1 Legislatívnych pravidiel vlády Slovenskej republiky a podľa rozhodnutia Rady č. 98/415/ES o poradení sa s Európskou centrálnou bankou a vnútroštátnymi orgánmi o návrhu právnych predpisov, keďže sa ním implementujú právne predpisy Európskej únie.</w:t>
      </w:r>
    </w:p>
    <w:p w:rsidR="008D0FED" w:rsidRPr="00826922" w:rsidRDefault="00641970" w:rsidP="00404501">
      <w:pPr>
        <w:jc w:val="both"/>
        <w:rPr>
          <w:lang w:eastAsia="sk-SK"/>
        </w:rPr>
      </w:pPr>
      <w:r w:rsidRPr="00826922">
        <w:rPr>
          <w:lang w:eastAsia="sk-SK"/>
        </w:rPr>
        <w:tab/>
      </w:r>
    </w:p>
    <w:p w:rsidR="00641970" w:rsidRPr="00826922" w:rsidRDefault="00641970" w:rsidP="00404501">
      <w:pPr>
        <w:ind w:firstLine="708"/>
        <w:jc w:val="both"/>
        <w:rPr>
          <w:lang w:eastAsia="sk-SK"/>
        </w:rPr>
      </w:pPr>
      <w:r w:rsidRPr="00826922">
        <w:rPr>
          <w:lang w:eastAsia="sk-SK"/>
        </w:rPr>
        <w:t>Prijatie navrhovaného zákona nebude mať vplyv na rozpočet verejnej správy,</w:t>
      </w:r>
      <w:r w:rsidR="00B14965" w:rsidRPr="00826922">
        <w:rPr>
          <w:lang w:eastAsia="sk-SK"/>
        </w:rPr>
        <w:t xml:space="preserve"> pričom bude mať vplyvy na podnikateľské prostredie</w:t>
      </w:r>
      <w:r w:rsidR="003F6778">
        <w:rPr>
          <w:lang w:eastAsia="sk-SK"/>
        </w:rPr>
        <w:t xml:space="preserve"> a taktiež bude mať sociálne vplyvy</w:t>
      </w:r>
      <w:r w:rsidRPr="00826922">
        <w:rPr>
          <w:lang w:eastAsia="sk-SK"/>
        </w:rPr>
        <w:t>. Návrh zákona nemá vplyvy na životné prostredie, na služby verejnej správy pre občana, na informatizáciu a tiež nemá vplyvy na manželstvo, rodičovstvo a rodinu.</w:t>
      </w:r>
    </w:p>
    <w:p w:rsidR="00F06927" w:rsidRPr="00826922" w:rsidRDefault="00F06927" w:rsidP="00404501">
      <w:pPr>
        <w:ind w:firstLine="708"/>
        <w:jc w:val="both"/>
        <w:rPr>
          <w:lang w:eastAsia="sk-SK"/>
        </w:rPr>
      </w:pPr>
    </w:p>
    <w:p w:rsidR="00B14965" w:rsidRPr="00F06927" w:rsidRDefault="00641970" w:rsidP="00404501">
      <w:pPr>
        <w:jc w:val="both"/>
        <w:rPr>
          <w:sz w:val="20"/>
          <w:szCs w:val="20"/>
        </w:rPr>
      </w:pPr>
      <w:r w:rsidRPr="00826922">
        <w:rPr>
          <w:lang w:eastAsia="sk-SK"/>
        </w:rPr>
        <w:tab/>
        <w:t>Predložený návrh zákona je v súlade s Ústavou Slovenskej republiky, s ústavnými zákonmi, nálezmi ústavného súdu, inými zákonmi a ostatnými všeobecne záväznými právnymi predpismi Slovenskej republiky, s právom Európskej únie a s medzinárodnými zmluvami, ktorými je Slovenská republika viazan</w:t>
      </w:r>
      <w:r w:rsidRPr="00F06927">
        <w:rPr>
          <w:sz w:val="20"/>
          <w:szCs w:val="20"/>
        </w:rPr>
        <w:t>á.</w:t>
      </w:r>
    </w:p>
    <w:sectPr w:rsidR="00B14965" w:rsidRPr="00F069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90" w:rsidRDefault="00C76A90" w:rsidP="00B81523">
      <w:r>
        <w:separator/>
      </w:r>
    </w:p>
  </w:endnote>
  <w:endnote w:type="continuationSeparator" w:id="0">
    <w:p w:rsidR="00C76A90" w:rsidRDefault="00C76A90" w:rsidP="00B8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89648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16295" w:rsidRPr="00B81523" w:rsidRDefault="00D16295">
        <w:pPr>
          <w:pStyle w:val="Pta"/>
          <w:jc w:val="right"/>
          <w:rPr>
            <w:sz w:val="22"/>
            <w:szCs w:val="22"/>
          </w:rPr>
        </w:pPr>
        <w:r w:rsidRPr="00B81523">
          <w:rPr>
            <w:sz w:val="22"/>
            <w:szCs w:val="22"/>
          </w:rPr>
          <w:fldChar w:fldCharType="begin"/>
        </w:r>
        <w:r w:rsidRPr="00B81523">
          <w:rPr>
            <w:sz w:val="22"/>
            <w:szCs w:val="22"/>
          </w:rPr>
          <w:instrText>PAGE   \* MERGEFORMAT</w:instrText>
        </w:r>
        <w:r w:rsidRPr="00B81523">
          <w:rPr>
            <w:sz w:val="22"/>
            <w:szCs w:val="22"/>
          </w:rPr>
          <w:fldChar w:fldCharType="separate"/>
        </w:r>
        <w:r w:rsidR="00157A80">
          <w:rPr>
            <w:noProof/>
            <w:sz w:val="22"/>
            <w:szCs w:val="22"/>
          </w:rPr>
          <w:t>2</w:t>
        </w:r>
        <w:r w:rsidRPr="00B8152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90" w:rsidRDefault="00C76A90" w:rsidP="00B81523">
      <w:r>
        <w:separator/>
      </w:r>
    </w:p>
  </w:footnote>
  <w:footnote w:type="continuationSeparator" w:id="0">
    <w:p w:rsidR="00C76A90" w:rsidRDefault="00C76A90" w:rsidP="00B8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2A6"/>
    <w:multiLevelType w:val="hybridMultilevel"/>
    <w:tmpl w:val="725EF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A36"/>
    <w:multiLevelType w:val="hybridMultilevel"/>
    <w:tmpl w:val="C310B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4542"/>
    <w:multiLevelType w:val="hybridMultilevel"/>
    <w:tmpl w:val="5B343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7640"/>
    <w:multiLevelType w:val="hybridMultilevel"/>
    <w:tmpl w:val="84BA5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443BA"/>
    <w:multiLevelType w:val="hybridMultilevel"/>
    <w:tmpl w:val="052A6E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2AC8"/>
    <w:multiLevelType w:val="hybridMultilevel"/>
    <w:tmpl w:val="0944B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B5E7E"/>
    <w:multiLevelType w:val="hybridMultilevel"/>
    <w:tmpl w:val="B082FA5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59932EC"/>
    <w:multiLevelType w:val="hybridMultilevel"/>
    <w:tmpl w:val="81B452CC"/>
    <w:lvl w:ilvl="0" w:tplc="DBE8CE1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7D40"/>
    <w:multiLevelType w:val="hybridMultilevel"/>
    <w:tmpl w:val="A808CD78"/>
    <w:lvl w:ilvl="0" w:tplc="C0DC55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9017C"/>
    <w:multiLevelType w:val="hybridMultilevel"/>
    <w:tmpl w:val="FA0056EE"/>
    <w:lvl w:ilvl="0" w:tplc="2402C1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31285"/>
    <w:multiLevelType w:val="hybridMultilevel"/>
    <w:tmpl w:val="6886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C2B7D"/>
    <w:multiLevelType w:val="hybridMultilevel"/>
    <w:tmpl w:val="D6B4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E4"/>
    <w:rsid w:val="00013DA8"/>
    <w:rsid w:val="00053851"/>
    <w:rsid w:val="000A489F"/>
    <w:rsid w:val="000A497F"/>
    <w:rsid w:val="000C1A5C"/>
    <w:rsid w:val="000E6393"/>
    <w:rsid w:val="001042B2"/>
    <w:rsid w:val="00107F24"/>
    <w:rsid w:val="00127CE6"/>
    <w:rsid w:val="001310D1"/>
    <w:rsid w:val="00157A80"/>
    <w:rsid w:val="00190E7C"/>
    <w:rsid w:val="001C0223"/>
    <w:rsid w:val="001C3614"/>
    <w:rsid w:val="00205D7D"/>
    <w:rsid w:val="002126FD"/>
    <w:rsid w:val="002129B9"/>
    <w:rsid w:val="00240365"/>
    <w:rsid w:val="002423EE"/>
    <w:rsid w:val="00260F0F"/>
    <w:rsid w:val="00293C62"/>
    <w:rsid w:val="002A52C8"/>
    <w:rsid w:val="002B391C"/>
    <w:rsid w:val="002C09AB"/>
    <w:rsid w:val="002D294D"/>
    <w:rsid w:val="002D63A6"/>
    <w:rsid w:val="002E59A1"/>
    <w:rsid w:val="003132D9"/>
    <w:rsid w:val="00330957"/>
    <w:rsid w:val="003415CB"/>
    <w:rsid w:val="00355541"/>
    <w:rsid w:val="0036716C"/>
    <w:rsid w:val="00372C15"/>
    <w:rsid w:val="003B1489"/>
    <w:rsid w:val="003D721E"/>
    <w:rsid w:val="003E74EB"/>
    <w:rsid w:val="003F09A3"/>
    <w:rsid w:val="003F6778"/>
    <w:rsid w:val="00404501"/>
    <w:rsid w:val="00424AF8"/>
    <w:rsid w:val="00483F7C"/>
    <w:rsid w:val="004F08EB"/>
    <w:rsid w:val="004F4FE1"/>
    <w:rsid w:val="0050212F"/>
    <w:rsid w:val="00513F58"/>
    <w:rsid w:val="0052682F"/>
    <w:rsid w:val="00575EE4"/>
    <w:rsid w:val="00577A37"/>
    <w:rsid w:val="005B30B9"/>
    <w:rsid w:val="005B536F"/>
    <w:rsid w:val="005C1E36"/>
    <w:rsid w:val="005C3961"/>
    <w:rsid w:val="005D1D48"/>
    <w:rsid w:val="005D249D"/>
    <w:rsid w:val="005D76D3"/>
    <w:rsid w:val="00641970"/>
    <w:rsid w:val="006422D7"/>
    <w:rsid w:val="00660A8A"/>
    <w:rsid w:val="006B61D4"/>
    <w:rsid w:val="006D45CD"/>
    <w:rsid w:val="0070502E"/>
    <w:rsid w:val="007568A2"/>
    <w:rsid w:val="00765C35"/>
    <w:rsid w:val="00771EDA"/>
    <w:rsid w:val="007A233A"/>
    <w:rsid w:val="007A58C8"/>
    <w:rsid w:val="007E09CD"/>
    <w:rsid w:val="007F5EC9"/>
    <w:rsid w:val="008013CB"/>
    <w:rsid w:val="0081385A"/>
    <w:rsid w:val="00826922"/>
    <w:rsid w:val="00844A31"/>
    <w:rsid w:val="00881133"/>
    <w:rsid w:val="008D0FED"/>
    <w:rsid w:val="008E2776"/>
    <w:rsid w:val="00930208"/>
    <w:rsid w:val="00936AAC"/>
    <w:rsid w:val="00981742"/>
    <w:rsid w:val="0098552A"/>
    <w:rsid w:val="009C371A"/>
    <w:rsid w:val="009C6E43"/>
    <w:rsid w:val="00A05C74"/>
    <w:rsid w:val="00A53DA3"/>
    <w:rsid w:val="00A54910"/>
    <w:rsid w:val="00A73789"/>
    <w:rsid w:val="00AE0590"/>
    <w:rsid w:val="00B12611"/>
    <w:rsid w:val="00B14156"/>
    <w:rsid w:val="00B14965"/>
    <w:rsid w:val="00B15B16"/>
    <w:rsid w:val="00B230E8"/>
    <w:rsid w:val="00B3610A"/>
    <w:rsid w:val="00B37C8A"/>
    <w:rsid w:val="00B4575B"/>
    <w:rsid w:val="00B615B4"/>
    <w:rsid w:val="00B70529"/>
    <w:rsid w:val="00B72528"/>
    <w:rsid w:val="00B767A9"/>
    <w:rsid w:val="00B81523"/>
    <w:rsid w:val="00BB44C1"/>
    <w:rsid w:val="00C224B8"/>
    <w:rsid w:val="00C32A38"/>
    <w:rsid w:val="00C6115D"/>
    <w:rsid w:val="00C64782"/>
    <w:rsid w:val="00C76A90"/>
    <w:rsid w:val="00C937A5"/>
    <w:rsid w:val="00C94A38"/>
    <w:rsid w:val="00CA36B7"/>
    <w:rsid w:val="00D14931"/>
    <w:rsid w:val="00D16295"/>
    <w:rsid w:val="00D17814"/>
    <w:rsid w:val="00D370AE"/>
    <w:rsid w:val="00D74D0E"/>
    <w:rsid w:val="00D778DD"/>
    <w:rsid w:val="00D81208"/>
    <w:rsid w:val="00DA14F5"/>
    <w:rsid w:val="00DA4A45"/>
    <w:rsid w:val="00DE0552"/>
    <w:rsid w:val="00E21651"/>
    <w:rsid w:val="00E62F98"/>
    <w:rsid w:val="00E77892"/>
    <w:rsid w:val="00E94A34"/>
    <w:rsid w:val="00E95CA0"/>
    <w:rsid w:val="00E95E5A"/>
    <w:rsid w:val="00EC1ABE"/>
    <w:rsid w:val="00EE5AB6"/>
    <w:rsid w:val="00F01722"/>
    <w:rsid w:val="00F06927"/>
    <w:rsid w:val="00F12CD2"/>
    <w:rsid w:val="00F37AE5"/>
    <w:rsid w:val="00F53114"/>
    <w:rsid w:val="00F914A3"/>
    <w:rsid w:val="00FB7CCE"/>
    <w:rsid w:val="00FC4F6C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7380-E76D-429E-922C-BCAC917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75E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575EE4"/>
    <w:pPr>
      <w:ind w:left="720"/>
      <w:contextualSpacing/>
    </w:pPr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575EE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B8152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15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12CD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2CD2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2CD2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2CD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wspan">
    <w:name w:val="awspan"/>
    <w:basedOn w:val="Predvolenpsmoodseku"/>
    <w:rsid w:val="0064197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09A3"/>
    <w:pPr>
      <w:spacing w:after="0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09A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mkypodiarouChar">
    <w:name w:val="Text poznámky pod čiarou Char"/>
    <w:aliases w:val="Schriftart: 9 pt Char,Schriftart: 10 pt Char,Schriftart: 8 pt Char,pozn. pod čarou Char,Podrozdział Char,Footnote Char,Podrozdzia3 Char,Text pozn. pod čarou_martin_ang Char,Fußnote Char,FSR footnote Char,lábléc Char"/>
    <w:link w:val="Textpoznmkypodiarou"/>
    <w:uiPriority w:val="99"/>
    <w:rsid w:val="00BB44C1"/>
    <w:rPr>
      <w:rFonts w:ascii="Calibri" w:eastAsia="Calibri" w:hAnsi="Calibri"/>
    </w:rPr>
  </w:style>
  <w:style w:type="character" w:styleId="Odkaznapoznmkupodiarou">
    <w:name w:val="footnote reference"/>
    <w:aliases w:val="Footnote Reference Number,Footnote Reference_LVL6,Footnote Reference_LVL61,Footnote Reference_LVL62,Footnote Reference_LVL63,Footnote Reference_LVL64"/>
    <w:uiPriority w:val="99"/>
    <w:rsid w:val="00BB44C1"/>
    <w:rPr>
      <w:rFonts w:cs="Times New Roman"/>
      <w:vertAlign w:val="superscript"/>
    </w:rPr>
  </w:style>
  <w:style w:type="paragraph" w:styleId="Textpoznmkypodiarou">
    <w:name w:val="footnote text"/>
    <w:aliases w:val="Schriftart: 9 pt,Schriftart: 10 pt,Schriftart: 8 pt,pozn. pod čarou,Podrozdział,Footnote,Podrozdzia3,Text pozn. pod čarou_martin_ang,Fußnote,FSR footnote,lábléc,Footnote Text Char Char,Footnote Text Char,Char Char"/>
    <w:basedOn w:val="Normlny"/>
    <w:link w:val="TextpoznmkypodiarouChar"/>
    <w:uiPriority w:val="99"/>
    <w:qFormat/>
    <w:rsid w:val="00BB44C1"/>
    <w:pPr>
      <w:suppressAutoHyphens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B44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Predvolenpsmoodseku"/>
    <w:uiPriority w:val="99"/>
    <w:qFormat/>
    <w:rsid w:val="00053851"/>
    <w:rPr>
      <w:rFonts w:cs="Times New Roman"/>
      <w:b/>
      <w:bCs/>
    </w:rPr>
  </w:style>
  <w:style w:type="paragraph" w:styleId="Bezriadkovania">
    <w:name w:val="No Spacing"/>
    <w:aliases w:val="Hlavní písmo"/>
    <w:basedOn w:val="Normlny"/>
    <w:link w:val="BezriadkovaniaChar"/>
    <w:uiPriority w:val="1"/>
    <w:qFormat/>
    <w:rsid w:val="000C1A5C"/>
    <w:pPr>
      <w:suppressAutoHyphens/>
      <w:spacing w:before="80" w:after="200" w:line="276" w:lineRule="auto"/>
      <w:jc w:val="both"/>
    </w:pPr>
    <w:rPr>
      <w:rFonts w:ascii="Calibri" w:eastAsia="Droid Sans Fallback" w:hAnsi="Calibri"/>
      <w:sz w:val="22"/>
      <w:szCs w:val="22"/>
      <w:lang w:val="cs-CZ" w:eastAsia="en-US"/>
    </w:rPr>
  </w:style>
  <w:style w:type="character" w:customStyle="1" w:styleId="BezriadkovaniaChar">
    <w:name w:val="Bez riadkovania Char"/>
    <w:aliases w:val="Hlavní písmo Char"/>
    <w:link w:val="Bezriadkovania"/>
    <w:uiPriority w:val="1"/>
    <w:rsid w:val="000C1A5C"/>
    <w:rPr>
      <w:rFonts w:ascii="Calibri" w:eastAsia="Droid Sans Fallback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561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08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0CF7-1AC5-40AE-9FD7-CEBE3CEA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worknbde</dc:creator>
  <cp:lastModifiedBy>Fokova Barbora</cp:lastModifiedBy>
  <cp:revision>14</cp:revision>
  <cp:lastPrinted>2024-08-08T09:56:00Z</cp:lastPrinted>
  <dcterms:created xsi:type="dcterms:W3CDTF">2024-05-17T08:45:00Z</dcterms:created>
  <dcterms:modified xsi:type="dcterms:W3CDTF">2024-08-08T10:01:00Z</dcterms:modified>
</cp:coreProperties>
</file>