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CE" w:rsidRPr="00C82D27" w:rsidRDefault="00D468CE" w:rsidP="00D468CE">
      <w:pPr>
        <w:pStyle w:val="Nzov"/>
        <w:rPr>
          <w:sz w:val="22"/>
          <w:szCs w:val="22"/>
        </w:rPr>
      </w:pPr>
      <w:r w:rsidRPr="00C82D27">
        <w:rPr>
          <w:sz w:val="22"/>
          <w:szCs w:val="22"/>
        </w:rPr>
        <w:t>DOLOŽKA ZLUČITEĽNOSTI</w:t>
      </w:r>
    </w:p>
    <w:p w:rsidR="00D468CE" w:rsidRPr="00C82D27" w:rsidRDefault="00D468CE" w:rsidP="00D468CE">
      <w:pPr>
        <w:pBdr>
          <w:bottom w:val="single" w:sz="6" w:space="1" w:color="auto"/>
        </w:pBdr>
        <w:jc w:val="center"/>
        <w:rPr>
          <w:rFonts w:ascii="Times New Roman" w:hAnsi="Times New Roman" w:cs="Times New Roman"/>
          <w:bCs/>
        </w:rPr>
      </w:pPr>
      <w:r w:rsidRPr="00C82D27">
        <w:rPr>
          <w:rFonts w:ascii="Times New Roman" w:hAnsi="Times New Roman" w:cs="Times New Roman"/>
        </w:rPr>
        <w:t>návrhu zákona s </w:t>
      </w:r>
      <w:r w:rsidRPr="00C82D27">
        <w:rPr>
          <w:rFonts w:ascii="Times New Roman" w:hAnsi="Times New Roman" w:cs="Times New Roman"/>
          <w:bCs/>
        </w:rPr>
        <w:t>právom Európskej únie</w:t>
      </w:r>
    </w:p>
    <w:p w:rsidR="00D468CE" w:rsidRPr="00C82D27" w:rsidRDefault="00D468CE" w:rsidP="00D468CE">
      <w:pPr>
        <w:jc w:val="center"/>
        <w:rPr>
          <w:b/>
        </w:rPr>
      </w:pPr>
    </w:p>
    <w:p w:rsidR="00703A5A" w:rsidRPr="00C82D27" w:rsidRDefault="00703A5A" w:rsidP="001A45EA">
      <w:pPr>
        <w:spacing w:after="0" w:line="240" w:lineRule="auto"/>
        <w:rPr>
          <w:rFonts w:ascii="Times New Roman" w:eastAsia="Times New Roman" w:hAnsi="Times New Roman" w:cs="Times New Roman"/>
          <w:color w:val="000000"/>
          <w:lang w:eastAsia="sk-SK"/>
        </w:rPr>
      </w:pPr>
    </w:p>
    <w:p w:rsidR="001A45EA" w:rsidRPr="00C82D27"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Navrhovateľ zákona:</w:t>
      </w:r>
    </w:p>
    <w:p w:rsidR="001A45EA" w:rsidRPr="00C82D27" w:rsidRDefault="006B3769" w:rsidP="001A45EA">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Vláda Slovenskej republiky</w:t>
      </w:r>
      <w:r w:rsidR="00B35E61" w:rsidRPr="00C82D27">
        <w:rPr>
          <w:rFonts w:ascii="Times New Roman" w:eastAsia="Times New Roman" w:hAnsi="Times New Roman" w:cs="Times New Roman"/>
          <w:color w:val="000000"/>
          <w:lang w:eastAsia="sk-SK"/>
        </w:rPr>
        <w:t>.</w:t>
      </w:r>
    </w:p>
    <w:p w:rsidR="00703A5A" w:rsidRPr="00C82D27" w:rsidRDefault="00703A5A" w:rsidP="001A45EA">
      <w:pPr>
        <w:spacing w:after="0" w:line="240" w:lineRule="auto"/>
        <w:rPr>
          <w:rFonts w:ascii="Times New Roman" w:eastAsia="Times New Roman" w:hAnsi="Times New Roman" w:cs="Times New Roman"/>
          <w:color w:val="000000"/>
          <w:lang w:eastAsia="sk-SK"/>
        </w:rPr>
      </w:pPr>
    </w:p>
    <w:p w:rsidR="001A45EA" w:rsidRPr="00C82D27"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Názov návrhu zákona:</w:t>
      </w:r>
    </w:p>
    <w:p w:rsidR="00703A5A" w:rsidRPr="00C82D27" w:rsidRDefault="005E418D" w:rsidP="001A45EA">
      <w:p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Návrh zákona, ktorým sa mení a dopĺňa zákon č. 747/2004 Z. z. o dohľade nad finančným trhom a o zmene a doplnení niektorých zákonov v znení neskorších predpisov a ktorým sa menia a dopĺňajú niektoré zákony</w:t>
      </w:r>
      <w:r w:rsidR="00DB681B" w:rsidRPr="00C82D27">
        <w:rPr>
          <w:rFonts w:ascii="Times New Roman" w:eastAsia="Times New Roman" w:hAnsi="Times New Roman" w:cs="Times New Roman"/>
          <w:color w:val="000000"/>
          <w:lang w:eastAsia="sk-SK"/>
        </w:rPr>
        <w:t>.</w:t>
      </w:r>
    </w:p>
    <w:p w:rsidR="00DB681B" w:rsidRPr="00C82D27" w:rsidRDefault="00DB681B" w:rsidP="001A45EA">
      <w:pPr>
        <w:spacing w:after="0" w:line="240" w:lineRule="auto"/>
        <w:rPr>
          <w:rFonts w:ascii="Times New Roman" w:eastAsia="Times New Roman" w:hAnsi="Times New Roman" w:cs="Times New Roman"/>
          <w:color w:val="000000"/>
          <w:lang w:eastAsia="sk-SK"/>
        </w:rPr>
      </w:pPr>
    </w:p>
    <w:p w:rsidR="001A45EA" w:rsidRPr="00C82D27"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Predmet návrhu zákona je upravený v práve Európskej únie:</w:t>
      </w:r>
    </w:p>
    <w:p w:rsidR="005E418D" w:rsidRPr="00C82D27" w:rsidRDefault="001A45EA" w:rsidP="005E418D">
      <w:pPr>
        <w:pStyle w:val="Odsekzoznamu"/>
        <w:numPr>
          <w:ilvl w:val="0"/>
          <w:numId w:val="2"/>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primárnom práve</w:t>
      </w:r>
    </w:p>
    <w:p w:rsidR="005E418D" w:rsidRPr="00C82D27" w:rsidRDefault="005E418D"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čl. 3 ods. 1 písm. b)</w:t>
      </w:r>
      <w:r w:rsidR="00CE5D8D" w:rsidRPr="00C82D27">
        <w:rPr>
          <w:rFonts w:ascii="Times New Roman" w:eastAsia="Times New Roman" w:hAnsi="Times New Roman" w:cs="Times New Roman"/>
          <w:color w:val="000000"/>
          <w:lang w:eastAsia="sk-SK"/>
        </w:rPr>
        <w:t xml:space="preserve"> a c)</w:t>
      </w:r>
      <w:r w:rsidRPr="00C82D27">
        <w:rPr>
          <w:rFonts w:ascii="Times New Roman" w:eastAsia="Times New Roman" w:hAnsi="Times New Roman" w:cs="Times New Roman"/>
          <w:color w:val="000000"/>
          <w:lang w:eastAsia="sk-SK"/>
        </w:rPr>
        <w:t xml:space="preserve">, čl. </w:t>
      </w:r>
      <w:r w:rsidR="007D206F" w:rsidRPr="00C82D27">
        <w:rPr>
          <w:rFonts w:ascii="Times New Roman" w:eastAsia="Times New Roman" w:hAnsi="Times New Roman" w:cs="Times New Roman"/>
          <w:color w:val="000000"/>
          <w:lang w:eastAsia="sk-SK"/>
        </w:rPr>
        <w:t>4, čl. 26 ods. 2, čl. 49 až 66</w:t>
      </w:r>
      <w:r w:rsidRPr="00C82D27">
        <w:rPr>
          <w:rFonts w:ascii="Times New Roman" w:eastAsia="Times New Roman" w:hAnsi="Times New Roman" w:cs="Times New Roman"/>
          <w:color w:val="000000"/>
          <w:lang w:eastAsia="sk-SK"/>
        </w:rPr>
        <w:t>, čl. 114 a čl. 127 Zmluvy o fungovaní Európskej únie (</w:t>
      </w:r>
      <w:r w:rsidRPr="00C82D27">
        <w:rPr>
          <w:rFonts w:ascii="Times New Roman" w:eastAsia="Times New Roman" w:hAnsi="Times New Roman"/>
          <w:lang w:eastAsia="sk-SK"/>
        </w:rPr>
        <w:t>Ú. v. EÚ C 202, 7.6.2016)</w:t>
      </w:r>
      <w:r w:rsidRPr="00C82D27">
        <w:rPr>
          <w:rFonts w:ascii="Times New Roman" w:eastAsia="Times New Roman" w:hAnsi="Times New Roman" w:cs="Times New Roman"/>
          <w:color w:val="000000"/>
          <w:lang w:eastAsia="sk-SK"/>
        </w:rPr>
        <w:t>,</w:t>
      </w:r>
    </w:p>
    <w:p w:rsidR="005E418D" w:rsidRPr="00C82D27" w:rsidRDefault="005E418D"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čl. 3 Zmluvy o Európskej únii (</w:t>
      </w:r>
      <w:r w:rsidRPr="00C82D27">
        <w:rPr>
          <w:rFonts w:ascii="Times New Roman" w:eastAsia="Times New Roman" w:hAnsi="Times New Roman"/>
          <w:lang w:eastAsia="sk-SK"/>
        </w:rPr>
        <w:t>Ú. v. EÚ C 202, 7.6.2016)</w:t>
      </w:r>
      <w:r w:rsidRPr="00C82D27">
        <w:rPr>
          <w:rFonts w:ascii="Times New Roman" w:eastAsia="Times New Roman" w:hAnsi="Times New Roman" w:cs="Times New Roman"/>
          <w:color w:val="000000"/>
          <w:lang w:eastAsia="sk-SK"/>
        </w:rPr>
        <w:t>,</w:t>
      </w:r>
    </w:p>
    <w:p w:rsidR="005E418D" w:rsidRPr="00C82D27" w:rsidRDefault="005E418D"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Protokol č. 4 o Štatúte Európskeho systému centrálnych bánk a Európskej centrálnej    banky pripojený k Zmluve o fungovaní Európskej únie (Ú. v. EÚ C</w:t>
      </w:r>
      <w:r w:rsidR="00B35E61" w:rsidRPr="00C82D27">
        <w:rPr>
          <w:rFonts w:ascii="Times New Roman" w:eastAsia="Times New Roman" w:hAnsi="Times New Roman" w:cs="Times New Roman"/>
          <w:color w:val="000000"/>
          <w:lang w:eastAsia="sk-SK"/>
        </w:rPr>
        <w:t xml:space="preserve"> 202, 7.6.2016),</w:t>
      </w:r>
    </w:p>
    <w:p w:rsidR="008545C6" w:rsidRPr="00C82D27" w:rsidRDefault="008545C6" w:rsidP="001A45EA">
      <w:pPr>
        <w:spacing w:after="0" w:line="240" w:lineRule="auto"/>
        <w:rPr>
          <w:rFonts w:ascii="Times New Roman" w:eastAsia="Times New Roman" w:hAnsi="Times New Roman" w:cs="Times New Roman"/>
          <w:b/>
          <w:bCs/>
          <w:i/>
          <w:iCs/>
          <w:color w:val="000000"/>
          <w:lang w:eastAsia="sk-SK"/>
        </w:rPr>
      </w:pPr>
    </w:p>
    <w:p w:rsidR="00D468CE" w:rsidRPr="00C82D27" w:rsidRDefault="008545C6" w:rsidP="008C1D0E">
      <w:pPr>
        <w:pStyle w:val="Odsekzoznamu"/>
        <w:numPr>
          <w:ilvl w:val="0"/>
          <w:numId w:val="2"/>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sekundárnom práve</w:t>
      </w:r>
      <w:r w:rsidR="00D468CE" w:rsidRPr="00C82D27">
        <w:t xml:space="preserve"> </w:t>
      </w:r>
    </w:p>
    <w:p w:rsidR="00D468CE" w:rsidRPr="00C82D27" w:rsidRDefault="00D468CE"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smernica Európskeho parlamentu a Rady 2009/65/ES z 13. júla 2009 o koordinácii zákonov, iných právnych predpisov a správnych opatrení týkajúcich sa podnikov kolektívneho investovania do prevoditeľných cenných papierov</w:t>
      </w:r>
      <w:r w:rsidR="00A37B49" w:rsidRPr="00C82D27">
        <w:rPr>
          <w:rFonts w:ascii="Times New Roman" w:hAnsi="Times New Roman" w:cs="Times New Roman"/>
        </w:rPr>
        <w:t xml:space="preserve"> </w:t>
      </w:r>
      <w:r w:rsidR="006A6D7F" w:rsidRPr="00C82D27">
        <w:rPr>
          <w:rFonts w:ascii="Times New Roman" w:hAnsi="Times New Roman" w:cs="Times New Roman"/>
        </w:rPr>
        <w:t xml:space="preserve">(PKIPCP) (prepracované znenie) </w:t>
      </w:r>
      <w:r w:rsidR="00A37B49" w:rsidRPr="00C82D27">
        <w:rPr>
          <w:rFonts w:ascii="Times New Roman" w:hAnsi="Times New Roman" w:cs="Times New Roman"/>
        </w:rPr>
        <w:t xml:space="preserve">(Ú. v. EÚ L 302, 17.11.2009) v platnom znení, </w:t>
      </w:r>
      <w:r w:rsidR="006A6D7F" w:rsidRPr="00C82D27">
        <w:rPr>
          <w:rFonts w:ascii="Times New Roman" w:hAnsi="Times New Roman" w:cs="Times New Roman"/>
        </w:rPr>
        <w:t xml:space="preserve">gestor: MF SR, </w:t>
      </w:r>
      <w:proofErr w:type="spellStart"/>
      <w:r w:rsidR="006A6D7F" w:rsidRPr="00C82D27">
        <w:rPr>
          <w:rFonts w:ascii="Times New Roman" w:hAnsi="Times New Roman" w:cs="Times New Roman"/>
        </w:rPr>
        <w:t>spolugestor</w:t>
      </w:r>
      <w:proofErr w:type="spellEnd"/>
      <w:r w:rsidR="006A6D7F" w:rsidRPr="00C82D27">
        <w:rPr>
          <w:rFonts w:ascii="Times New Roman" w:hAnsi="Times New Roman" w:cs="Times New Roman"/>
        </w:rPr>
        <w:t>: NBS,</w:t>
      </w:r>
    </w:p>
    <w:p w:rsidR="008C1D0E" w:rsidRPr="00C82D27" w:rsidRDefault="008C1D0E" w:rsidP="00DC0E61">
      <w:pPr>
        <w:pStyle w:val="Odsekzoznamu"/>
        <w:spacing w:after="0" w:line="240" w:lineRule="auto"/>
        <w:ind w:left="851"/>
        <w:jc w:val="both"/>
        <w:rPr>
          <w:rFonts w:ascii="Times New Roman" w:hAnsi="Times New Roman" w:cs="Times New Roman"/>
        </w:rPr>
      </w:pPr>
    </w:p>
    <w:p w:rsidR="00AA6546" w:rsidRPr="00C82D27" w:rsidRDefault="00E209A3"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 xml:space="preserve">smernica Európskeho parlamentu a Rady 2009/138/ES z 25. novembra 2009 o začatí a vykonávaní poistenia a zaistenia (Solventnosť II) </w:t>
      </w:r>
      <w:r w:rsidR="00AB442D" w:rsidRPr="00C82D27">
        <w:rPr>
          <w:rFonts w:ascii="Times New Roman" w:hAnsi="Times New Roman" w:cs="Times New Roman"/>
        </w:rPr>
        <w:t xml:space="preserve">(prepracované znenie) </w:t>
      </w:r>
      <w:r w:rsidRPr="00C82D27">
        <w:rPr>
          <w:rFonts w:ascii="Times New Roman" w:hAnsi="Times New Roman" w:cs="Times New Roman"/>
        </w:rPr>
        <w:t>(Ú. v. EÚ L 335, 17.12.2009)</w:t>
      </w:r>
      <w:r w:rsidR="00AA6546" w:rsidRPr="00C82D27">
        <w:rPr>
          <w:rFonts w:ascii="Times New Roman" w:hAnsi="Times New Roman" w:cs="Times New Roman"/>
        </w:rPr>
        <w:t xml:space="preserve"> v platnom znení</w:t>
      </w:r>
      <w:r w:rsidRPr="00C82D27">
        <w:rPr>
          <w:rFonts w:ascii="Times New Roman" w:hAnsi="Times New Roman" w:cs="Times New Roman"/>
        </w:rPr>
        <w:t>, gestor:</w:t>
      </w:r>
      <w:r w:rsidR="00AA6546" w:rsidRPr="00C82D27">
        <w:rPr>
          <w:rFonts w:ascii="Times New Roman" w:hAnsi="Times New Roman" w:cs="Times New Roman"/>
        </w:rPr>
        <w:t xml:space="preserve"> MF SR, </w:t>
      </w:r>
      <w:proofErr w:type="spellStart"/>
      <w:r w:rsidR="00AA6546" w:rsidRPr="00C82D27">
        <w:rPr>
          <w:rFonts w:ascii="Times New Roman" w:hAnsi="Times New Roman" w:cs="Times New Roman"/>
        </w:rPr>
        <w:t>spolugestor</w:t>
      </w:r>
      <w:proofErr w:type="spellEnd"/>
      <w:r w:rsidR="00AA6546" w:rsidRPr="00C82D27">
        <w:rPr>
          <w:rFonts w:ascii="Times New Roman" w:hAnsi="Times New Roman" w:cs="Times New Roman"/>
        </w:rPr>
        <w:t>: NBS,</w:t>
      </w:r>
    </w:p>
    <w:p w:rsidR="008C1D0E" w:rsidRPr="00C82D27" w:rsidRDefault="008C1D0E" w:rsidP="00DC0E61">
      <w:pPr>
        <w:spacing w:after="0" w:line="240" w:lineRule="auto"/>
        <w:ind w:left="851"/>
        <w:jc w:val="both"/>
        <w:rPr>
          <w:rFonts w:ascii="Times New Roman" w:hAnsi="Times New Roman" w:cs="Times New Roman"/>
        </w:rPr>
      </w:pPr>
    </w:p>
    <w:p w:rsidR="00AA6546" w:rsidRPr="00C82D27" w:rsidRDefault="00AA6546"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smernica Európskeho parlamentu a Rady 2011/61/EÚ z  8. júna 2011 o správcoch alternatívnych investičných fondov a o zmene a doplnení smerníc 2003/41/ES a 2009/65/ES a nariadení (ES) č. 1060/2009 a (EÚ) č. 1095/2010 (Ú. v. EÚ L 174, 1.7.2011)</w:t>
      </w:r>
      <w:r w:rsidRPr="00C82D27">
        <w:rPr>
          <w:rFonts w:ascii="Times New Roman" w:eastAsia="Times New Roman" w:hAnsi="Times New Roman" w:cs="Times New Roman"/>
          <w:color w:val="000000"/>
          <w:lang w:eastAsia="sk-SK"/>
        </w:rPr>
        <w:t xml:space="preserve"> v platnom znení, </w:t>
      </w:r>
      <w:r w:rsidRPr="00C82D27">
        <w:rPr>
          <w:rFonts w:ascii="Times New Roman" w:hAnsi="Times New Roman" w:cs="Times New Roman"/>
        </w:rPr>
        <w:t xml:space="preserve">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w:t>
      </w:r>
      <w:r w:rsidR="00834A8A" w:rsidRPr="00C82D27">
        <w:rPr>
          <w:rFonts w:ascii="Times New Roman" w:hAnsi="Times New Roman" w:cs="Times New Roman"/>
        </w:rPr>
        <w:t xml:space="preserve"> MPSVR</w:t>
      </w:r>
      <w:r w:rsidR="00AB442D" w:rsidRPr="00C82D27">
        <w:rPr>
          <w:rFonts w:ascii="Times New Roman" w:hAnsi="Times New Roman" w:cs="Times New Roman"/>
        </w:rPr>
        <w:t xml:space="preserve"> SR</w:t>
      </w:r>
      <w:r w:rsidR="00834A8A" w:rsidRPr="00C82D27">
        <w:rPr>
          <w:rFonts w:ascii="Times New Roman" w:hAnsi="Times New Roman" w:cs="Times New Roman"/>
        </w:rPr>
        <w:t>,</w:t>
      </w:r>
    </w:p>
    <w:p w:rsidR="008C1D0E" w:rsidRPr="00C82D27" w:rsidRDefault="008C1D0E" w:rsidP="00DC0E61">
      <w:pPr>
        <w:pStyle w:val="Odsekzoznamu"/>
        <w:spacing w:after="0" w:line="240" w:lineRule="auto"/>
        <w:ind w:left="851"/>
        <w:jc w:val="both"/>
        <w:rPr>
          <w:rFonts w:ascii="Times New Roman" w:hAnsi="Times New Roman" w:cs="Times New Roman"/>
        </w:rPr>
      </w:pPr>
    </w:p>
    <w:p w:rsidR="00834A8A" w:rsidRPr="00C82D27" w:rsidRDefault="00834A8A"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 xml:space="preserve">smernica Európskeho parlamentu a Rady 2013/36/EÚ z  26. júna 2013 o prístupe k činnosti úverových inštitúcií a </w:t>
      </w:r>
      <w:proofErr w:type="spellStart"/>
      <w:r w:rsidRPr="00C82D27">
        <w:rPr>
          <w:rFonts w:ascii="Times New Roman" w:hAnsi="Times New Roman" w:cs="Times New Roman"/>
        </w:rPr>
        <w:t>prudenciálnom</w:t>
      </w:r>
      <w:proofErr w:type="spellEnd"/>
      <w:r w:rsidRPr="00C82D27">
        <w:rPr>
          <w:rFonts w:ascii="Times New Roman" w:hAnsi="Times New Roman" w:cs="Times New Roman"/>
        </w:rPr>
        <w:t xml:space="preserve"> dohľade nad úverovými inštitúciami, o zmene smernice 2002/87/ES a o zrušení smerníc 2006/48/ES a 2006/49/ES (Ú. v. EÚ L 176, 27.6.2013) </w:t>
      </w:r>
      <w:r w:rsidRPr="00C82D27">
        <w:rPr>
          <w:rFonts w:ascii="Times New Roman" w:eastAsia="Times New Roman" w:hAnsi="Times New Roman" w:cs="Times New Roman"/>
          <w:color w:val="000000"/>
          <w:lang w:eastAsia="sk-SK"/>
        </w:rPr>
        <w:t>v platnom znení</w:t>
      </w:r>
      <w:r w:rsidRPr="00C82D27">
        <w:rPr>
          <w:rFonts w:ascii="Times New Roman" w:hAnsi="Times New Roman" w:cs="Times New Roman"/>
        </w:rPr>
        <w:t xml:space="preserve">, 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w:t>
      </w:r>
    </w:p>
    <w:p w:rsidR="008C1D0E" w:rsidRPr="00C82D27" w:rsidRDefault="008C1D0E" w:rsidP="00DC0E61">
      <w:pPr>
        <w:pStyle w:val="Odsekzoznamu"/>
        <w:spacing w:after="0" w:line="240" w:lineRule="auto"/>
        <w:ind w:left="851"/>
        <w:jc w:val="both"/>
        <w:rPr>
          <w:rFonts w:ascii="Times New Roman" w:hAnsi="Times New Roman" w:cs="Times New Roman"/>
        </w:rPr>
      </w:pPr>
    </w:p>
    <w:p w:rsidR="0097526E" w:rsidRPr="00C82D27" w:rsidRDefault="00834A8A"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hAnsi="Times New Roman" w:cs="Times New Roman"/>
        </w:rPr>
        <w:t>smernica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0097526E" w:rsidRPr="00C82D27">
        <w:rPr>
          <w:rFonts w:ascii="Times New Roman" w:eastAsia="Times New Roman" w:hAnsi="Times New Roman" w:cs="Times New Roman"/>
          <w:color w:val="000000"/>
          <w:lang w:eastAsia="sk-SK"/>
        </w:rPr>
        <w:t xml:space="preserve"> </w:t>
      </w:r>
      <w:r w:rsidR="00AB442D" w:rsidRPr="00C82D27">
        <w:rPr>
          <w:rFonts w:ascii="Times New Roman" w:eastAsia="Times New Roman" w:hAnsi="Times New Roman" w:cs="Times New Roman"/>
          <w:color w:val="000000"/>
          <w:lang w:eastAsia="sk-SK"/>
        </w:rPr>
        <w:t xml:space="preserve">(Ú. v. EÚ L 173, 12.6.2014) </w:t>
      </w:r>
      <w:r w:rsidR="0097526E" w:rsidRPr="00C82D27">
        <w:rPr>
          <w:rFonts w:ascii="Times New Roman" w:eastAsia="Times New Roman" w:hAnsi="Times New Roman" w:cs="Times New Roman"/>
          <w:color w:val="000000"/>
          <w:lang w:eastAsia="sk-SK"/>
        </w:rPr>
        <w:t>v platnom znení</w:t>
      </w:r>
      <w:r w:rsidR="0097526E" w:rsidRPr="00C82D27">
        <w:rPr>
          <w:rFonts w:ascii="Times New Roman" w:hAnsi="Times New Roman" w:cs="Times New Roman"/>
        </w:rPr>
        <w:t xml:space="preserve">, gestor: MF SR, </w:t>
      </w:r>
      <w:proofErr w:type="spellStart"/>
      <w:r w:rsidR="0097526E" w:rsidRPr="00C82D27">
        <w:rPr>
          <w:rFonts w:ascii="Times New Roman" w:hAnsi="Times New Roman" w:cs="Times New Roman"/>
        </w:rPr>
        <w:t>spolugestor</w:t>
      </w:r>
      <w:proofErr w:type="spellEnd"/>
      <w:r w:rsidR="0097526E" w:rsidRPr="00C82D27">
        <w:rPr>
          <w:rFonts w:ascii="Times New Roman" w:hAnsi="Times New Roman" w:cs="Times New Roman"/>
        </w:rPr>
        <w:t>: NBS,</w:t>
      </w:r>
    </w:p>
    <w:p w:rsidR="00BB2DAA" w:rsidRPr="00C82D27" w:rsidRDefault="00BB2DAA" w:rsidP="00DC0E61">
      <w:pPr>
        <w:pStyle w:val="Odsekzoznamu"/>
        <w:spacing w:after="0" w:line="240" w:lineRule="auto"/>
        <w:ind w:left="851"/>
        <w:jc w:val="both"/>
        <w:rPr>
          <w:rFonts w:ascii="Times New Roman" w:hAnsi="Times New Roman" w:cs="Times New Roman"/>
        </w:rPr>
      </w:pPr>
    </w:p>
    <w:p w:rsidR="006A6D7F" w:rsidRPr="00C82D27" w:rsidRDefault="0097526E"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 xml:space="preserve">smernica Európskeho parlamentu a Rady 2014/65/EÚ z  15. mája 2014 o trhoch s finančnými nástrojmi, ktorou sa mení smernica 2002/92/ES a smernica 2011/61/EÚ (prepracované znenie) </w:t>
      </w:r>
      <w:r w:rsidR="00AB442D" w:rsidRPr="00C82D27">
        <w:rPr>
          <w:rFonts w:ascii="Times New Roman" w:eastAsia="Times New Roman" w:hAnsi="Times New Roman" w:cs="Times New Roman"/>
          <w:color w:val="000000"/>
          <w:lang w:eastAsia="sk-SK"/>
        </w:rPr>
        <w:t>(Ú. v. EÚ L 173, 12.6.2014)</w:t>
      </w:r>
      <w:r w:rsidRPr="00C82D27">
        <w:rPr>
          <w:rFonts w:ascii="Times New Roman" w:hAnsi="Times New Roman" w:cs="Times New Roman"/>
        </w:rPr>
        <w:t xml:space="preserve"> </w:t>
      </w:r>
      <w:r w:rsidRPr="00C82D27">
        <w:rPr>
          <w:rFonts w:ascii="Times New Roman" w:eastAsia="Times New Roman" w:hAnsi="Times New Roman" w:cs="Times New Roman"/>
          <w:color w:val="000000"/>
          <w:lang w:eastAsia="sk-SK"/>
        </w:rPr>
        <w:t>v platnom znení</w:t>
      </w:r>
      <w:r w:rsidRPr="00C82D27">
        <w:rPr>
          <w:rFonts w:ascii="Times New Roman" w:hAnsi="Times New Roman" w:cs="Times New Roman"/>
        </w:rPr>
        <w:t xml:space="preserve">, 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w:t>
      </w:r>
    </w:p>
    <w:p w:rsidR="00BB2DAA" w:rsidRPr="00C82D27" w:rsidRDefault="00BB2DAA" w:rsidP="00DC0E61">
      <w:pPr>
        <w:pStyle w:val="Odsekzoznamu"/>
        <w:spacing w:after="0" w:line="240" w:lineRule="auto"/>
        <w:ind w:left="851"/>
        <w:jc w:val="both"/>
        <w:rPr>
          <w:rFonts w:ascii="Times New Roman" w:hAnsi="Times New Roman" w:cs="Times New Roman"/>
        </w:rPr>
      </w:pPr>
    </w:p>
    <w:p w:rsidR="001F56C9" w:rsidRPr="00C82D27" w:rsidRDefault="0097526E"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lastRenderedPageBreak/>
        <w:t>smernica Európskeho parlamentu a Rady (EÚ) 2015/2366 z 25. novembra 2015 o platobných službách na vnútornom trhu, ktorou sa menia smernice 2002/65/ES, 2009/110/ES a 2013/36/EÚ a nariadenie (EÚ) č. 1093/2010 a ktorou sa zrušuje smernica 2007/64/ES</w:t>
      </w:r>
      <w:r w:rsidR="001F56C9" w:rsidRPr="00C82D27">
        <w:rPr>
          <w:rFonts w:ascii="Times New Roman" w:hAnsi="Times New Roman" w:cs="Times New Roman"/>
        </w:rPr>
        <w:t xml:space="preserve"> (Ú. v. EÚ L 337, 23.12.2015) </w:t>
      </w:r>
      <w:r w:rsidR="001F56C9" w:rsidRPr="00C82D27">
        <w:rPr>
          <w:rFonts w:ascii="Times New Roman" w:eastAsia="Times New Roman" w:hAnsi="Times New Roman" w:cs="Times New Roman"/>
          <w:color w:val="000000"/>
          <w:lang w:eastAsia="sk-SK"/>
        </w:rPr>
        <w:t>v platnom znení</w:t>
      </w:r>
      <w:r w:rsidR="001F56C9" w:rsidRPr="00C82D27">
        <w:rPr>
          <w:rFonts w:ascii="Times New Roman" w:hAnsi="Times New Roman" w:cs="Times New Roman"/>
        </w:rPr>
        <w:t xml:space="preserve">, gestor: MF SR, </w:t>
      </w:r>
      <w:proofErr w:type="spellStart"/>
      <w:r w:rsidR="001F56C9" w:rsidRPr="00C82D27">
        <w:rPr>
          <w:rFonts w:ascii="Times New Roman" w:hAnsi="Times New Roman" w:cs="Times New Roman"/>
        </w:rPr>
        <w:t>spolugestor</w:t>
      </w:r>
      <w:proofErr w:type="spellEnd"/>
      <w:r w:rsidR="001F56C9" w:rsidRPr="00C82D27">
        <w:rPr>
          <w:rFonts w:ascii="Times New Roman" w:hAnsi="Times New Roman" w:cs="Times New Roman"/>
        </w:rPr>
        <w:t>: NBS,</w:t>
      </w:r>
    </w:p>
    <w:p w:rsidR="008C1D0E" w:rsidRPr="00C82D27" w:rsidRDefault="008C1D0E" w:rsidP="00DC0E61">
      <w:pPr>
        <w:pStyle w:val="Odsekzoznamu"/>
        <w:spacing w:after="0" w:line="240" w:lineRule="auto"/>
        <w:ind w:left="851"/>
        <w:jc w:val="both"/>
        <w:rPr>
          <w:rFonts w:ascii="Times New Roman" w:hAnsi="Times New Roman" w:cs="Times New Roman"/>
        </w:rPr>
      </w:pPr>
    </w:p>
    <w:p w:rsidR="0097526E" w:rsidRPr="00C82D27" w:rsidRDefault="001F56C9" w:rsidP="00DC0E61">
      <w:pPr>
        <w:pStyle w:val="Odsekzoznamu"/>
        <w:numPr>
          <w:ilvl w:val="1"/>
          <w:numId w:val="2"/>
        </w:numPr>
        <w:spacing w:after="0" w:line="240" w:lineRule="auto"/>
        <w:ind w:left="851"/>
        <w:jc w:val="both"/>
        <w:rPr>
          <w:rFonts w:ascii="Times New Roman" w:hAnsi="Times New Roman" w:cs="Times New Roman"/>
        </w:rPr>
      </w:pPr>
      <w:r w:rsidRPr="00C82D27">
        <w:rPr>
          <w:rFonts w:ascii="Times New Roman" w:hAnsi="Times New Roman" w:cs="Times New Roman"/>
        </w:rPr>
        <w:t xml:space="preserve">smernica Európskeho parlamentu a Rady (EÚ) 2016/2341 zo 14. decembra 2016 o činnostiach inštitúcií zamestnaneckého dôchodkového zabezpečenia (IZDZ) a o dohľade nad nimi (prepracované znenie) (Ú. v. EÚ L 354, 23.12.2016) </w:t>
      </w:r>
      <w:r w:rsidRPr="00C82D27">
        <w:rPr>
          <w:rFonts w:ascii="Times New Roman" w:eastAsia="Times New Roman" w:hAnsi="Times New Roman" w:cs="Times New Roman"/>
          <w:color w:val="000000"/>
          <w:lang w:eastAsia="sk-SK"/>
        </w:rPr>
        <w:t>v platnom znení</w:t>
      </w:r>
      <w:r w:rsidRPr="00C82D27">
        <w:rPr>
          <w:rFonts w:ascii="Times New Roman" w:hAnsi="Times New Roman" w:cs="Times New Roman"/>
        </w:rPr>
        <w:t>, gestor:</w:t>
      </w:r>
      <w:r w:rsidR="00AB442D" w:rsidRPr="00C82D27">
        <w:rPr>
          <w:rFonts w:ascii="Times New Roman" w:hAnsi="Times New Roman" w:cs="Times New Roman"/>
        </w:rPr>
        <w:t xml:space="preserve"> MPSVR SR</w:t>
      </w:r>
      <w:r w:rsidRPr="00C82D27">
        <w:rPr>
          <w:rFonts w:ascii="Times New Roman" w:hAnsi="Times New Roman" w:cs="Times New Roman"/>
        </w:rPr>
        <w:t xml:space="preserve">,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xml:space="preserve">: </w:t>
      </w:r>
      <w:r w:rsidR="00AB442D" w:rsidRPr="00C82D27">
        <w:rPr>
          <w:rFonts w:ascii="Times New Roman" w:hAnsi="Times New Roman" w:cs="Times New Roman"/>
        </w:rPr>
        <w:t xml:space="preserve">MF SR, </w:t>
      </w:r>
      <w:r w:rsidRPr="00C82D27">
        <w:rPr>
          <w:rFonts w:ascii="Times New Roman" w:hAnsi="Times New Roman" w:cs="Times New Roman"/>
        </w:rPr>
        <w:t>NBS,</w:t>
      </w:r>
    </w:p>
    <w:p w:rsidR="00C86BF5" w:rsidRPr="00C82D27" w:rsidRDefault="00C86BF5" w:rsidP="00DC0E61">
      <w:pPr>
        <w:pStyle w:val="Odsekzoznamu"/>
        <w:spacing w:after="0" w:line="240" w:lineRule="auto"/>
        <w:ind w:left="851"/>
        <w:jc w:val="both"/>
        <w:rPr>
          <w:rFonts w:ascii="Times New Roman" w:hAnsi="Times New Roman" w:cs="Times New Roman"/>
        </w:rPr>
      </w:pPr>
    </w:p>
    <w:p w:rsidR="0090115E" w:rsidRPr="00C82D27" w:rsidRDefault="005E418D"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r w:rsidR="00CA1C41" w:rsidRPr="00C82D27">
        <w:rPr>
          <w:rFonts w:ascii="Times New Roman" w:eastAsia="Times New Roman" w:hAnsi="Times New Roman" w:cs="Times New Roman"/>
          <w:color w:val="000000"/>
          <w:lang w:eastAsia="sk-SK"/>
        </w:rPr>
        <w:t>,</w:t>
      </w:r>
      <w:r w:rsidR="00F76E12" w:rsidRPr="00C82D27">
        <w:rPr>
          <w:rFonts w:ascii="Times New Roman" w:eastAsia="Times New Roman" w:hAnsi="Times New Roman" w:cs="Times New Roman"/>
          <w:color w:val="000000"/>
          <w:lang w:eastAsia="sk-SK"/>
        </w:rPr>
        <w:t xml:space="preserve"> gestor:</w:t>
      </w:r>
      <w:r w:rsidR="00DD609D" w:rsidRPr="00C82D27">
        <w:rPr>
          <w:rFonts w:ascii="Times New Roman" w:eastAsia="Times New Roman" w:hAnsi="Times New Roman" w:cs="Times New Roman"/>
          <w:color w:val="000000"/>
          <w:lang w:eastAsia="sk-SK"/>
        </w:rPr>
        <w:t xml:space="preserve"> MF SR, </w:t>
      </w:r>
      <w:proofErr w:type="spellStart"/>
      <w:r w:rsidR="00D468CE" w:rsidRPr="00C82D27">
        <w:rPr>
          <w:rFonts w:ascii="Times New Roman" w:eastAsia="Times New Roman" w:hAnsi="Times New Roman" w:cs="Times New Roman"/>
          <w:color w:val="000000"/>
          <w:lang w:eastAsia="sk-SK"/>
        </w:rPr>
        <w:t>spolugestor</w:t>
      </w:r>
      <w:proofErr w:type="spellEnd"/>
      <w:r w:rsidR="00D468CE" w:rsidRPr="00C82D27">
        <w:rPr>
          <w:rFonts w:ascii="Times New Roman" w:eastAsia="Times New Roman" w:hAnsi="Times New Roman" w:cs="Times New Roman"/>
          <w:color w:val="000000"/>
          <w:lang w:eastAsia="sk-SK"/>
        </w:rPr>
        <w:t xml:space="preserve">: </w:t>
      </w:r>
      <w:r w:rsidR="00DD609D" w:rsidRPr="00C82D27">
        <w:rPr>
          <w:rFonts w:ascii="Times New Roman" w:eastAsia="Times New Roman" w:hAnsi="Times New Roman" w:cs="Times New Roman"/>
          <w:color w:val="000000"/>
          <w:lang w:eastAsia="sk-SK"/>
        </w:rPr>
        <w:t>NBS</w:t>
      </w:r>
      <w:r w:rsidR="008C1D0E" w:rsidRPr="00C82D27">
        <w:rPr>
          <w:rFonts w:ascii="Times New Roman" w:eastAsia="Times New Roman" w:hAnsi="Times New Roman" w:cs="Times New Roman"/>
          <w:color w:val="000000"/>
          <w:lang w:eastAsia="sk-SK"/>
        </w:rPr>
        <w:t>,</w:t>
      </w:r>
    </w:p>
    <w:p w:rsidR="00C368B1" w:rsidRPr="00C82D27" w:rsidRDefault="00C368B1"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Pr="00C82D27" w:rsidRDefault="008C1D0E" w:rsidP="00DC0E61">
      <w:pPr>
        <w:pStyle w:val="Odsekzoznamu"/>
        <w:numPr>
          <w:ilvl w:val="1"/>
          <w:numId w:val="2"/>
        </w:numPr>
        <w:spacing w:after="0" w:line="240" w:lineRule="auto"/>
        <w:ind w:left="851"/>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xml:space="preserve">nariadenie Európskeho parlamentu a Rady (EÚ) č. 345/2013 zo 17. apríla 2013 o európskych fondoch rizikového kapitálu (Ú. v. EÚ L 115, 25.4.2013) v platnom znení, gestor: MF SR, NBS, MH SR, </w:t>
      </w:r>
    </w:p>
    <w:p w:rsidR="008C1D0E" w:rsidRPr="00C82D27" w:rsidRDefault="008C1D0E" w:rsidP="00DC0E61">
      <w:pPr>
        <w:pStyle w:val="Odsekzoznamu"/>
        <w:spacing w:after="0" w:line="240" w:lineRule="auto"/>
        <w:ind w:left="851"/>
        <w:rPr>
          <w:rFonts w:ascii="Times New Roman" w:eastAsia="Times New Roman" w:hAnsi="Times New Roman" w:cs="Times New Roman"/>
          <w:color w:val="000000"/>
          <w:lang w:eastAsia="sk-SK"/>
        </w:rPr>
      </w:pPr>
    </w:p>
    <w:p w:rsidR="008C1D0E" w:rsidRDefault="008C1D0E" w:rsidP="00DC0E61">
      <w:pPr>
        <w:pStyle w:val="Odsekzoznamu"/>
        <w:numPr>
          <w:ilvl w:val="1"/>
          <w:numId w:val="2"/>
        </w:numPr>
        <w:spacing w:after="0" w:line="240" w:lineRule="auto"/>
        <w:ind w:left="851"/>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č. 346/2013</w:t>
      </w:r>
      <w:r w:rsidR="00F3530D" w:rsidRPr="00C82D27">
        <w:rPr>
          <w:rFonts w:ascii="Times New Roman" w:eastAsia="Times New Roman" w:hAnsi="Times New Roman" w:cs="Times New Roman"/>
          <w:color w:val="000000"/>
          <w:lang w:eastAsia="sk-SK"/>
        </w:rPr>
        <w:t>zo 17. apríla 2013</w:t>
      </w:r>
      <w:r w:rsidRPr="00C82D27">
        <w:rPr>
          <w:rFonts w:ascii="Times New Roman" w:eastAsia="Times New Roman" w:hAnsi="Times New Roman" w:cs="Times New Roman"/>
          <w:color w:val="000000"/>
          <w:lang w:eastAsia="sk-SK"/>
        </w:rPr>
        <w:t xml:space="preserve"> o európskych fondoch sociálneho podnikania (Ú. v. EÚ L 115, 25. 4. 2013) v platnom znení, gestor: MF SR, NBS, MH SR, MPSVR SR,</w:t>
      </w:r>
    </w:p>
    <w:p w:rsidR="00051CF1" w:rsidRDefault="00051CF1" w:rsidP="00051CF1">
      <w:pPr>
        <w:pStyle w:val="Odsekzoznamu"/>
        <w:spacing w:after="0" w:line="240" w:lineRule="auto"/>
        <w:ind w:left="851"/>
        <w:rPr>
          <w:rFonts w:ascii="Times New Roman" w:eastAsia="Times New Roman" w:hAnsi="Times New Roman" w:cs="Times New Roman"/>
          <w:color w:val="000000"/>
          <w:lang w:eastAsia="sk-SK"/>
        </w:rPr>
      </w:pPr>
    </w:p>
    <w:p w:rsidR="00051CF1" w:rsidRPr="00C82D27" w:rsidRDefault="00051CF1" w:rsidP="00DC0E61">
      <w:pPr>
        <w:pStyle w:val="Odsekzoznamu"/>
        <w:numPr>
          <w:ilvl w:val="1"/>
          <w:numId w:val="2"/>
        </w:numPr>
        <w:spacing w:after="0" w:line="240" w:lineRule="auto"/>
        <w:ind w:left="85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r w:rsidRPr="00051CF1">
        <w:rPr>
          <w:rFonts w:ascii="Times New Roman" w:eastAsia="Times New Roman" w:hAnsi="Times New Roman" w:cs="Times New Roman"/>
          <w:color w:val="000000"/>
          <w:lang w:eastAsia="sk-SK"/>
        </w:rPr>
        <w:t xml:space="preserve">ariadenie Európskeho parlamentu a Rady (EÚ) č. 1286/2014 z 26. novembra 2014 o dokumentoch s kľúčovými informáciami pre štrukturalizované </w:t>
      </w:r>
      <w:proofErr w:type="spellStart"/>
      <w:r w:rsidRPr="00051CF1">
        <w:rPr>
          <w:rFonts w:ascii="Times New Roman" w:eastAsia="Times New Roman" w:hAnsi="Times New Roman" w:cs="Times New Roman"/>
          <w:color w:val="000000"/>
          <w:lang w:eastAsia="sk-SK"/>
        </w:rPr>
        <w:t>retailové</w:t>
      </w:r>
      <w:proofErr w:type="spellEnd"/>
      <w:r w:rsidRPr="00051CF1">
        <w:rPr>
          <w:rFonts w:ascii="Times New Roman" w:eastAsia="Times New Roman" w:hAnsi="Times New Roman" w:cs="Times New Roman"/>
          <w:color w:val="000000"/>
          <w:lang w:eastAsia="sk-SK"/>
        </w:rPr>
        <w:t xml:space="preserve"> investičné produkty a investičné produkty založené na poistení (PRIIP)</w:t>
      </w:r>
      <w:r>
        <w:rPr>
          <w:rFonts w:ascii="Times New Roman" w:eastAsia="Times New Roman" w:hAnsi="Times New Roman" w:cs="Times New Roman"/>
          <w:color w:val="000000"/>
          <w:lang w:eastAsia="sk-SK"/>
        </w:rPr>
        <w:t xml:space="preserve"> (Ú. v. EÚ L 352, 9.12.2014), gestor:</w:t>
      </w:r>
      <w:r w:rsidR="00423007">
        <w:rPr>
          <w:rFonts w:ascii="Times New Roman" w:eastAsia="Times New Roman" w:hAnsi="Times New Roman" w:cs="Times New Roman"/>
          <w:color w:val="000000"/>
          <w:lang w:eastAsia="sk-SK"/>
        </w:rPr>
        <w:t xml:space="preserve"> MF SR</w:t>
      </w:r>
    </w:p>
    <w:p w:rsidR="008C1D0E" w:rsidRPr="00C82D27" w:rsidRDefault="008C1D0E" w:rsidP="00DC0E61">
      <w:pPr>
        <w:pStyle w:val="Odsekzoznamu"/>
        <w:spacing w:after="0" w:line="240" w:lineRule="auto"/>
        <w:ind w:left="851"/>
        <w:rPr>
          <w:rFonts w:ascii="Times New Roman" w:eastAsia="Times New Roman" w:hAnsi="Times New Roman" w:cs="Times New Roman"/>
          <w:color w:val="000000"/>
          <w:lang w:eastAsia="sk-SK"/>
        </w:rPr>
      </w:pPr>
    </w:p>
    <w:p w:rsidR="008C1D0E" w:rsidRPr="00C82D27" w:rsidRDefault="008C1D0E" w:rsidP="00DC0E61">
      <w:pPr>
        <w:pStyle w:val="Odsekzoznamu"/>
        <w:numPr>
          <w:ilvl w:val="1"/>
          <w:numId w:val="2"/>
        </w:numPr>
        <w:spacing w:after="0" w:line="240" w:lineRule="auto"/>
        <w:ind w:left="851"/>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nariadenia Európskeho parlamentu a Rady (EÚ) 2016/679 z 27. apríla 2016 o  ochrane fyzických osôb pri spracúvaní osobných údajov a o voľnom pohybe takýchto údajov, ktorým sa zrušuje smernica 95/46/ES (všeobecné nariadenie o ochrane údajov) (Ú. v. EÚ L 119, 4.5.2016), gestor: ÚOOÚ SR,</w:t>
      </w:r>
    </w:p>
    <w:p w:rsidR="008C1D0E" w:rsidRPr="00C82D27" w:rsidRDefault="008C1D0E"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Pr="00C82D27" w:rsidRDefault="008C1D0E"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2017/1131 zo 14. júna 2017 o fondoch peňažného trhu (Ú. v. EÚ L 169, 30.6.2017) v platnom znení, gestor: MF SR, NBS,</w:t>
      </w:r>
    </w:p>
    <w:p w:rsidR="008C1D0E" w:rsidRPr="00C82D27" w:rsidRDefault="008C1D0E"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Pr="00C82D27" w:rsidRDefault="008C1D0E" w:rsidP="00DC0E61">
      <w:pPr>
        <w:pStyle w:val="Odsekzoznamu"/>
        <w:numPr>
          <w:ilvl w:val="1"/>
          <w:numId w:val="2"/>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2015/760 z 29. apríla 2015 o európskych dlhodobých investičných fondoch</w:t>
      </w:r>
      <w:r w:rsidRPr="00C82D27">
        <w:t xml:space="preserve"> (</w:t>
      </w:r>
      <w:r w:rsidRPr="00C82D27">
        <w:rPr>
          <w:rFonts w:ascii="Times New Roman" w:eastAsia="Times New Roman" w:hAnsi="Times New Roman" w:cs="Times New Roman"/>
          <w:color w:val="000000"/>
          <w:lang w:eastAsia="sk-SK"/>
        </w:rPr>
        <w:t xml:space="preserve">Ú. v. EÚ L 123, 19.5.2015) v platnom </w:t>
      </w:r>
      <w:r w:rsidR="00F3530D" w:rsidRPr="00C82D27">
        <w:rPr>
          <w:rFonts w:ascii="Times New Roman" w:eastAsia="Times New Roman" w:hAnsi="Times New Roman" w:cs="Times New Roman"/>
          <w:color w:val="000000"/>
          <w:lang w:eastAsia="sk-SK"/>
        </w:rPr>
        <w:t>znení, gestor: MF SR, NBS</w:t>
      </w:r>
      <w:r w:rsidRPr="00C82D27">
        <w:rPr>
          <w:rFonts w:ascii="Times New Roman" w:eastAsia="Times New Roman" w:hAnsi="Times New Roman" w:cs="Times New Roman"/>
          <w:color w:val="000000"/>
          <w:lang w:eastAsia="sk-SK"/>
        </w:rPr>
        <w:t>,</w:t>
      </w:r>
    </w:p>
    <w:p w:rsidR="008C1D0E" w:rsidRPr="00C82D27" w:rsidRDefault="008C1D0E"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Pr="00C82D27" w:rsidRDefault="008C1D0E"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 gestor: MF SR, NBS,</w:t>
      </w:r>
      <w:r w:rsidRPr="00C82D27">
        <w:t xml:space="preserve"> </w:t>
      </w:r>
      <w:r w:rsidRPr="00C82D27">
        <w:rPr>
          <w:rFonts w:ascii="Times New Roman" w:eastAsia="Times New Roman" w:hAnsi="Times New Roman" w:cs="Times New Roman"/>
          <w:color w:val="000000"/>
          <w:lang w:eastAsia="sk-SK"/>
        </w:rPr>
        <w:t>MV SR,</w:t>
      </w:r>
    </w:p>
    <w:p w:rsidR="008C1D0E" w:rsidRPr="00C82D27" w:rsidRDefault="008C1D0E"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Default="008C1D0E"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xml:space="preserve">nariadenie Európskeho parlamentu a Rady (EÚ) 2016/1011 z 8. júna 2016 o indexoch používaných ako referenčné hodnoty vo finančných nástrojoch a finančných zmluvách alebo na meranie výkonnosti investičných fondov, ktorým sa menia smernice 2008/48/ES a </w:t>
      </w:r>
      <w:r w:rsidRPr="00C82D27">
        <w:rPr>
          <w:rFonts w:ascii="Times New Roman" w:eastAsia="Times New Roman" w:hAnsi="Times New Roman" w:cs="Times New Roman"/>
          <w:color w:val="000000"/>
          <w:lang w:eastAsia="sk-SK"/>
        </w:rPr>
        <w:lastRenderedPageBreak/>
        <w:t>2014/17/EÚ a nariadenie (EÚ) č. 596/2014 (</w:t>
      </w:r>
      <w:r w:rsidRPr="00C82D27">
        <w:rPr>
          <w:rStyle w:val="Zvraznenie"/>
          <w:rFonts w:ascii="Times New Roman" w:hAnsi="Times New Roman" w:cs="Times New Roman"/>
          <w:i w:val="0"/>
          <w:color w:val="333333"/>
          <w:shd w:val="clear" w:color="auto" w:fill="FFFFFF"/>
        </w:rPr>
        <w:t>Ú. v. EÚ L 171, 29.6.2016)</w:t>
      </w:r>
      <w:r w:rsidRPr="00C82D27">
        <w:rPr>
          <w:rFonts w:ascii="Times New Roman" w:eastAsia="Times New Roman" w:hAnsi="Times New Roman" w:cs="Times New Roman"/>
          <w:color w:val="000000"/>
          <w:lang w:eastAsia="sk-SK"/>
        </w:rPr>
        <w:t xml:space="preserve"> v platnom znení, gestor: MF SR, NBS</w:t>
      </w:r>
      <w:r w:rsidR="00CD5ED1" w:rsidRPr="00C82D27">
        <w:rPr>
          <w:rFonts w:ascii="Times New Roman" w:eastAsia="Times New Roman" w:hAnsi="Times New Roman" w:cs="Times New Roman"/>
          <w:color w:val="000000"/>
          <w:lang w:eastAsia="sk-SK"/>
        </w:rPr>
        <w:t>,</w:t>
      </w:r>
    </w:p>
    <w:p w:rsidR="009F0C26" w:rsidRDefault="009F0C26" w:rsidP="009F0C26">
      <w:pPr>
        <w:pStyle w:val="Odsekzoznamu"/>
        <w:spacing w:after="0" w:line="240" w:lineRule="auto"/>
        <w:ind w:left="851"/>
        <w:jc w:val="both"/>
        <w:rPr>
          <w:rFonts w:ascii="Times New Roman" w:eastAsia="Times New Roman" w:hAnsi="Times New Roman" w:cs="Times New Roman"/>
          <w:color w:val="000000"/>
          <w:lang w:eastAsia="sk-SK"/>
        </w:rPr>
      </w:pPr>
    </w:p>
    <w:p w:rsidR="009F0C26" w:rsidRDefault="009F0C26"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delegované nariadenie Komisie (EÚ) 2019/979 zo 14. marca 2019, ktorým sa dopĺňa nariadenie </w:t>
      </w:r>
      <w:r w:rsidRPr="00051CF1">
        <w:rPr>
          <w:rFonts w:ascii="Times New Roman" w:eastAsia="Times New Roman" w:hAnsi="Times New Roman" w:cs="Times New Roman"/>
          <w:color w:val="000000"/>
          <w:lang w:eastAsia="sk-SK"/>
        </w:rPr>
        <w:t>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w:t>
      </w:r>
      <w:r>
        <w:rPr>
          <w:rFonts w:ascii="Segoe UI" w:hAnsi="Segoe UI" w:cs="Segoe UI"/>
          <w:b/>
          <w:bCs/>
          <w:color w:val="333333"/>
          <w:sz w:val="21"/>
          <w:szCs w:val="21"/>
          <w:shd w:val="clear" w:color="auto" w:fill="FFFFFF"/>
        </w:rPr>
        <w:t xml:space="preserve"> </w:t>
      </w:r>
      <w:r w:rsidRPr="00051CF1">
        <w:rPr>
          <w:rFonts w:ascii="Times New Roman" w:eastAsia="Times New Roman" w:hAnsi="Times New Roman" w:cs="Times New Roman"/>
          <w:color w:val="000000"/>
          <w:lang w:eastAsia="sk-SK"/>
        </w:rPr>
        <w:t>Komisie (EÚ) č. 382/2014 a delegované nariadenie Komisie (EÚ) 2016/301</w:t>
      </w:r>
      <w:r>
        <w:rPr>
          <w:rFonts w:ascii="Segoe UI" w:hAnsi="Segoe UI" w:cs="Segoe UI"/>
          <w:b/>
          <w:bCs/>
          <w:color w:val="333333"/>
          <w:sz w:val="21"/>
          <w:szCs w:val="21"/>
          <w:shd w:val="clear" w:color="auto" w:fill="FFFFFF"/>
        </w:rPr>
        <w:t xml:space="preserve"> </w:t>
      </w:r>
      <w:r w:rsidRPr="00051CF1">
        <w:rPr>
          <w:rFonts w:ascii="Times New Roman" w:eastAsia="Times New Roman" w:hAnsi="Times New Roman" w:cs="Times New Roman"/>
          <w:color w:val="000000"/>
          <w:lang w:eastAsia="sk-SK"/>
        </w:rPr>
        <w:t>(Ú. v. EÚ L 166, 21.6.2019)</w:t>
      </w:r>
      <w:r>
        <w:rPr>
          <w:rFonts w:ascii="Times New Roman" w:eastAsia="Times New Roman" w:hAnsi="Times New Roman" w:cs="Times New Roman"/>
          <w:color w:val="000000"/>
          <w:lang w:eastAsia="sk-SK"/>
        </w:rPr>
        <w:t>, gestor: MF SR, NBS,</w:t>
      </w:r>
    </w:p>
    <w:p w:rsidR="009F0C26" w:rsidRDefault="009F0C26" w:rsidP="009F0C26">
      <w:pPr>
        <w:pStyle w:val="Odsekzoznamu"/>
        <w:spacing w:after="0" w:line="240" w:lineRule="auto"/>
        <w:ind w:left="851"/>
        <w:jc w:val="both"/>
        <w:rPr>
          <w:rFonts w:ascii="Times New Roman" w:eastAsia="Times New Roman" w:hAnsi="Times New Roman" w:cs="Times New Roman"/>
          <w:color w:val="000000"/>
          <w:lang w:eastAsia="sk-SK"/>
        </w:rPr>
      </w:pPr>
    </w:p>
    <w:p w:rsidR="009F0C26" w:rsidRDefault="009F0C26"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w:t>
      </w:r>
      <w:r w:rsidRPr="00051CF1">
        <w:rPr>
          <w:rFonts w:ascii="Times New Roman" w:eastAsia="Times New Roman" w:hAnsi="Times New Roman" w:cs="Times New Roman"/>
          <w:color w:val="000000"/>
          <w:lang w:eastAsia="sk-SK"/>
        </w:rPr>
        <w:t>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w:t>
      </w:r>
      <w:r>
        <w:rPr>
          <w:rFonts w:ascii="Times New Roman" w:eastAsia="Times New Roman" w:hAnsi="Times New Roman" w:cs="Times New Roman"/>
          <w:color w:val="000000"/>
          <w:lang w:eastAsia="sk-SK"/>
        </w:rPr>
        <w:t xml:space="preserve"> (Ú. v. EÚ L 166, 21.6.2019), gestor: MF SR, NBS,</w:t>
      </w:r>
    </w:p>
    <w:p w:rsidR="00051CF1" w:rsidRDefault="00051CF1" w:rsidP="00051CF1">
      <w:pPr>
        <w:pStyle w:val="Odsekzoznamu"/>
        <w:spacing w:after="0" w:line="240" w:lineRule="auto"/>
        <w:ind w:left="851"/>
        <w:jc w:val="both"/>
        <w:rPr>
          <w:rFonts w:ascii="Times New Roman" w:eastAsia="Times New Roman" w:hAnsi="Times New Roman" w:cs="Times New Roman"/>
          <w:color w:val="000000"/>
          <w:lang w:eastAsia="sk-SK"/>
        </w:rPr>
      </w:pPr>
    </w:p>
    <w:p w:rsidR="00051CF1" w:rsidRPr="00C82D27" w:rsidRDefault="00051CF1"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r w:rsidRPr="00051CF1">
        <w:rPr>
          <w:rFonts w:ascii="Times New Roman" w:eastAsia="Times New Roman" w:hAnsi="Times New Roman" w:cs="Times New Roman"/>
          <w:color w:val="000000"/>
          <w:lang w:eastAsia="sk-SK"/>
        </w:rPr>
        <w:t>ariadenie Európskeho parlamentu a Rady (EÚ) 2019/2088 z 27. novembra 2019 o zverejňovaní informácií o udržateľnosti v sektore finančných služieb</w:t>
      </w:r>
      <w:r>
        <w:rPr>
          <w:rFonts w:ascii="Times New Roman" w:eastAsia="Times New Roman" w:hAnsi="Times New Roman" w:cs="Times New Roman"/>
          <w:color w:val="000000"/>
          <w:lang w:eastAsia="sk-SK"/>
        </w:rPr>
        <w:t xml:space="preserve"> (Ú. v. EÚ L 317, 9.12.2019), gestor: MF SR</w:t>
      </w:r>
      <w:r w:rsidR="00423007">
        <w:rPr>
          <w:rFonts w:ascii="Times New Roman" w:eastAsia="Times New Roman" w:hAnsi="Times New Roman" w:cs="Times New Roman"/>
          <w:color w:val="000000"/>
          <w:lang w:eastAsia="sk-SK"/>
        </w:rPr>
        <w:t>,</w:t>
      </w:r>
    </w:p>
    <w:p w:rsidR="008C1D0E" w:rsidRPr="00C82D27" w:rsidRDefault="008C1D0E" w:rsidP="00DC0E61">
      <w:pPr>
        <w:pStyle w:val="Odsekzoznamu"/>
        <w:spacing w:after="0" w:line="240" w:lineRule="auto"/>
        <w:ind w:left="851"/>
        <w:jc w:val="both"/>
        <w:rPr>
          <w:rFonts w:ascii="Times New Roman" w:eastAsia="Times New Roman" w:hAnsi="Times New Roman" w:cs="Times New Roman"/>
          <w:color w:val="000000"/>
          <w:lang w:eastAsia="sk-SK"/>
        </w:rPr>
      </w:pPr>
    </w:p>
    <w:p w:rsidR="008C1D0E" w:rsidRDefault="008C1D0E"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2020/1503 zo 7. októbra 2020 o európskych poskytovateľoch služieb hromadného financovania pre podnikanie a o zmene nariadenia (EÚ) 2017/1129 a smernice (EÚ) 2019/1937 (Ú. v. EÚ L 347, 20.10.2020), gestor: MF SR, NBS, ÚV SR,</w:t>
      </w:r>
      <w:r w:rsidR="00DC0E61">
        <w:rPr>
          <w:rFonts w:ascii="Times New Roman" w:eastAsia="Times New Roman" w:hAnsi="Times New Roman" w:cs="Times New Roman"/>
          <w:color w:val="000000"/>
          <w:lang w:eastAsia="sk-SK"/>
        </w:rPr>
        <w:t xml:space="preserve"> </w:t>
      </w:r>
      <w:r w:rsidR="00DC0E61" w:rsidRPr="00C82D27">
        <w:rPr>
          <w:rFonts w:ascii="Times New Roman" w:eastAsia="Times New Roman" w:hAnsi="Times New Roman" w:cs="Times New Roman"/>
          <w:color w:val="000000"/>
          <w:lang w:eastAsia="sk-SK"/>
        </w:rPr>
        <w:t>gestor: MF SR, NBS,</w:t>
      </w:r>
    </w:p>
    <w:p w:rsidR="009F0C26" w:rsidRDefault="009F0C26" w:rsidP="009F0C26">
      <w:pPr>
        <w:pStyle w:val="Odsekzoznamu"/>
        <w:spacing w:after="0" w:line="240" w:lineRule="auto"/>
        <w:ind w:left="851"/>
        <w:jc w:val="both"/>
        <w:rPr>
          <w:rFonts w:ascii="Times New Roman" w:eastAsia="Times New Roman" w:hAnsi="Times New Roman" w:cs="Times New Roman"/>
          <w:color w:val="000000"/>
          <w:lang w:eastAsia="sk-SK"/>
        </w:rPr>
      </w:pPr>
    </w:p>
    <w:p w:rsidR="009F0C26" w:rsidRPr="009F0C26" w:rsidRDefault="009F0C26" w:rsidP="009F0C26">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w:t>
      </w:r>
      <w:r w:rsidRPr="00051CF1">
        <w:rPr>
          <w:rFonts w:ascii="Times New Roman" w:eastAsia="Times New Roman" w:hAnsi="Times New Roman" w:cs="Times New Roman"/>
          <w:color w:val="000000"/>
          <w:lang w:eastAsia="sk-SK"/>
        </w:rPr>
        <w:t>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w:t>
      </w:r>
      <w:r>
        <w:rPr>
          <w:rFonts w:ascii="Times New Roman" w:eastAsia="Times New Roman" w:hAnsi="Times New Roman" w:cs="Times New Roman"/>
          <w:color w:val="000000"/>
          <w:lang w:eastAsia="sk-SK"/>
        </w:rPr>
        <w:t xml:space="preserve"> (Ú v. EÚ L 203, 9.6.2021), gestor: MF SR, NBS,</w:t>
      </w:r>
    </w:p>
    <w:p w:rsidR="008C1D0E" w:rsidRPr="00C82D27" w:rsidRDefault="008C1D0E" w:rsidP="00DC0E61">
      <w:pPr>
        <w:pStyle w:val="Odsekzoznamu"/>
        <w:spacing w:after="0" w:line="240" w:lineRule="auto"/>
        <w:ind w:left="851"/>
        <w:rPr>
          <w:rFonts w:ascii="Times New Roman" w:eastAsia="Times New Roman" w:hAnsi="Times New Roman" w:cs="Times New Roman"/>
          <w:color w:val="000000"/>
          <w:lang w:eastAsia="sk-SK"/>
        </w:rPr>
      </w:pPr>
    </w:p>
    <w:p w:rsidR="008C1D0E" w:rsidRPr="00C82D27" w:rsidRDefault="008C1D0E"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nariadenie Európskeho parlamentu a Rady (EÚ) 2022/2554 zo 14. decembra 2022 o digitálnej prevádzkovej odolnosti finančného sektora a o zmene nariadení (ES) č. 1060/2009, (EÚ) č. 648/2012, (EÚ) č. 600/2014, (EÚ) č. 909/2014 a (EÚ) 2016/2011 (Ú. v. EÚ L 333, 27.12.2022), gestor: MF SR, NBS,</w:t>
      </w:r>
    </w:p>
    <w:p w:rsidR="008C1D0E" w:rsidRPr="00C82D27" w:rsidRDefault="008C1D0E" w:rsidP="00DC0E61">
      <w:pPr>
        <w:spacing w:after="0" w:line="240" w:lineRule="auto"/>
        <w:ind w:left="851"/>
        <w:jc w:val="both"/>
      </w:pPr>
    </w:p>
    <w:p w:rsidR="00DC0E61" w:rsidRDefault="008C1D0E" w:rsidP="00DC0E61">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DC0E61">
        <w:rPr>
          <w:rFonts w:ascii="Times New Roman" w:eastAsia="Times New Roman" w:hAnsi="Times New Roman" w:cs="Times New Roman"/>
          <w:color w:val="000000"/>
          <w:lang w:eastAsia="sk-SK"/>
        </w:rPr>
        <w:t xml:space="preserve">nariadenie Európskeho parlamentu a Rady (EÚ) 2023/1114 z 31. mája 2023 o trhoch s </w:t>
      </w:r>
      <w:proofErr w:type="spellStart"/>
      <w:r w:rsidRPr="00DC0E61">
        <w:rPr>
          <w:rFonts w:ascii="Times New Roman" w:eastAsia="Times New Roman" w:hAnsi="Times New Roman" w:cs="Times New Roman"/>
          <w:color w:val="000000"/>
          <w:lang w:eastAsia="sk-SK"/>
        </w:rPr>
        <w:t>kryptoaktívami</w:t>
      </w:r>
      <w:proofErr w:type="spellEnd"/>
      <w:r w:rsidRPr="00DC0E61">
        <w:rPr>
          <w:rFonts w:ascii="Times New Roman" w:eastAsia="Times New Roman" w:hAnsi="Times New Roman" w:cs="Times New Roman"/>
          <w:color w:val="000000"/>
          <w:lang w:eastAsia="sk-SK"/>
        </w:rPr>
        <w:t xml:space="preserve"> a o zmene nariadení (EÚ) č. 1093/2010 a (EÚ) č. 1095/2010 a smerníc 2013/36/EÚ a (EÚ) 2019/1937 (Ú. v. EÚ L 150, 9.6.2023)</w:t>
      </w:r>
      <w:r w:rsidR="00DC0E61">
        <w:rPr>
          <w:rFonts w:ascii="Times New Roman" w:eastAsia="Times New Roman" w:hAnsi="Times New Roman" w:cs="Times New Roman"/>
          <w:color w:val="000000"/>
          <w:lang w:eastAsia="sk-SK"/>
        </w:rPr>
        <w:t xml:space="preserve"> v platnom znení</w:t>
      </w:r>
      <w:r w:rsidR="00423007">
        <w:rPr>
          <w:rFonts w:ascii="Times New Roman" w:eastAsia="Times New Roman" w:hAnsi="Times New Roman" w:cs="Times New Roman"/>
          <w:color w:val="000000"/>
          <w:lang w:eastAsia="sk-SK"/>
        </w:rPr>
        <w:t>, gestor : MF SR, NBS,</w:t>
      </w:r>
    </w:p>
    <w:p w:rsidR="00DC0E61" w:rsidRDefault="00DC0E61" w:rsidP="00DC0E61">
      <w:pPr>
        <w:pStyle w:val="Odsekzoznamu"/>
        <w:spacing w:after="0" w:line="240" w:lineRule="auto"/>
        <w:ind w:left="851"/>
        <w:jc w:val="both"/>
        <w:rPr>
          <w:rFonts w:ascii="Times New Roman" w:eastAsia="Times New Roman" w:hAnsi="Times New Roman" w:cs="Times New Roman"/>
          <w:color w:val="000000"/>
          <w:lang w:eastAsia="sk-SK"/>
        </w:rPr>
      </w:pPr>
    </w:p>
    <w:p w:rsidR="00051CF1" w:rsidRDefault="00921A29" w:rsidP="00961AC0">
      <w:pPr>
        <w:pStyle w:val="Odsekzoznamu"/>
        <w:numPr>
          <w:ilvl w:val="0"/>
          <w:numId w:val="16"/>
        </w:numPr>
        <w:spacing w:after="0" w:line="240" w:lineRule="auto"/>
        <w:ind w:left="851"/>
        <w:jc w:val="both"/>
        <w:rPr>
          <w:rFonts w:ascii="Times New Roman" w:eastAsia="Times New Roman" w:hAnsi="Times New Roman" w:cs="Times New Roman"/>
          <w:color w:val="000000"/>
          <w:lang w:eastAsia="sk-SK"/>
        </w:rPr>
      </w:pPr>
      <w:r w:rsidRPr="00051CF1">
        <w:rPr>
          <w:rFonts w:ascii="Times New Roman" w:eastAsia="Times New Roman" w:hAnsi="Times New Roman" w:cs="Times New Roman"/>
          <w:color w:val="000000" w:themeColor="text1"/>
          <w:lang w:eastAsia="sk-SK"/>
        </w:rPr>
        <w:t>nariadenie Európskeho parlamentu a Rady (EÚ) 2024/886 z 13. marca</w:t>
      </w:r>
      <w:r w:rsidR="009C3568" w:rsidRPr="00051CF1">
        <w:rPr>
          <w:rFonts w:ascii="Times New Roman" w:eastAsia="Times New Roman" w:hAnsi="Times New Roman" w:cs="Times New Roman"/>
          <w:color w:val="000000" w:themeColor="text1"/>
          <w:lang w:eastAsia="sk-SK"/>
        </w:rPr>
        <w:t xml:space="preserve"> 2024</w:t>
      </w:r>
      <w:r w:rsidRPr="00051CF1">
        <w:rPr>
          <w:rFonts w:ascii="Times New Roman" w:eastAsia="Times New Roman" w:hAnsi="Times New Roman" w:cs="Times New Roman"/>
          <w:color w:val="000000" w:themeColor="text1"/>
          <w:lang w:eastAsia="sk-SK"/>
        </w:rPr>
        <w:t>, ktorým sa menia nariadenia (EÚ) č. 260/2012 a (EÚ) 2021/1230 a smernice 98/26/ES a (EÚ) 2015/2366, pokiaľ ide o okamžité úhrady v eurách (Ú. v. EÚ L, 2024/886, 19.3.2024)</w:t>
      </w:r>
      <w:r w:rsidR="00DC0E61" w:rsidRPr="00051CF1">
        <w:rPr>
          <w:rFonts w:ascii="Times New Roman" w:eastAsia="Times New Roman" w:hAnsi="Times New Roman" w:cs="Times New Roman"/>
          <w:color w:val="000000" w:themeColor="text1"/>
          <w:lang w:eastAsia="sk-SK"/>
        </w:rPr>
        <w:t xml:space="preserve">, </w:t>
      </w:r>
      <w:r w:rsidR="00DC0E61" w:rsidRPr="00051CF1">
        <w:rPr>
          <w:rFonts w:ascii="Times New Roman" w:eastAsia="Times New Roman" w:hAnsi="Times New Roman" w:cs="Times New Roman"/>
          <w:color w:val="000000"/>
          <w:lang w:eastAsia="sk-SK"/>
        </w:rPr>
        <w:t>gestor:</w:t>
      </w:r>
      <w:r w:rsidR="00423007">
        <w:rPr>
          <w:rFonts w:ascii="Times New Roman" w:eastAsia="Times New Roman" w:hAnsi="Times New Roman" w:cs="Times New Roman"/>
          <w:color w:val="000000"/>
          <w:lang w:eastAsia="sk-SK"/>
        </w:rPr>
        <w:t xml:space="preserve"> MF SR, NBS,</w:t>
      </w:r>
      <w:r w:rsidR="00DC0E61" w:rsidRPr="00051CF1">
        <w:rPr>
          <w:rFonts w:ascii="Times New Roman" w:eastAsia="Times New Roman" w:hAnsi="Times New Roman" w:cs="Times New Roman"/>
          <w:color w:val="000000"/>
          <w:lang w:eastAsia="sk-SK"/>
        </w:rPr>
        <w:t xml:space="preserve"> </w:t>
      </w:r>
    </w:p>
    <w:p w:rsidR="00921A29" w:rsidRPr="009F0C26" w:rsidRDefault="00921A29" w:rsidP="009F0C26">
      <w:pPr>
        <w:spacing w:after="0" w:line="240" w:lineRule="auto"/>
        <w:jc w:val="both"/>
        <w:rPr>
          <w:rFonts w:ascii="Times New Roman" w:eastAsia="Times New Roman" w:hAnsi="Times New Roman" w:cs="Times New Roman"/>
          <w:color w:val="000000"/>
          <w:lang w:eastAsia="sk-SK"/>
        </w:rPr>
      </w:pPr>
      <w:bookmarkStart w:id="0" w:name="_GoBack"/>
      <w:bookmarkEnd w:id="0"/>
    </w:p>
    <w:p w:rsidR="00E56DCA" w:rsidRPr="00C82D27" w:rsidRDefault="00E56DCA" w:rsidP="00E56DCA">
      <w:pPr>
        <w:pStyle w:val="Odsekzoznamu"/>
        <w:rPr>
          <w:rFonts w:ascii="Times New Roman" w:eastAsia="Times New Roman" w:hAnsi="Times New Roman" w:cs="Times New Roman"/>
          <w:lang w:eastAsia="sk-SK"/>
        </w:rPr>
      </w:pPr>
    </w:p>
    <w:p w:rsidR="008545C6" w:rsidRPr="00C82D27" w:rsidRDefault="008545C6" w:rsidP="008545C6">
      <w:pPr>
        <w:pStyle w:val="Odsekzoznamu"/>
        <w:numPr>
          <w:ilvl w:val="0"/>
          <w:numId w:val="2"/>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judikatúre Súdneho dvora Európskej únie</w:t>
      </w:r>
    </w:p>
    <w:p w:rsidR="005E418D" w:rsidRPr="00C82D27" w:rsidRDefault="005E418D" w:rsidP="005E418D">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 xml:space="preserve">452/04, </w:t>
      </w:r>
      <w:proofErr w:type="spellStart"/>
      <w:r w:rsidRPr="00C82D27">
        <w:rPr>
          <w:rFonts w:ascii="Times New Roman" w:eastAsia="Times New Roman" w:hAnsi="Times New Roman" w:cs="Times New Roman"/>
          <w:color w:val="000000"/>
          <w:lang w:eastAsia="sk-SK"/>
        </w:rPr>
        <w:t>Fidium</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Finanz</w:t>
      </w:r>
      <w:proofErr w:type="spellEnd"/>
      <w:r w:rsidRPr="00C82D27">
        <w:rPr>
          <w:rFonts w:ascii="Times New Roman" w:eastAsia="Times New Roman" w:hAnsi="Times New Roman" w:cs="Times New Roman"/>
          <w:color w:val="000000"/>
          <w:lang w:eastAsia="sk-SK"/>
        </w:rPr>
        <w:t xml:space="preserve"> AG proti </w:t>
      </w:r>
      <w:proofErr w:type="spellStart"/>
      <w:r w:rsidRPr="00C82D27">
        <w:rPr>
          <w:rFonts w:ascii="Times New Roman" w:eastAsia="Times New Roman" w:hAnsi="Times New Roman" w:cs="Times New Roman"/>
          <w:color w:val="000000"/>
          <w:lang w:eastAsia="sk-SK"/>
        </w:rPr>
        <w:t>Bundesanstalt</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für</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Finanzdienstleistungsaufsicht</w:t>
      </w:r>
      <w:proofErr w:type="spellEnd"/>
      <w:r w:rsidRPr="00C82D27">
        <w:rPr>
          <w:rFonts w:ascii="Times New Roman" w:eastAsia="Times New Roman" w:hAnsi="Times New Roman" w:cs="Times New Roman"/>
          <w:color w:val="000000"/>
          <w:lang w:eastAsia="sk-SK"/>
        </w:rPr>
        <w:t>, [2006],</w:t>
      </w:r>
    </w:p>
    <w:p w:rsidR="005E418D" w:rsidRPr="00C82D27" w:rsidRDefault="005E418D" w:rsidP="005E418D">
      <w:pPr>
        <w:pStyle w:val="Odsekzoznamu"/>
        <w:ind w:left="1068"/>
        <w:jc w:val="both"/>
        <w:rPr>
          <w:rFonts w:ascii="Times New Roman" w:eastAsia="Times New Roman" w:hAnsi="Times New Roman" w:cs="Times New Roman"/>
          <w:color w:val="000000"/>
          <w:lang w:eastAsia="sk-SK"/>
        </w:rPr>
      </w:pPr>
    </w:p>
    <w:p w:rsidR="005E418D" w:rsidRPr="00C82D27" w:rsidRDefault="005E418D" w:rsidP="005E418D">
      <w:pPr>
        <w:keepNext/>
        <w:ind w:left="1134"/>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b/>
          <w:color w:val="000000"/>
          <w:lang w:eastAsia="sk-SK"/>
        </w:rPr>
        <w:lastRenderedPageBreak/>
        <w:t>Výrok rozhodnutia:</w:t>
      </w:r>
      <w:r w:rsidRPr="00C82D27">
        <w:rPr>
          <w:rFonts w:ascii="Times New Roman" w:eastAsia="Times New Roman" w:hAnsi="Times New Roman" w:cs="Times New Roman"/>
          <w:color w:val="000000"/>
          <w:lang w:eastAsia="sk-SK"/>
        </w:rPr>
        <w:t xml:space="preserve"> </w:t>
      </w:r>
    </w:p>
    <w:p w:rsidR="005E418D" w:rsidRPr="00C82D27" w:rsidRDefault="005E418D" w:rsidP="005E418D">
      <w:pPr>
        <w:ind w:left="1134"/>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C82D27">
        <w:rPr>
          <w:rFonts w:ascii="Times New Roman" w:eastAsia="Times New Roman" w:hAnsi="Times New Roman" w:cs="Times New Roman"/>
          <w:color w:val="000000"/>
          <w:lang w:eastAsia="sk-SK"/>
        </w:rPr>
        <w:t>nasl</w:t>
      </w:r>
      <w:proofErr w:type="spellEnd"/>
      <w:r w:rsidRPr="00C82D27">
        <w:rPr>
          <w:rFonts w:ascii="Times New Roman" w:eastAsia="Times New Roman" w:hAnsi="Times New Roman" w:cs="Times New Roman"/>
          <w:color w:val="000000"/>
          <w:lang w:eastAsia="sk-SK"/>
        </w:rPr>
        <w:t>. ES. Spoločnosť usadená v treťom štáte sa nemôže odvolávať na tieto ustanovenia.  </w:t>
      </w:r>
    </w:p>
    <w:p w:rsidR="005E418D" w:rsidRPr="00C82D27" w:rsidRDefault="005E418D" w:rsidP="005E418D">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52/17, VTB Bank (</w:t>
      </w:r>
      <w:proofErr w:type="spellStart"/>
      <w:r w:rsidRPr="00C82D27">
        <w:rPr>
          <w:rFonts w:ascii="Times New Roman" w:eastAsia="Times New Roman" w:hAnsi="Times New Roman" w:cs="Times New Roman"/>
          <w:color w:val="000000"/>
          <w:lang w:eastAsia="sk-SK"/>
        </w:rPr>
        <w:t>Austria</w:t>
      </w:r>
      <w:proofErr w:type="spellEnd"/>
      <w:r w:rsidRPr="00C82D27">
        <w:rPr>
          <w:rFonts w:ascii="Times New Roman" w:eastAsia="Times New Roman" w:hAnsi="Times New Roman" w:cs="Times New Roman"/>
          <w:color w:val="000000"/>
          <w:lang w:eastAsia="sk-SK"/>
        </w:rPr>
        <w:t xml:space="preserve">) AG proti </w:t>
      </w:r>
      <w:proofErr w:type="spellStart"/>
      <w:r w:rsidRPr="00C82D27">
        <w:rPr>
          <w:rFonts w:ascii="Times New Roman" w:eastAsia="Times New Roman" w:hAnsi="Times New Roman" w:cs="Times New Roman"/>
          <w:color w:val="000000"/>
          <w:lang w:eastAsia="sk-SK"/>
        </w:rPr>
        <w:t>Finanzmarktaufsichtsbehörde</w:t>
      </w:r>
      <w:proofErr w:type="spellEnd"/>
      <w:r w:rsidRPr="00C82D27">
        <w:rPr>
          <w:rFonts w:ascii="Times New Roman" w:eastAsia="Times New Roman" w:hAnsi="Times New Roman" w:cs="Times New Roman"/>
          <w:color w:val="000000"/>
          <w:lang w:eastAsia="sk-SK"/>
        </w:rPr>
        <w:t>, [2018].</w:t>
      </w:r>
    </w:p>
    <w:p w:rsidR="005E418D" w:rsidRPr="00C82D27" w:rsidRDefault="005E418D" w:rsidP="005E418D">
      <w:pPr>
        <w:ind w:left="708"/>
        <w:jc w:val="both"/>
        <w:rPr>
          <w:rFonts w:ascii="Times New Roman" w:eastAsia="Times New Roman" w:hAnsi="Times New Roman" w:cs="Times New Roman"/>
          <w:color w:val="000000"/>
          <w:lang w:eastAsia="sk-SK"/>
        </w:rPr>
      </w:pPr>
    </w:p>
    <w:p w:rsidR="005E418D" w:rsidRPr="00C82D27" w:rsidRDefault="005E418D" w:rsidP="005E418D">
      <w:pPr>
        <w:keepNext/>
        <w:ind w:left="1134"/>
        <w:jc w:val="both"/>
        <w:rPr>
          <w:rFonts w:ascii="Times New Roman" w:eastAsia="Times New Roman" w:hAnsi="Times New Roman" w:cs="Times New Roman"/>
          <w:b/>
          <w:color w:val="000000"/>
          <w:lang w:eastAsia="sk-SK"/>
        </w:rPr>
      </w:pPr>
      <w:r w:rsidRPr="00C82D27">
        <w:rPr>
          <w:rFonts w:ascii="Times New Roman" w:eastAsia="Times New Roman" w:hAnsi="Times New Roman" w:cs="Times New Roman"/>
          <w:b/>
          <w:color w:val="000000"/>
          <w:lang w:eastAsia="sk-SK"/>
        </w:rPr>
        <w:t xml:space="preserve">Výrok rozhodnutia: </w:t>
      </w:r>
    </w:p>
    <w:p w:rsidR="005E418D" w:rsidRPr="00C82D27" w:rsidRDefault="003F56B8" w:rsidP="005E418D">
      <w:pPr>
        <w:pStyle w:val="gmail-c08dispositif"/>
        <w:keepNext/>
        <w:spacing w:before="0" w:beforeAutospacing="0" w:after="0" w:afterAutospacing="0"/>
        <w:ind w:left="1134"/>
        <w:jc w:val="both"/>
        <w:rPr>
          <w:rFonts w:eastAsia="Times New Roman"/>
          <w:color w:val="000000"/>
          <w:sz w:val="22"/>
          <w:szCs w:val="22"/>
        </w:rPr>
      </w:pPr>
      <w:r w:rsidRPr="00C82D27">
        <w:rPr>
          <w:rFonts w:eastAsia="Times New Roman"/>
          <w:color w:val="000000"/>
          <w:sz w:val="22"/>
          <w:szCs w:val="22"/>
        </w:rPr>
        <w:t xml:space="preserve">1. Článok 64 </w:t>
      </w:r>
      <w:r w:rsidR="005E418D" w:rsidRPr="00C82D27">
        <w:rPr>
          <w:rFonts w:eastAsia="Times New Roman"/>
          <w:color w:val="000000"/>
          <w:sz w:val="22"/>
          <w:szCs w:val="22"/>
        </w:rPr>
        <w:t>a článok 65 ods. 1 smernice Európskeho parlamentu a Rady </w:t>
      </w:r>
      <w:bookmarkStart w:id="1" w:name="ctx23"/>
      <w:r w:rsidR="005E418D" w:rsidRPr="00C82D27">
        <w:rPr>
          <w:rFonts w:eastAsia="Times New Roman"/>
          <w:color w:val="000000"/>
          <w:sz w:val="22"/>
          <w:szCs w:val="22"/>
        </w:rPr>
        <w:t>2013/36</w:t>
      </w:r>
      <w:bookmarkEnd w:id="1"/>
      <w:r w:rsidR="005E418D" w:rsidRPr="00C82D27">
        <w:rPr>
          <w:rFonts w:eastAsia="Times New Roman"/>
          <w:color w:val="000000"/>
          <w:sz w:val="22"/>
          <w:szCs w:val="22"/>
        </w:rPr>
        <w:t>/EÚ z 26. júna 2013 o prístupe k činnosti úverových inštitúcií a </w:t>
      </w:r>
      <w:proofErr w:type="spellStart"/>
      <w:r w:rsidR="005E418D" w:rsidRPr="00C82D27">
        <w:rPr>
          <w:rFonts w:eastAsia="Times New Roman"/>
          <w:color w:val="000000"/>
          <w:sz w:val="22"/>
          <w:szCs w:val="22"/>
        </w:rPr>
        <w:t>prudenciálnom</w:t>
      </w:r>
      <w:proofErr w:type="spellEnd"/>
      <w:r w:rsidR="005E418D" w:rsidRPr="00C82D27">
        <w:rPr>
          <w:rFonts w:eastAsia="Times New Roman"/>
          <w:color w:val="000000"/>
          <w:sz w:val="22"/>
          <w:szCs w:val="22"/>
        </w:rPr>
        <w:t xml:space="preserve"> dohľade nad úverovými inštitúciami a investičnými spoločnosťami, o zmene smernice 2002/87/ES a o zrušení smerníc 2006/48/ES a 2006/49/ES, ako aj článok 395 ods. 1 a 5 nariadenia Európskeho parlamentu a Rady (EÚ) č. 575/2013 z 26. júna 2013 o </w:t>
      </w:r>
      <w:proofErr w:type="spellStart"/>
      <w:r w:rsidR="005E418D" w:rsidRPr="00C82D27">
        <w:rPr>
          <w:rFonts w:eastAsia="Times New Roman"/>
          <w:color w:val="000000"/>
          <w:sz w:val="22"/>
          <w:szCs w:val="22"/>
        </w:rPr>
        <w:t>prudenciálnych</w:t>
      </w:r>
      <w:proofErr w:type="spellEnd"/>
      <w:r w:rsidR="005E418D" w:rsidRPr="00C82D27">
        <w:rPr>
          <w:rFonts w:eastAsia="Times New Roman"/>
          <w:color w:val="000000"/>
          <w:sz w:val="22"/>
          <w:szCs w:val="22"/>
        </w:rPr>
        <w:t xml:space="preserve">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rsidR="005E418D" w:rsidRPr="00C82D27" w:rsidRDefault="005E418D" w:rsidP="005E418D">
      <w:pPr>
        <w:pStyle w:val="gmail-c08dispositif"/>
        <w:spacing w:before="0" w:beforeAutospacing="0" w:after="0" w:afterAutospacing="0"/>
        <w:ind w:left="1134"/>
        <w:jc w:val="both"/>
        <w:rPr>
          <w:rFonts w:eastAsia="Times New Roman"/>
          <w:color w:val="000000"/>
          <w:sz w:val="22"/>
          <w:szCs w:val="22"/>
        </w:rPr>
      </w:pPr>
    </w:p>
    <w:p w:rsidR="005E418D" w:rsidRPr="00C82D27" w:rsidRDefault="005E418D" w:rsidP="005E418D">
      <w:pPr>
        <w:pStyle w:val="gmail-c02alineaalta"/>
        <w:spacing w:before="0" w:beforeAutospacing="0" w:after="0" w:afterAutospacing="0"/>
        <w:ind w:left="1134"/>
        <w:jc w:val="both"/>
        <w:rPr>
          <w:rFonts w:eastAsia="Times New Roman"/>
          <w:color w:val="000000"/>
          <w:sz w:val="22"/>
          <w:szCs w:val="22"/>
        </w:rPr>
      </w:pPr>
      <w:r w:rsidRPr="00C82D27">
        <w:rPr>
          <w:rFonts w:eastAsia="Times New Roman"/>
          <w:color w:val="000000"/>
          <w:sz w:val="22"/>
          <w:szCs w:val="22"/>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rsidR="005E418D" w:rsidRPr="00C82D27" w:rsidRDefault="005E418D" w:rsidP="005E418D">
      <w:pPr>
        <w:pStyle w:val="gmail-c02alineaalta"/>
        <w:spacing w:before="0" w:beforeAutospacing="0" w:after="0" w:afterAutospacing="0"/>
        <w:ind w:left="1134"/>
        <w:jc w:val="both"/>
        <w:rPr>
          <w:rFonts w:eastAsia="Times New Roman"/>
          <w:color w:val="000000"/>
          <w:sz w:val="22"/>
          <w:szCs w:val="22"/>
        </w:rPr>
      </w:pPr>
    </w:p>
    <w:p w:rsidR="005E418D" w:rsidRPr="00C82D27" w:rsidRDefault="005E418D" w:rsidP="005E418D">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 xml:space="preserve">594/16, </w:t>
      </w:r>
      <w:proofErr w:type="spellStart"/>
      <w:r w:rsidRPr="00C82D27">
        <w:rPr>
          <w:rFonts w:ascii="Times New Roman" w:eastAsia="Times New Roman" w:hAnsi="Times New Roman" w:cs="Times New Roman"/>
          <w:color w:val="000000"/>
          <w:lang w:eastAsia="sk-SK"/>
        </w:rPr>
        <w:t>Enzo</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Buccioni</w:t>
      </w:r>
      <w:proofErr w:type="spellEnd"/>
      <w:r w:rsidRPr="00C82D27">
        <w:rPr>
          <w:rFonts w:ascii="Times New Roman" w:eastAsia="Times New Roman" w:hAnsi="Times New Roman" w:cs="Times New Roman"/>
          <w:color w:val="000000"/>
          <w:lang w:eastAsia="sk-SK"/>
        </w:rPr>
        <w:t xml:space="preserve"> proti </w:t>
      </w:r>
      <w:proofErr w:type="spellStart"/>
      <w:r w:rsidRPr="00C82D27">
        <w:rPr>
          <w:rFonts w:ascii="Times New Roman" w:eastAsia="Times New Roman" w:hAnsi="Times New Roman" w:cs="Times New Roman"/>
          <w:color w:val="000000"/>
          <w:lang w:eastAsia="sk-SK"/>
        </w:rPr>
        <w:t>Banca</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d’Italia</w:t>
      </w:r>
      <w:proofErr w:type="spellEnd"/>
      <w:r w:rsidRPr="00C82D27">
        <w:rPr>
          <w:rFonts w:ascii="Times New Roman" w:eastAsia="Times New Roman" w:hAnsi="Times New Roman" w:cs="Times New Roman"/>
          <w:color w:val="000000"/>
          <w:lang w:eastAsia="sk-SK"/>
        </w:rPr>
        <w:t xml:space="preserve"> za účasti </w:t>
      </w:r>
      <w:proofErr w:type="spellStart"/>
      <w:r w:rsidRPr="00C82D27">
        <w:rPr>
          <w:rFonts w:ascii="Times New Roman" w:eastAsia="Times New Roman" w:hAnsi="Times New Roman" w:cs="Times New Roman"/>
          <w:color w:val="000000"/>
          <w:lang w:eastAsia="sk-SK"/>
        </w:rPr>
        <w:t>Banca</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Network</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Investimenti</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SpA</w:t>
      </w:r>
      <w:proofErr w:type="spellEnd"/>
      <w:r w:rsidRPr="00C82D27">
        <w:rPr>
          <w:rFonts w:ascii="Times New Roman" w:eastAsia="Times New Roman" w:hAnsi="Times New Roman" w:cs="Times New Roman"/>
          <w:color w:val="000000"/>
          <w:lang w:eastAsia="sk-SK"/>
        </w:rPr>
        <w:t>, [2018].</w:t>
      </w:r>
    </w:p>
    <w:p w:rsidR="005E418D" w:rsidRPr="00C82D27" w:rsidRDefault="005E418D" w:rsidP="005E418D">
      <w:pPr>
        <w:jc w:val="both"/>
        <w:rPr>
          <w:rFonts w:ascii="Times New Roman" w:eastAsia="Times New Roman" w:hAnsi="Times New Roman" w:cs="Times New Roman"/>
          <w:color w:val="000000"/>
          <w:lang w:eastAsia="sk-SK"/>
        </w:rPr>
      </w:pPr>
    </w:p>
    <w:p w:rsidR="005E418D" w:rsidRPr="00C82D27" w:rsidRDefault="005E418D" w:rsidP="005E418D">
      <w:pPr>
        <w:ind w:left="1134"/>
        <w:jc w:val="both"/>
        <w:rPr>
          <w:rFonts w:ascii="Times New Roman" w:eastAsia="Times New Roman" w:hAnsi="Times New Roman" w:cs="Times New Roman"/>
          <w:b/>
          <w:color w:val="000000"/>
          <w:lang w:eastAsia="sk-SK"/>
        </w:rPr>
      </w:pPr>
      <w:r w:rsidRPr="00C82D27">
        <w:rPr>
          <w:rFonts w:ascii="Times New Roman" w:eastAsia="Times New Roman" w:hAnsi="Times New Roman" w:cs="Times New Roman"/>
          <w:b/>
          <w:color w:val="000000"/>
          <w:lang w:eastAsia="sk-SK"/>
        </w:rPr>
        <w:t xml:space="preserve">Výrok rozhodnutia: </w:t>
      </w:r>
    </w:p>
    <w:p w:rsidR="005E418D" w:rsidRPr="00C82D27" w:rsidRDefault="005E418D" w:rsidP="005E418D">
      <w:pPr>
        <w:ind w:left="1134"/>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Článok 53 ods. 1 smernice Európskeho parlamentu a Rady </w:t>
      </w:r>
      <w:bookmarkStart w:id="2" w:name="ctx21"/>
      <w:r w:rsidRPr="00C82D27">
        <w:rPr>
          <w:rFonts w:ascii="Times New Roman" w:eastAsia="Times New Roman" w:hAnsi="Times New Roman" w:cs="Times New Roman"/>
          <w:color w:val="000000"/>
          <w:lang w:eastAsia="sk-SK"/>
        </w:rPr>
        <w:t>2013/36</w:t>
      </w:r>
      <w:bookmarkEnd w:id="2"/>
      <w:r w:rsidRPr="00C82D27">
        <w:rPr>
          <w:rFonts w:ascii="Times New Roman" w:eastAsia="Times New Roman" w:hAnsi="Times New Roman" w:cs="Times New Roman"/>
          <w:color w:val="000000"/>
          <w:lang w:eastAsia="sk-SK"/>
        </w:rPr>
        <w:t>/EÚ z 26. júna 2013 o prístupe k činnosti úverových inštitúcií a </w:t>
      </w:r>
      <w:proofErr w:type="spellStart"/>
      <w:r w:rsidRPr="00C82D27">
        <w:rPr>
          <w:rFonts w:ascii="Times New Roman" w:eastAsia="Times New Roman" w:hAnsi="Times New Roman" w:cs="Times New Roman"/>
          <w:color w:val="000000"/>
          <w:lang w:eastAsia="sk-SK"/>
        </w:rPr>
        <w:t>prudenciálnom</w:t>
      </w:r>
      <w:proofErr w:type="spellEnd"/>
      <w:r w:rsidRPr="00C82D27">
        <w:rPr>
          <w:rFonts w:ascii="Times New Roman" w:eastAsia="Times New Roman" w:hAnsi="Times New Roman" w:cs="Times New Roman"/>
          <w:color w:val="000000"/>
          <w:lang w:eastAsia="sk-SK"/>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C82D27">
        <w:rPr>
          <w:rFonts w:ascii="Times New Roman" w:eastAsia="Times New Roman" w:hAnsi="Times New Roman" w:cs="Times New Roman"/>
          <w:color w:val="000000"/>
          <w:lang w:eastAsia="sk-SK"/>
        </w:rPr>
        <w:t>ne</w:t>
      </w:r>
      <w:proofErr w:type="spellEnd"/>
      <w:r w:rsidRPr="00C82D27">
        <w:rPr>
          <w:rFonts w:ascii="Times New Roman" w:eastAsia="Times New Roman" w:hAnsi="Times New Roman" w:cs="Times New Roman"/>
          <w:color w:val="000000"/>
          <w:lang w:eastAsia="sk-SK"/>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w:t>
      </w:r>
      <w:r w:rsidRPr="00C82D27">
        <w:rPr>
          <w:rFonts w:ascii="Times New Roman" w:eastAsia="Times New Roman" w:hAnsi="Times New Roman" w:cs="Times New Roman"/>
          <w:color w:val="000000"/>
          <w:lang w:eastAsia="sk-SK"/>
        </w:rPr>
        <w:lastRenderedPageBreak/>
        <w:t>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p>
    <w:p w:rsidR="00703A5A" w:rsidRPr="00C82D27" w:rsidRDefault="00703A5A" w:rsidP="00703A5A">
      <w:pPr>
        <w:spacing w:after="0" w:line="240" w:lineRule="auto"/>
        <w:rPr>
          <w:rFonts w:ascii="Times New Roman" w:eastAsia="Times New Roman" w:hAnsi="Times New Roman" w:cs="Times New Roman"/>
          <w:b/>
          <w:bCs/>
          <w:color w:val="000000"/>
          <w:lang w:eastAsia="sk-SK"/>
        </w:rPr>
      </w:pPr>
    </w:p>
    <w:p w:rsidR="005E418D" w:rsidRPr="00C82D27" w:rsidRDefault="008545C6" w:rsidP="005E418D">
      <w:pPr>
        <w:pStyle w:val="Odsekzoznamu"/>
        <w:numPr>
          <w:ilvl w:val="0"/>
          <w:numId w:val="1"/>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Záväzky Slovenskej republiky vo vzťahu k Európskej únii:</w:t>
      </w:r>
    </w:p>
    <w:p w:rsidR="005E418D" w:rsidRDefault="005E418D" w:rsidP="00921A29">
      <w:pPr>
        <w:pStyle w:val="Odsekzoznamu"/>
        <w:numPr>
          <w:ilvl w:val="0"/>
          <w:numId w:val="13"/>
        </w:numPr>
        <w:spacing w:after="0" w:line="240" w:lineRule="auto"/>
        <w:rPr>
          <w:rFonts w:ascii="Times New Roman" w:hAnsi="Times New Roman" w:cs="Times New Roman"/>
        </w:rPr>
      </w:pPr>
      <w:r w:rsidRPr="00C82D27">
        <w:rPr>
          <w:rFonts w:ascii="Times New Roman" w:hAnsi="Times New Roman" w:cs="Times New Roman"/>
          <w:lang w:eastAsia="sk-SK"/>
        </w:rPr>
        <w:t xml:space="preserve">Lehota na prebratie </w:t>
      </w:r>
      <w:r w:rsidRPr="00C82D27">
        <w:rPr>
          <w:rFonts w:ascii="Times New Roman" w:hAnsi="Times New Roman" w:cs="Times New Roman"/>
        </w:rPr>
        <w:t>smernice 2022/2556 bola stanovená do 17. januára 2025.</w:t>
      </w:r>
    </w:p>
    <w:p w:rsidR="00921A29" w:rsidRDefault="00921A29" w:rsidP="00921A29">
      <w:pPr>
        <w:pStyle w:val="Odsekzoznamu"/>
        <w:spacing w:after="0" w:line="240" w:lineRule="auto"/>
        <w:ind w:left="786"/>
        <w:rPr>
          <w:rFonts w:ascii="Times New Roman" w:hAnsi="Times New Roman" w:cs="Times New Roman"/>
          <w:lang w:eastAsia="sk-SK"/>
        </w:rPr>
      </w:pPr>
      <w:r>
        <w:rPr>
          <w:rFonts w:ascii="Times New Roman" w:hAnsi="Times New Roman" w:cs="Times New Roman"/>
          <w:lang w:eastAsia="sk-SK"/>
        </w:rPr>
        <w:t>Lehota</w:t>
      </w:r>
      <w:r>
        <w:rPr>
          <w:rFonts w:ascii="Times New Roman" w:hAnsi="Times New Roman" w:cs="Times New Roman"/>
          <w:spacing w:val="82"/>
          <w:lang w:eastAsia="sk-SK"/>
        </w:rPr>
        <w:t xml:space="preserve"> </w:t>
      </w:r>
      <w:r>
        <w:rPr>
          <w:rFonts w:ascii="Times New Roman" w:hAnsi="Times New Roman" w:cs="Times New Roman"/>
          <w:lang w:eastAsia="sk-SK"/>
        </w:rPr>
        <w:t>na</w:t>
      </w:r>
      <w:r>
        <w:rPr>
          <w:rFonts w:ascii="Times New Roman" w:hAnsi="Times New Roman" w:cs="Times New Roman"/>
          <w:spacing w:val="82"/>
          <w:lang w:eastAsia="sk-SK"/>
        </w:rPr>
        <w:t xml:space="preserve"> </w:t>
      </w:r>
      <w:r>
        <w:rPr>
          <w:rFonts w:ascii="Times New Roman" w:hAnsi="Times New Roman" w:cs="Times New Roman"/>
          <w:lang w:eastAsia="sk-SK"/>
        </w:rPr>
        <w:t>prebratie</w:t>
      </w:r>
      <w:r>
        <w:rPr>
          <w:rFonts w:ascii="Times New Roman" w:hAnsi="Times New Roman" w:cs="Times New Roman"/>
          <w:spacing w:val="82"/>
          <w:lang w:eastAsia="sk-SK"/>
        </w:rPr>
        <w:t xml:space="preserve"> </w:t>
      </w:r>
      <w:r>
        <w:rPr>
          <w:rFonts w:ascii="Times New Roman" w:hAnsi="Times New Roman" w:cs="Times New Roman"/>
          <w:lang w:eastAsia="sk-SK"/>
        </w:rPr>
        <w:t xml:space="preserve">smernice </w:t>
      </w:r>
      <w:r>
        <w:rPr>
          <w:rFonts w:ascii="Times New Roman" w:hAnsi="Times New Roman" w:cs="Times New Roman"/>
        </w:rPr>
        <w:t>2013/36/EÚ bola stanovená do 31. decembra 2013</w:t>
      </w:r>
      <w:r>
        <w:rPr>
          <w:rFonts w:ascii="Times New Roman" w:hAnsi="Times New Roman" w:cs="Times New Roman"/>
          <w:lang w:eastAsia="sk-SK"/>
        </w:rPr>
        <w:t>.</w:t>
      </w:r>
    </w:p>
    <w:p w:rsidR="00647E7F" w:rsidRDefault="00647E7F" w:rsidP="00921A29">
      <w:pPr>
        <w:pStyle w:val="Odsekzoznamu"/>
        <w:spacing w:after="0" w:line="240" w:lineRule="auto"/>
        <w:ind w:left="786"/>
        <w:rPr>
          <w:rFonts w:ascii="Times New Roman" w:hAnsi="Times New Roman" w:cs="Times New Roman"/>
          <w:lang w:eastAsia="sk-SK"/>
        </w:rPr>
      </w:pPr>
      <w:r>
        <w:rPr>
          <w:rFonts w:ascii="Times New Roman" w:hAnsi="Times New Roman" w:cs="Times New Roman"/>
          <w:lang w:eastAsia="sk-SK"/>
        </w:rPr>
        <w:t>Lehota na prebratie nariadenia (EÚ) 2024/886 bola stanovená do</w:t>
      </w:r>
      <w:r w:rsidR="000B6F4D">
        <w:rPr>
          <w:rFonts w:ascii="Times New Roman" w:hAnsi="Times New Roman" w:cs="Times New Roman"/>
          <w:lang w:eastAsia="sk-SK"/>
        </w:rPr>
        <w:t xml:space="preserve"> 9. apríla 2025</w:t>
      </w:r>
      <w:r w:rsidR="008E7706">
        <w:rPr>
          <w:rFonts w:ascii="Times New Roman" w:hAnsi="Times New Roman" w:cs="Times New Roman"/>
          <w:lang w:eastAsia="sk-SK"/>
        </w:rPr>
        <w:t>.</w:t>
      </w:r>
    </w:p>
    <w:p w:rsidR="00921A29" w:rsidRPr="00C82D27" w:rsidRDefault="00921A29" w:rsidP="00921A29">
      <w:pPr>
        <w:pStyle w:val="Odsekzoznamu"/>
        <w:spacing w:after="0" w:line="240" w:lineRule="auto"/>
        <w:ind w:left="786"/>
        <w:rPr>
          <w:rFonts w:ascii="Times New Roman" w:hAnsi="Times New Roman" w:cs="Times New Roman"/>
        </w:rPr>
      </w:pPr>
    </w:p>
    <w:p w:rsidR="00707045" w:rsidRPr="00C82D27" w:rsidRDefault="005E418D" w:rsidP="00A43179">
      <w:pPr>
        <w:pStyle w:val="Odsekzoznamu"/>
        <w:spacing w:after="0" w:line="240" w:lineRule="auto"/>
        <w:ind w:left="426"/>
        <w:rPr>
          <w:rFonts w:ascii="Times New Roman" w:hAnsi="Times New Roman" w:cs="Times New Roman"/>
        </w:rPr>
      </w:pPr>
      <w:r w:rsidRPr="00C82D27">
        <w:rPr>
          <w:rFonts w:ascii="Times New Roman" w:hAnsi="Times New Roman" w:cs="Times New Roman"/>
        </w:rPr>
        <w:t xml:space="preserve">b) </w:t>
      </w:r>
      <w:r w:rsidR="00707045" w:rsidRPr="00C82D27">
        <w:rPr>
          <w:rFonts w:ascii="Times New Roman" w:hAnsi="Times New Roman" w:cs="Times New Roman"/>
        </w:rPr>
        <w:t>Proti SR bolo začaté konanie o porušení Zmluvy o fungovaní Európskej únie podľa čl. 258 až 260 a to:</w:t>
      </w:r>
    </w:p>
    <w:p w:rsidR="00BA2B80" w:rsidRPr="00C82D27" w:rsidRDefault="00707045" w:rsidP="00C82D27">
      <w:pPr>
        <w:pStyle w:val="Odsekzoznamu"/>
        <w:numPr>
          <w:ilvl w:val="0"/>
          <w:numId w:val="12"/>
        </w:numPr>
        <w:spacing w:after="0" w:line="240" w:lineRule="auto"/>
        <w:rPr>
          <w:rFonts w:ascii="Times New Roman" w:hAnsi="Times New Roman" w:cs="Times New Roman"/>
        </w:rPr>
      </w:pPr>
      <w:r w:rsidRPr="00C82D27">
        <w:rPr>
          <w:rFonts w:ascii="Times New Roman" w:hAnsi="Times New Roman" w:cs="Times New Roman"/>
        </w:rPr>
        <w:t>formálna výzva</w:t>
      </w:r>
      <w:r w:rsidR="00BA2B80" w:rsidRPr="00C82D27">
        <w:rPr>
          <w:rFonts w:ascii="Times New Roman" w:hAnsi="Times New Roman" w:cs="Times New Roman"/>
        </w:rPr>
        <w:t xml:space="preserve"> Slovenskej republike INFR(2023)2077 z dôvodu nesplnenia povinností vyplývajúcich zo smernice </w:t>
      </w:r>
      <w:r w:rsidR="00943CFB" w:rsidRPr="00C82D27">
        <w:rPr>
          <w:rFonts w:ascii="Times New Roman" w:hAnsi="Times New Roman" w:cs="Times New Roman"/>
        </w:rPr>
        <w:t xml:space="preserve"> </w:t>
      </w:r>
      <w:r w:rsidR="009D0AA2" w:rsidRPr="00C82D27">
        <w:rPr>
          <w:rFonts w:ascii="Times New Roman" w:hAnsi="Times New Roman" w:cs="Times New Roman"/>
        </w:rPr>
        <w:t>2009/138/ES</w:t>
      </w:r>
      <w:r w:rsidR="00943CFB" w:rsidRPr="00C82D27">
        <w:rPr>
          <w:rFonts w:ascii="Times New Roman" w:hAnsi="Times New Roman" w:cs="Times New Roman"/>
        </w:rPr>
        <w:t>,</w:t>
      </w:r>
    </w:p>
    <w:p w:rsidR="00943CFB" w:rsidRPr="00C82D27" w:rsidRDefault="00943CFB" w:rsidP="00C82D27">
      <w:pPr>
        <w:pStyle w:val="Odsekzoznamu"/>
        <w:numPr>
          <w:ilvl w:val="0"/>
          <w:numId w:val="12"/>
        </w:numPr>
        <w:spacing w:after="0" w:line="240" w:lineRule="auto"/>
        <w:rPr>
          <w:rFonts w:ascii="Times New Roman" w:hAnsi="Times New Roman" w:cs="Times New Roman"/>
          <w:bCs/>
          <w:color w:val="333333"/>
          <w:sz w:val="21"/>
          <w:szCs w:val="21"/>
          <w:shd w:val="clear" w:color="auto" w:fill="FFFFFF"/>
        </w:rPr>
      </w:pPr>
      <w:r w:rsidRPr="00C82D27">
        <w:rPr>
          <w:rFonts w:ascii="Times New Roman" w:hAnsi="Times New Roman" w:cs="Times New Roman"/>
        </w:rPr>
        <w:t xml:space="preserve">formálna výzva Slovenskej republike INFR(2023)2186 z dôvodu nesplnenia povinností vyplývajúcich zo </w:t>
      </w:r>
      <w:r w:rsidR="00BA7E99" w:rsidRPr="00C82D27">
        <w:rPr>
          <w:rFonts w:ascii="Times New Roman" w:hAnsi="Times New Roman" w:cs="Times New Roman"/>
        </w:rPr>
        <w:t>smernice</w:t>
      </w:r>
      <w:r w:rsidRPr="00C82D27">
        <w:rPr>
          <w:rFonts w:ascii="Times New Roman" w:hAnsi="Times New Roman" w:cs="Times New Roman"/>
        </w:rPr>
        <w:t xml:space="preserve"> </w:t>
      </w:r>
      <w:r w:rsidR="001C2FCC" w:rsidRPr="00C82D27">
        <w:rPr>
          <w:rFonts w:ascii="Times New Roman" w:hAnsi="Times New Roman" w:cs="Times New Roman"/>
          <w:bCs/>
          <w:color w:val="333333"/>
          <w:sz w:val="21"/>
          <w:szCs w:val="21"/>
          <w:shd w:val="clear" w:color="auto" w:fill="FFFFFF"/>
        </w:rPr>
        <w:t>2014/65</w:t>
      </w:r>
      <w:r w:rsidR="0069729F" w:rsidRPr="00C82D27">
        <w:rPr>
          <w:rFonts w:ascii="Times New Roman" w:hAnsi="Times New Roman" w:cs="Times New Roman"/>
          <w:bCs/>
          <w:color w:val="333333"/>
          <w:sz w:val="21"/>
          <w:szCs w:val="21"/>
          <w:shd w:val="clear" w:color="auto" w:fill="FFFFFF"/>
        </w:rPr>
        <w:t>/EÚ</w:t>
      </w:r>
      <w:r w:rsidR="00BA7E99" w:rsidRPr="00C82D27">
        <w:rPr>
          <w:rFonts w:ascii="Times New Roman" w:hAnsi="Times New Roman" w:cs="Times New Roman"/>
          <w:bCs/>
          <w:color w:val="333333"/>
          <w:sz w:val="21"/>
          <w:szCs w:val="21"/>
          <w:shd w:val="clear" w:color="auto" w:fill="FFFFFF"/>
        </w:rPr>
        <w:t>.</w:t>
      </w:r>
    </w:p>
    <w:p w:rsidR="009D0AA2" w:rsidRPr="00C82D27" w:rsidRDefault="009D0AA2" w:rsidP="00A43179">
      <w:pPr>
        <w:pStyle w:val="Odsekzoznamu"/>
        <w:spacing w:after="0" w:line="240" w:lineRule="auto"/>
        <w:ind w:left="426"/>
        <w:rPr>
          <w:rFonts w:ascii="Times New Roman" w:hAnsi="Times New Roman" w:cs="Times New Roman"/>
        </w:rPr>
      </w:pPr>
    </w:p>
    <w:p w:rsidR="00921A29" w:rsidRDefault="00A43179" w:rsidP="00921A29">
      <w:pPr>
        <w:pStyle w:val="Odsekzoznamu"/>
        <w:spacing w:after="0" w:line="240" w:lineRule="auto"/>
        <w:ind w:left="709" w:hanging="283"/>
        <w:jc w:val="both"/>
        <w:rPr>
          <w:rFonts w:ascii="Times New Roman" w:hAnsi="Times New Roman" w:cs="Times New Roman"/>
          <w:lang w:eastAsia="sk-SK"/>
        </w:rPr>
      </w:pPr>
      <w:r w:rsidRPr="00C82D27">
        <w:rPr>
          <w:rFonts w:ascii="Times New Roman" w:hAnsi="Times New Roman" w:cs="Times New Roman"/>
        </w:rPr>
        <w:t>c)</w:t>
      </w:r>
      <w:r w:rsidRPr="00C82D27">
        <w:rPr>
          <w:rFonts w:ascii="Times New Roman" w:hAnsi="Times New Roman" w:cs="Times New Roman"/>
        </w:rPr>
        <w:tab/>
      </w:r>
      <w:r w:rsidR="00921A29">
        <w:rPr>
          <w:rFonts w:ascii="Times New Roman" w:hAnsi="Times New Roman" w:cs="Times New Roman"/>
          <w:bCs/>
        </w:rPr>
        <w:t xml:space="preserve">Smernica </w:t>
      </w:r>
      <w:r w:rsidR="00921A29">
        <w:rPr>
          <w:rFonts w:ascii="Times New Roman" w:hAnsi="Times New Roman" w:cs="Times New Roman"/>
          <w:bCs/>
          <w:u w:val="single"/>
        </w:rPr>
        <w:t>2013/36/EÚ</w:t>
      </w:r>
      <w:r w:rsidR="00921A29">
        <w:rPr>
          <w:rFonts w:ascii="Times New Roman" w:hAnsi="Times New Roman" w:cs="Times New Roman"/>
          <w:bCs/>
        </w:rPr>
        <w:t xml:space="preserve"> v platnom znení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00921A29">
        <w:rPr>
          <w:rFonts w:ascii="Times New Roman" w:hAnsi="Times New Roman" w:cs="Times New Roman"/>
        </w:rPr>
        <w:t xml:space="preserve"> do zákona č. 513/1991 Zb. Obchodný zákonník v znení neskorších predpisov, do zákona Národnej rady Slovenskej republiky č. 566/1992 Zb. o Národnej banke Slovenska v znení neskorších predpisov, </w:t>
      </w:r>
      <w:r w:rsidR="00921A29">
        <w:rPr>
          <w:rFonts w:ascii="Times New Roman" w:hAnsi="Times New Roman" w:cs="Times New Roman"/>
          <w:bCs/>
        </w:rPr>
        <w:t xml:space="preserve">do zákona </w:t>
      </w:r>
      <w:r w:rsidR="00921A29">
        <w:rPr>
          <w:rFonts w:ascii="Times New Roman" w:hAnsi="Times New Roman" w:cs="Times New Roman"/>
        </w:rPr>
        <w:t>č.</w:t>
      </w:r>
      <w:r w:rsidR="00921A29">
        <w:rPr>
          <w:rFonts w:ascii="Times New Roman" w:hAnsi="Times New Roman" w:cs="Times New Roman"/>
          <w:bCs/>
        </w:rPr>
        <w:t> </w:t>
      </w:r>
      <w:r w:rsidR="00921A29">
        <w:rPr>
          <w:rFonts w:ascii="Times New Roman" w:hAnsi="Times New Roman" w:cs="Times New Roman"/>
        </w:rPr>
        <w:t>747/2004 Z. z. o </w:t>
      </w:r>
      <w:r w:rsidR="00921A29">
        <w:rPr>
          <w:rFonts w:ascii="Times New Roman" w:hAnsi="Times New Roman" w:cs="Times New Roman"/>
          <w:bCs/>
        </w:rPr>
        <w:t xml:space="preserve">dohľade nad finančným trhom a o zmene a doplnení niektorých zákonov </w:t>
      </w:r>
      <w:r w:rsidR="00921A29">
        <w:rPr>
          <w:rFonts w:ascii="Times New Roman" w:hAnsi="Times New Roman" w:cs="Times New Roman"/>
        </w:rPr>
        <w:t>v znení neskorších predpisov, do zákona č. 423/2015 Z. z. o štatutárnom audite a o zmene a doplnení zákona č. 431/2002 Z. z. o účtovníctve v znení neskorších predpisov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w:t>
      </w:r>
      <w:r w:rsidR="00921A29">
        <w:rPr>
          <w:rFonts w:ascii="Times New Roman" w:hAnsi="Times New Roman" w:cs="Times New Roman"/>
          <w:shd w:val="clear" w:color="auto" w:fill="FFFFFF"/>
        </w:rPr>
        <w:t> </w:t>
      </w:r>
      <w:r w:rsidR="00921A29">
        <w:rPr>
          <w:rFonts w:ascii="Times New Roman" w:hAnsi="Times New Roman" w:cs="Times New Roman"/>
        </w:rPr>
        <w:t xml:space="preserve">z. o poisťovníctve a o zmene a doplnení niektorých zákonov v znení neskorších predpisov, do </w:t>
      </w:r>
      <w:r w:rsidR="00921A29">
        <w:rPr>
          <w:rFonts w:ascii="Times New Roman" w:hAnsi="Times New Roman" w:cs="Times New Roman"/>
          <w:color w:val="000000" w:themeColor="text1"/>
        </w:rPr>
        <w:t>opatrenia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v znení neskorších predpisov,</w:t>
      </w:r>
      <w:r w:rsidR="00921A29">
        <w:rPr>
          <w:rFonts w:ascii="Times New Roman" w:hAnsi="Times New Roman" w:cs="Times New Roman"/>
        </w:rPr>
        <w:t xml:space="preserve"> do </w:t>
      </w:r>
      <w:r w:rsidR="00921A29">
        <w:rPr>
          <w:rFonts w:ascii="Times New Roman" w:hAnsi="Times New Roman" w:cs="Times New Roman"/>
          <w:color w:val="000000" w:themeColor="text1"/>
        </w:rPr>
        <w:t>opatrenia Národnej banky Slovenska č. 6/2010 z</w:t>
      </w:r>
      <w:r w:rsidR="00921A29">
        <w:rPr>
          <w:rStyle w:val="Siln"/>
        </w:rPr>
        <w:t> </w:t>
      </w:r>
      <w:r w:rsidR="00921A29">
        <w:rPr>
          <w:rFonts w:ascii="Times New Roman" w:hAnsi="Times New Roman" w:cs="Times New Roman"/>
          <w:color w:val="000000" w:themeColor="text1"/>
        </w:rPr>
        <w:t>11.</w:t>
      </w:r>
      <w:r w:rsidR="00921A29">
        <w:rPr>
          <w:rStyle w:val="Siln"/>
        </w:rPr>
        <w:t> </w:t>
      </w:r>
      <w:r w:rsidR="00921A29">
        <w:rPr>
          <w:rFonts w:ascii="Times New Roman" w:hAnsi="Times New Roman" w:cs="Times New Roman"/>
          <w:color w:val="000000" w:themeColor="text1"/>
        </w:rPr>
        <w:t>mája 2010, ktorým sa ustanovujú náležitosti žiadosti o predchádzajúci súhlas Národnej banky Slovenska podľa § 28 ods. 1 zákona o bankách v znení neskorších predpisov, do opatrenia Národnej banky Slovenska z 31. marca 2015 č. 4/2015 o ďalších druhoch rizík, o podrobnostiach o systéme riadenia rizík banky a pobočky zahraničnej banky a ktorým sa ustanovuje čo sa rozumie náhlou a neočakávanou zmenou úrokových mier na trhu, do</w:t>
      </w:r>
      <w:r w:rsidR="00921A29">
        <w:rPr>
          <w:rFonts w:ascii="Times New Roman" w:hAnsi="Times New Roman" w:cs="Times New Roman"/>
        </w:rPr>
        <w:t xml:space="preserve"> </w:t>
      </w:r>
      <w:r w:rsidR="00921A29">
        <w:rPr>
          <w:rFonts w:ascii="Times New Roman" w:hAnsi="Times New Roman" w:cs="Times New Roman"/>
          <w:color w:val="000000" w:themeColor="text1"/>
        </w:rPr>
        <w:t xml:space="preserve">opatrenia Národnej banky Slovenska z 12. decembra 2017 č. 13/2017 o predkladaní výkazov, hlásení a iných správ bankami a pobočkami zahraničných bánk na účely vykonávania dohľadu v znení neskorších predpisov, do opatrenia Národnej banky Slovenska č. 13/2014 z 29. júla 2014 o predkladaní výkazov, hlásení a iných správ obchodníkmi s cennými papiermi a pobočkami zahraničných obchodníkov s cennými papiermi na účely vykonávania dohľadu v znení neskorších predpisov, do opatrenia Národnej banky Slovenska č. 16/2014 z 2. septembra 2014 o uverejňovaní informácií bankami a pobočkami zahraničných bánk v znení neskorších predpisov a do opatrenia Národnej banky Slovenska z 31. marca 2015 č. 4/2015 o ďalších druhoch rizík, o podrobnostiach o systéme riadenia rizík banky a pobočky </w:t>
      </w:r>
      <w:r w:rsidR="00921A29">
        <w:rPr>
          <w:rFonts w:ascii="Times New Roman" w:hAnsi="Times New Roman" w:cs="Times New Roman"/>
          <w:color w:val="000000" w:themeColor="text1"/>
        </w:rPr>
        <w:lastRenderedPageBreak/>
        <w:t>zahraničnej banky a ktorým sa ustanovuje čo sa rozumie náhlou a neočakávanou zmenou úrokových mier na trhu.</w:t>
      </w:r>
    </w:p>
    <w:p w:rsidR="005E418D" w:rsidRPr="00C82D27" w:rsidRDefault="005E418D" w:rsidP="00A43179">
      <w:pPr>
        <w:pStyle w:val="Odsekzoznamu"/>
        <w:spacing w:after="0" w:line="240" w:lineRule="auto"/>
        <w:ind w:left="426"/>
        <w:rPr>
          <w:rFonts w:ascii="Times New Roman" w:eastAsia="Times New Roman" w:hAnsi="Times New Roman" w:cs="Times New Roman"/>
          <w:color w:val="000000"/>
          <w:lang w:eastAsia="sk-SK"/>
        </w:rPr>
      </w:pPr>
    </w:p>
    <w:p w:rsidR="008545C6" w:rsidRPr="00C82D27" w:rsidRDefault="008545C6" w:rsidP="008545C6">
      <w:pPr>
        <w:pStyle w:val="Odsekzoznamu"/>
        <w:spacing w:after="0" w:line="240" w:lineRule="auto"/>
        <w:rPr>
          <w:rFonts w:ascii="Times New Roman" w:eastAsia="Times New Roman" w:hAnsi="Times New Roman" w:cs="Times New Roman"/>
          <w:color w:val="000000"/>
          <w:lang w:eastAsia="sk-SK"/>
        </w:rPr>
      </w:pPr>
    </w:p>
    <w:p w:rsidR="00FC287C" w:rsidRPr="00C82D27" w:rsidRDefault="00FC287C" w:rsidP="00FC287C">
      <w:pPr>
        <w:pStyle w:val="Odsekzoznamu"/>
        <w:numPr>
          <w:ilvl w:val="0"/>
          <w:numId w:val="1"/>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Návrh zákona je zlučiteľný s právom Európskej únie:</w:t>
      </w:r>
    </w:p>
    <w:p w:rsidR="00FE77D3" w:rsidRPr="00C82D27" w:rsidRDefault="00702548" w:rsidP="00702548">
      <w:pPr>
        <w:pStyle w:val="Odsekzoznamu"/>
        <w:numPr>
          <w:ilvl w:val="0"/>
          <w:numId w:val="9"/>
        </w:numPr>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úplne</w:t>
      </w:r>
    </w:p>
    <w:sectPr w:rsidR="00FE77D3" w:rsidRPr="00C82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A6B5D05"/>
    <w:multiLevelType w:val="hybridMultilevel"/>
    <w:tmpl w:val="7ABAD782"/>
    <w:lvl w:ilvl="0" w:tplc="66D0BA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1604CF"/>
    <w:multiLevelType w:val="hybridMultilevel"/>
    <w:tmpl w:val="F2DA2A30"/>
    <w:lvl w:ilvl="0" w:tplc="041B0017">
      <w:start w:val="1"/>
      <w:numFmt w:val="lowerLetter"/>
      <w:lvlText w:val="%1)"/>
      <w:lvlJc w:val="left"/>
      <w:pPr>
        <w:ind w:left="720" w:hanging="360"/>
      </w:pPr>
    </w:lvl>
    <w:lvl w:ilvl="1" w:tplc="CC22C258">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B632B3"/>
    <w:multiLevelType w:val="hybridMultilevel"/>
    <w:tmpl w:val="90E0895C"/>
    <w:lvl w:ilvl="0" w:tplc="B7A4A720">
      <w:start w:val="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0D746F"/>
    <w:multiLevelType w:val="hybridMultilevel"/>
    <w:tmpl w:val="1D349D56"/>
    <w:lvl w:ilvl="0" w:tplc="0890BCB0">
      <w:start w:val="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093490"/>
    <w:multiLevelType w:val="hybridMultilevel"/>
    <w:tmpl w:val="7E60CB66"/>
    <w:lvl w:ilvl="0" w:tplc="B7A4A720">
      <w:start w:val="6"/>
      <w:numFmt w:val="bullet"/>
      <w:lvlText w:val="-"/>
      <w:lvlJc w:val="left"/>
      <w:pPr>
        <w:ind w:left="180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F464723"/>
    <w:multiLevelType w:val="hybridMultilevel"/>
    <w:tmpl w:val="6E6E0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B3A92"/>
    <w:multiLevelType w:val="hybridMultilevel"/>
    <w:tmpl w:val="2ED86398"/>
    <w:lvl w:ilvl="0" w:tplc="0890BCB0">
      <w:start w:val="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391934AD"/>
    <w:multiLevelType w:val="hybridMultilevel"/>
    <w:tmpl w:val="E8E65DA6"/>
    <w:lvl w:ilvl="0" w:tplc="5B9A8B98">
      <w:start w:val="1"/>
      <w:numFmt w:val="lowerLetter"/>
      <w:lvlText w:val="%1)"/>
      <w:lvlJc w:val="left"/>
      <w:pPr>
        <w:ind w:left="786" w:hanging="360"/>
      </w:pPr>
      <w:rPr>
        <w:rFonts w:eastAsia="Times New Roman"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E312F9"/>
    <w:multiLevelType w:val="hybridMultilevel"/>
    <w:tmpl w:val="FF920A9A"/>
    <w:lvl w:ilvl="0" w:tplc="5EAED5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6DE5CEA"/>
    <w:multiLevelType w:val="hybridMultilevel"/>
    <w:tmpl w:val="1BF26CFC"/>
    <w:lvl w:ilvl="0" w:tplc="B7A4A720">
      <w:start w:val="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AEB3411"/>
    <w:multiLevelType w:val="hybridMultilevel"/>
    <w:tmpl w:val="66EA9EF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6" w15:restartNumberingAfterBreak="0">
    <w:nsid w:val="5DF71ED4"/>
    <w:multiLevelType w:val="hybridMultilevel"/>
    <w:tmpl w:val="AECA03BA"/>
    <w:lvl w:ilvl="0" w:tplc="B5609A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11"/>
  </w:num>
  <w:num w:numId="6">
    <w:abstractNumId w:val="2"/>
  </w:num>
  <w:num w:numId="7">
    <w:abstractNumId w:val="1"/>
  </w:num>
  <w:num w:numId="8">
    <w:abstractNumId w:val="15"/>
  </w:num>
  <w:num w:numId="9">
    <w:abstractNumId w:val="12"/>
  </w:num>
  <w:num w:numId="10">
    <w:abstractNumId w:val="14"/>
  </w:num>
  <w:num w:numId="11">
    <w:abstractNumId w:val="9"/>
  </w:num>
  <w:num w:numId="12">
    <w:abstractNumId w:val="5"/>
  </w:num>
  <w:num w:numId="13">
    <w:abstractNumId w:val="10"/>
  </w:num>
  <w:num w:numId="14">
    <w:abstractNumId w:val="16"/>
  </w:num>
  <w:num w:numId="15">
    <w:abstractNumId w:val="1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A"/>
    <w:rsid w:val="00051CF1"/>
    <w:rsid w:val="00060915"/>
    <w:rsid w:val="00070450"/>
    <w:rsid w:val="000B6F4D"/>
    <w:rsid w:val="0018419E"/>
    <w:rsid w:val="001A45EA"/>
    <w:rsid w:val="001C1EC4"/>
    <w:rsid w:val="001C2FCC"/>
    <w:rsid w:val="001F56C9"/>
    <w:rsid w:val="002756D7"/>
    <w:rsid w:val="0028065B"/>
    <w:rsid w:val="002B5F41"/>
    <w:rsid w:val="002B63AE"/>
    <w:rsid w:val="00324745"/>
    <w:rsid w:val="00362F53"/>
    <w:rsid w:val="003A68BE"/>
    <w:rsid w:val="003E2261"/>
    <w:rsid w:val="003F56B8"/>
    <w:rsid w:val="004143D7"/>
    <w:rsid w:val="00423007"/>
    <w:rsid w:val="00436CAF"/>
    <w:rsid w:val="00440C65"/>
    <w:rsid w:val="00442431"/>
    <w:rsid w:val="0046235E"/>
    <w:rsid w:val="004772C9"/>
    <w:rsid w:val="00492483"/>
    <w:rsid w:val="00526314"/>
    <w:rsid w:val="005C3C50"/>
    <w:rsid w:val="005E418D"/>
    <w:rsid w:val="0061194C"/>
    <w:rsid w:val="0062790D"/>
    <w:rsid w:val="00647E7F"/>
    <w:rsid w:val="0066120D"/>
    <w:rsid w:val="00677E30"/>
    <w:rsid w:val="0069729F"/>
    <w:rsid w:val="006A6D7F"/>
    <w:rsid w:val="006B3769"/>
    <w:rsid w:val="006C455A"/>
    <w:rsid w:val="00702548"/>
    <w:rsid w:val="00703A5A"/>
    <w:rsid w:val="00707045"/>
    <w:rsid w:val="00795EE0"/>
    <w:rsid w:val="007D206F"/>
    <w:rsid w:val="00801FEA"/>
    <w:rsid w:val="00834A8A"/>
    <w:rsid w:val="00851397"/>
    <w:rsid w:val="008545C6"/>
    <w:rsid w:val="008C1D0E"/>
    <w:rsid w:val="008E7706"/>
    <w:rsid w:val="0090115E"/>
    <w:rsid w:val="00921A29"/>
    <w:rsid w:val="00943CFB"/>
    <w:rsid w:val="0097526E"/>
    <w:rsid w:val="009C04AA"/>
    <w:rsid w:val="009C3568"/>
    <w:rsid w:val="009D0AA2"/>
    <w:rsid w:val="009F0C26"/>
    <w:rsid w:val="00A142A1"/>
    <w:rsid w:val="00A24E4A"/>
    <w:rsid w:val="00A37B49"/>
    <w:rsid w:val="00A43179"/>
    <w:rsid w:val="00AA6546"/>
    <w:rsid w:val="00AB442D"/>
    <w:rsid w:val="00B35E61"/>
    <w:rsid w:val="00B95454"/>
    <w:rsid w:val="00BA2B80"/>
    <w:rsid w:val="00BA7E99"/>
    <w:rsid w:val="00BB2DAA"/>
    <w:rsid w:val="00BB3162"/>
    <w:rsid w:val="00BD3745"/>
    <w:rsid w:val="00C01577"/>
    <w:rsid w:val="00C368B1"/>
    <w:rsid w:val="00C82D27"/>
    <w:rsid w:val="00C86BF5"/>
    <w:rsid w:val="00CA1C41"/>
    <w:rsid w:val="00CC2729"/>
    <w:rsid w:val="00CD5ED1"/>
    <w:rsid w:val="00CE5D8D"/>
    <w:rsid w:val="00D468CE"/>
    <w:rsid w:val="00DA5F66"/>
    <w:rsid w:val="00DB681B"/>
    <w:rsid w:val="00DC0E61"/>
    <w:rsid w:val="00DD609D"/>
    <w:rsid w:val="00E06F85"/>
    <w:rsid w:val="00E209A3"/>
    <w:rsid w:val="00E27F55"/>
    <w:rsid w:val="00E56DCA"/>
    <w:rsid w:val="00EC6CC6"/>
    <w:rsid w:val="00EE3B2A"/>
    <w:rsid w:val="00F3530D"/>
    <w:rsid w:val="00F76E12"/>
    <w:rsid w:val="00FB7EF9"/>
    <w:rsid w:val="00FC287C"/>
    <w:rsid w:val="00FE77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7373"/>
  <w15:docId w15:val="{D3328A81-BB65-4283-A1BF-175E8A6C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1A45EA"/>
  </w:style>
  <w:style w:type="character" w:styleId="Hypertextovprepojenie">
    <w:name w:val="Hyperlink"/>
    <w:basedOn w:val="Predvolenpsmoodseku"/>
    <w:uiPriority w:val="99"/>
    <w:semiHidden/>
    <w:unhideWhenUsed/>
    <w:rsid w:val="001A45EA"/>
    <w:rPr>
      <w:color w:val="0000FF"/>
      <w:u w:val="single"/>
    </w:rPr>
  </w:style>
  <w:style w:type="paragraph" w:styleId="Odsekzoznamu">
    <w:name w:val="List Paragraph"/>
    <w:aliases w:val="Odstavec cíl se seznamem,Odstavec se seznamem1,body,Odsek zoznamu2"/>
    <w:basedOn w:val="Normlny"/>
    <w:link w:val="OdsekzoznamuChar"/>
    <w:uiPriority w:val="99"/>
    <w:qFormat/>
    <w:rsid w:val="001A45EA"/>
    <w:pPr>
      <w:ind w:left="720"/>
      <w:contextualSpacing/>
    </w:pPr>
  </w:style>
  <w:style w:type="paragraph" w:styleId="Zkladntext">
    <w:name w:val="Body Text"/>
    <w:basedOn w:val="Normlny"/>
    <w:link w:val="ZkladntextChar"/>
    <w:uiPriority w:val="99"/>
    <w:rsid w:val="00DB681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DB681B"/>
    <w:rPr>
      <w:rFonts w:ascii="Times New Roman" w:eastAsia="Times New Roman" w:hAnsi="Times New Roman" w:cs="Times New Roman"/>
      <w:sz w:val="24"/>
      <w:szCs w:val="24"/>
      <w:lang w:eastAsia="cs-CZ"/>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5E418D"/>
  </w:style>
  <w:style w:type="character" w:customStyle="1" w:styleId="awspan1">
    <w:name w:val="awspan1"/>
    <w:basedOn w:val="Predvolenpsmoodseku"/>
    <w:rsid w:val="005E418D"/>
    <w:rPr>
      <w:rFonts w:cs="Times New Roman"/>
      <w:color w:val="000000"/>
      <w:sz w:val="24"/>
      <w:szCs w:val="24"/>
    </w:rPr>
  </w:style>
  <w:style w:type="character" w:styleId="Zvraznenie">
    <w:name w:val="Emphasis"/>
    <w:basedOn w:val="Predvolenpsmoodseku"/>
    <w:uiPriority w:val="20"/>
    <w:qFormat/>
    <w:rsid w:val="005E418D"/>
    <w:rPr>
      <w:i/>
      <w:iCs/>
    </w:rPr>
  </w:style>
  <w:style w:type="paragraph" w:customStyle="1" w:styleId="gmail-c02alineaalta">
    <w:name w:val="gmail-c02alineaalta"/>
    <w:basedOn w:val="Normlny"/>
    <w:rsid w:val="005E418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gmail-c08dispositif">
    <w:name w:val="gmail-c08dispositif"/>
    <w:basedOn w:val="Normlny"/>
    <w:rsid w:val="005E418D"/>
    <w:pPr>
      <w:spacing w:before="100" w:beforeAutospacing="1" w:after="100" w:afterAutospacing="1" w:line="240" w:lineRule="auto"/>
    </w:pPr>
    <w:rPr>
      <w:rFonts w:ascii="Times New Roman" w:hAnsi="Times New Roman" w:cs="Times New Roman"/>
      <w:sz w:val="24"/>
      <w:szCs w:val="24"/>
      <w:lang w:eastAsia="sk-SK"/>
    </w:rPr>
  </w:style>
  <w:style w:type="paragraph" w:styleId="Nzov">
    <w:name w:val="Title"/>
    <w:basedOn w:val="Normlny"/>
    <w:link w:val="NzovChar"/>
    <w:uiPriority w:val="10"/>
    <w:qFormat/>
    <w:rsid w:val="00D468CE"/>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D468CE"/>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8C1D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1D0E"/>
    <w:rPr>
      <w:rFonts w:ascii="Segoe UI" w:hAnsi="Segoe UI" w:cs="Segoe UI"/>
      <w:sz w:val="18"/>
      <w:szCs w:val="18"/>
    </w:rPr>
  </w:style>
  <w:style w:type="character" w:styleId="Siln">
    <w:name w:val="Strong"/>
    <w:basedOn w:val="Predvolenpsmoodseku"/>
    <w:uiPriority w:val="99"/>
    <w:qFormat/>
    <w:rsid w:val="00921A2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09551">
      <w:bodyDiv w:val="1"/>
      <w:marLeft w:val="0"/>
      <w:marRight w:val="0"/>
      <w:marTop w:val="0"/>
      <w:marBottom w:val="0"/>
      <w:divBdr>
        <w:top w:val="none" w:sz="0" w:space="0" w:color="auto"/>
        <w:left w:val="none" w:sz="0" w:space="0" w:color="auto"/>
        <w:bottom w:val="none" w:sz="0" w:space="0" w:color="auto"/>
        <w:right w:val="none" w:sz="0" w:space="0" w:color="auto"/>
      </w:divBdr>
    </w:div>
    <w:div w:id="684285195">
      <w:bodyDiv w:val="1"/>
      <w:marLeft w:val="0"/>
      <w:marRight w:val="0"/>
      <w:marTop w:val="0"/>
      <w:marBottom w:val="0"/>
      <w:divBdr>
        <w:top w:val="none" w:sz="0" w:space="0" w:color="auto"/>
        <w:left w:val="none" w:sz="0" w:space="0" w:color="auto"/>
        <w:bottom w:val="none" w:sz="0" w:space="0" w:color="auto"/>
        <w:right w:val="none" w:sz="0" w:space="0" w:color="auto"/>
      </w:divBdr>
    </w:div>
    <w:div w:id="1137719492">
      <w:bodyDiv w:val="1"/>
      <w:marLeft w:val="0"/>
      <w:marRight w:val="0"/>
      <w:marTop w:val="0"/>
      <w:marBottom w:val="0"/>
      <w:divBdr>
        <w:top w:val="none" w:sz="0" w:space="0" w:color="auto"/>
        <w:left w:val="none" w:sz="0" w:space="0" w:color="auto"/>
        <w:bottom w:val="none" w:sz="0" w:space="0" w:color="auto"/>
        <w:right w:val="none" w:sz="0" w:space="0" w:color="auto"/>
      </w:divBdr>
    </w:div>
    <w:div w:id="1368990758">
      <w:bodyDiv w:val="1"/>
      <w:marLeft w:val="0"/>
      <w:marRight w:val="0"/>
      <w:marTop w:val="0"/>
      <w:marBottom w:val="0"/>
      <w:divBdr>
        <w:top w:val="none" w:sz="0" w:space="0" w:color="auto"/>
        <w:left w:val="none" w:sz="0" w:space="0" w:color="auto"/>
        <w:bottom w:val="none" w:sz="0" w:space="0" w:color="auto"/>
        <w:right w:val="none" w:sz="0" w:space="0" w:color="auto"/>
      </w:divBdr>
    </w:div>
    <w:div w:id="1575628961">
      <w:bodyDiv w:val="1"/>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200"/>
          <w:marBottom w:val="200"/>
          <w:divBdr>
            <w:top w:val="single" w:sz="8" w:space="0" w:color="000000"/>
            <w:left w:val="single" w:sz="8" w:space="0" w:color="000000"/>
            <w:bottom w:val="single" w:sz="8" w:space="0" w:color="000000"/>
            <w:right w:val="single" w:sz="8" w:space="0" w:color="000000"/>
          </w:divBdr>
          <w:divsChild>
            <w:div w:id="2019771552">
              <w:marLeft w:val="0"/>
              <w:marRight w:val="0"/>
              <w:marTop w:val="0"/>
              <w:marBottom w:val="0"/>
              <w:divBdr>
                <w:top w:val="none" w:sz="0" w:space="0" w:color="auto"/>
                <w:left w:val="none" w:sz="0" w:space="0" w:color="auto"/>
                <w:bottom w:val="none" w:sz="0" w:space="0" w:color="auto"/>
                <w:right w:val="none" w:sz="0" w:space="0" w:color="auto"/>
              </w:divBdr>
            </w:div>
            <w:div w:id="1562908705">
              <w:marLeft w:val="0"/>
              <w:marRight w:val="0"/>
              <w:marTop w:val="0"/>
              <w:marBottom w:val="0"/>
              <w:divBdr>
                <w:top w:val="none" w:sz="0" w:space="0" w:color="auto"/>
                <w:left w:val="none" w:sz="0" w:space="0" w:color="auto"/>
                <w:bottom w:val="none" w:sz="0" w:space="0" w:color="auto"/>
                <w:right w:val="none" w:sz="0" w:space="0" w:color="auto"/>
              </w:divBdr>
              <w:divsChild>
                <w:div w:id="1439638040">
                  <w:marLeft w:val="0"/>
                  <w:marRight w:val="0"/>
                  <w:marTop w:val="0"/>
                  <w:marBottom w:val="0"/>
                  <w:divBdr>
                    <w:top w:val="none" w:sz="0" w:space="0" w:color="auto"/>
                    <w:left w:val="none" w:sz="0" w:space="0" w:color="auto"/>
                    <w:bottom w:val="none" w:sz="0" w:space="0" w:color="auto"/>
                    <w:right w:val="none" w:sz="0" w:space="0" w:color="auto"/>
                  </w:divBdr>
                </w:div>
                <w:div w:id="402411772">
                  <w:marLeft w:val="0"/>
                  <w:marRight w:val="0"/>
                  <w:marTop w:val="0"/>
                  <w:marBottom w:val="0"/>
                  <w:divBdr>
                    <w:top w:val="none" w:sz="0" w:space="0" w:color="auto"/>
                    <w:left w:val="none" w:sz="0" w:space="0" w:color="auto"/>
                    <w:bottom w:val="none" w:sz="0" w:space="0" w:color="auto"/>
                    <w:right w:val="none" w:sz="0" w:space="0" w:color="auto"/>
                  </w:divBdr>
                </w:div>
                <w:div w:id="1747923190">
                  <w:marLeft w:val="0"/>
                  <w:marRight w:val="0"/>
                  <w:marTop w:val="0"/>
                  <w:marBottom w:val="0"/>
                  <w:divBdr>
                    <w:top w:val="none" w:sz="0" w:space="0" w:color="auto"/>
                    <w:left w:val="none" w:sz="0" w:space="0" w:color="auto"/>
                    <w:bottom w:val="none" w:sz="0" w:space="0" w:color="auto"/>
                    <w:right w:val="none" w:sz="0" w:space="0" w:color="auto"/>
                  </w:divBdr>
                </w:div>
                <w:div w:id="1874152532">
                  <w:marLeft w:val="0"/>
                  <w:marRight w:val="0"/>
                  <w:marTop w:val="0"/>
                  <w:marBottom w:val="0"/>
                  <w:divBdr>
                    <w:top w:val="none" w:sz="0" w:space="0" w:color="auto"/>
                    <w:left w:val="none" w:sz="0" w:space="0" w:color="auto"/>
                    <w:bottom w:val="none" w:sz="0" w:space="0" w:color="auto"/>
                    <w:right w:val="none" w:sz="0" w:space="0" w:color="auto"/>
                  </w:divBdr>
                </w:div>
                <w:div w:id="1521747052">
                  <w:marLeft w:val="0"/>
                  <w:marRight w:val="0"/>
                  <w:marTop w:val="0"/>
                  <w:marBottom w:val="0"/>
                  <w:divBdr>
                    <w:top w:val="none" w:sz="0" w:space="0" w:color="auto"/>
                    <w:left w:val="none" w:sz="0" w:space="0" w:color="auto"/>
                    <w:bottom w:val="none" w:sz="0" w:space="0" w:color="auto"/>
                    <w:right w:val="none" w:sz="0" w:space="0" w:color="auto"/>
                  </w:divBdr>
                </w:div>
                <w:div w:id="595795166">
                  <w:marLeft w:val="0"/>
                  <w:marRight w:val="0"/>
                  <w:marTop w:val="0"/>
                  <w:marBottom w:val="0"/>
                  <w:divBdr>
                    <w:top w:val="none" w:sz="0" w:space="0" w:color="auto"/>
                    <w:left w:val="none" w:sz="0" w:space="0" w:color="auto"/>
                    <w:bottom w:val="none" w:sz="0" w:space="0" w:color="auto"/>
                    <w:right w:val="none" w:sz="0" w:space="0" w:color="auto"/>
                  </w:divBdr>
                </w:div>
                <w:div w:id="2009020374">
                  <w:marLeft w:val="0"/>
                  <w:marRight w:val="0"/>
                  <w:marTop w:val="0"/>
                  <w:marBottom w:val="0"/>
                  <w:divBdr>
                    <w:top w:val="none" w:sz="0" w:space="0" w:color="auto"/>
                    <w:left w:val="none" w:sz="0" w:space="0" w:color="auto"/>
                    <w:bottom w:val="none" w:sz="0" w:space="0" w:color="auto"/>
                    <w:right w:val="none" w:sz="0" w:space="0" w:color="auto"/>
                  </w:divBdr>
                </w:div>
                <w:div w:id="352003855">
                  <w:marLeft w:val="0"/>
                  <w:marRight w:val="0"/>
                  <w:marTop w:val="0"/>
                  <w:marBottom w:val="0"/>
                  <w:divBdr>
                    <w:top w:val="none" w:sz="0" w:space="0" w:color="auto"/>
                    <w:left w:val="none" w:sz="0" w:space="0" w:color="auto"/>
                    <w:bottom w:val="none" w:sz="0" w:space="0" w:color="auto"/>
                    <w:right w:val="none" w:sz="0" w:space="0" w:color="auto"/>
                  </w:divBdr>
                </w:div>
                <w:div w:id="143477547">
                  <w:marLeft w:val="0"/>
                  <w:marRight w:val="0"/>
                  <w:marTop w:val="0"/>
                  <w:marBottom w:val="0"/>
                  <w:divBdr>
                    <w:top w:val="none" w:sz="0" w:space="0" w:color="auto"/>
                    <w:left w:val="none" w:sz="0" w:space="0" w:color="auto"/>
                    <w:bottom w:val="none" w:sz="0" w:space="0" w:color="auto"/>
                    <w:right w:val="none" w:sz="0" w:space="0" w:color="auto"/>
                  </w:divBdr>
                </w:div>
                <w:div w:id="1018967760">
                  <w:marLeft w:val="0"/>
                  <w:marRight w:val="0"/>
                  <w:marTop w:val="0"/>
                  <w:marBottom w:val="0"/>
                  <w:divBdr>
                    <w:top w:val="none" w:sz="0" w:space="0" w:color="auto"/>
                    <w:left w:val="none" w:sz="0" w:space="0" w:color="auto"/>
                    <w:bottom w:val="none" w:sz="0" w:space="0" w:color="auto"/>
                    <w:right w:val="none" w:sz="0" w:space="0" w:color="auto"/>
                  </w:divBdr>
                </w:div>
                <w:div w:id="1509978040">
                  <w:marLeft w:val="0"/>
                  <w:marRight w:val="0"/>
                  <w:marTop w:val="0"/>
                  <w:marBottom w:val="0"/>
                  <w:divBdr>
                    <w:top w:val="none" w:sz="0" w:space="0" w:color="auto"/>
                    <w:left w:val="none" w:sz="0" w:space="0" w:color="auto"/>
                    <w:bottom w:val="none" w:sz="0" w:space="0" w:color="auto"/>
                    <w:right w:val="none" w:sz="0" w:space="0" w:color="auto"/>
                  </w:divBdr>
                </w:div>
                <w:div w:id="550654893">
                  <w:marLeft w:val="0"/>
                  <w:marRight w:val="0"/>
                  <w:marTop w:val="0"/>
                  <w:marBottom w:val="0"/>
                  <w:divBdr>
                    <w:top w:val="none" w:sz="0" w:space="0" w:color="auto"/>
                    <w:left w:val="none" w:sz="0" w:space="0" w:color="auto"/>
                    <w:bottom w:val="none" w:sz="0" w:space="0" w:color="auto"/>
                    <w:right w:val="none" w:sz="0" w:space="0" w:color="auto"/>
                  </w:divBdr>
                </w:div>
                <w:div w:id="1171992351">
                  <w:marLeft w:val="0"/>
                  <w:marRight w:val="0"/>
                  <w:marTop w:val="0"/>
                  <w:marBottom w:val="0"/>
                  <w:divBdr>
                    <w:top w:val="none" w:sz="0" w:space="0" w:color="auto"/>
                    <w:left w:val="none" w:sz="0" w:space="0" w:color="auto"/>
                    <w:bottom w:val="none" w:sz="0" w:space="0" w:color="auto"/>
                    <w:right w:val="none" w:sz="0" w:space="0" w:color="auto"/>
                  </w:divBdr>
                </w:div>
                <w:div w:id="1292055417">
                  <w:marLeft w:val="0"/>
                  <w:marRight w:val="0"/>
                  <w:marTop w:val="0"/>
                  <w:marBottom w:val="0"/>
                  <w:divBdr>
                    <w:top w:val="none" w:sz="0" w:space="0" w:color="auto"/>
                    <w:left w:val="none" w:sz="0" w:space="0" w:color="auto"/>
                    <w:bottom w:val="none" w:sz="0" w:space="0" w:color="auto"/>
                    <w:right w:val="none" w:sz="0" w:space="0" w:color="auto"/>
                  </w:divBdr>
                </w:div>
                <w:div w:id="834495857">
                  <w:marLeft w:val="0"/>
                  <w:marRight w:val="0"/>
                  <w:marTop w:val="0"/>
                  <w:marBottom w:val="0"/>
                  <w:divBdr>
                    <w:top w:val="none" w:sz="0" w:space="0" w:color="auto"/>
                    <w:left w:val="none" w:sz="0" w:space="0" w:color="auto"/>
                    <w:bottom w:val="none" w:sz="0" w:space="0" w:color="auto"/>
                    <w:right w:val="none" w:sz="0" w:space="0" w:color="auto"/>
                  </w:divBdr>
                </w:div>
                <w:div w:id="859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712">
          <w:marLeft w:val="0"/>
          <w:marRight w:val="0"/>
          <w:marTop w:val="200"/>
          <w:marBottom w:val="200"/>
          <w:divBdr>
            <w:top w:val="single" w:sz="8" w:space="0" w:color="000000"/>
            <w:left w:val="single" w:sz="8" w:space="0" w:color="000000"/>
            <w:bottom w:val="single" w:sz="8" w:space="0" w:color="000000"/>
            <w:right w:val="single" w:sz="8" w:space="0" w:color="000000"/>
          </w:divBdr>
          <w:divsChild>
            <w:div w:id="997268095">
              <w:marLeft w:val="0"/>
              <w:marRight w:val="0"/>
              <w:marTop w:val="0"/>
              <w:marBottom w:val="0"/>
              <w:divBdr>
                <w:top w:val="none" w:sz="0" w:space="0" w:color="auto"/>
                <w:left w:val="none" w:sz="0" w:space="0" w:color="auto"/>
                <w:bottom w:val="none" w:sz="0" w:space="0" w:color="auto"/>
                <w:right w:val="none" w:sz="0" w:space="0" w:color="auto"/>
              </w:divBdr>
            </w:div>
            <w:div w:id="2014448117">
              <w:marLeft w:val="0"/>
              <w:marRight w:val="0"/>
              <w:marTop w:val="0"/>
              <w:marBottom w:val="0"/>
              <w:divBdr>
                <w:top w:val="none" w:sz="0" w:space="0" w:color="auto"/>
                <w:left w:val="none" w:sz="0" w:space="0" w:color="auto"/>
                <w:bottom w:val="none" w:sz="0" w:space="0" w:color="auto"/>
                <w:right w:val="none" w:sz="0" w:space="0" w:color="auto"/>
              </w:divBdr>
              <w:divsChild>
                <w:div w:id="136994361">
                  <w:marLeft w:val="0"/>
                  <w:marRight w:val="0"/>
                  <w:marTop w:val="0"/>
                  <w:marBottom w:val="0"/>
                  <w:divBdr>
                    <w:top w:val="none" w:sz="0" w:space="0" w:color="auto"/>
                    <w:left w:val="none" w:sz="0" w:space="0" w:color="auto"/>
                    <w:bottom w:val="none" w:sz="0" w:space="0" w:color="auto"/>
                    <w:right w:val="none" w:sz="0" w:space="0" w:color="auto"/>
                  </w:divBdr>
                </w:div>
                <w:div w:id="1103840420">
                  <w:marLeft w:val="0"/>
                  <w:marRight w:val="0"/>
                  <w:marTop w:val="0"/>
                  <w:marBottom w:val="0"/>
                  <w:divBdr>
                    <w:top w:val="none" w:sz="0" w:space="0" w:color="auto"/>
                    <w:left w:val="none" w:sz="0" w:space="0" w:color="auto"/>
                    <w:bottom w:val="none" w:sz="0" w:space="0" w:color="auto"/>
                    <w:right w:val="none" w:sz="0" w:space="0" w:color="auto"/>
                  </w:divBdr>
                </w:div>
                <w:div w:id="1831169621">
                  <w:marLeft w:val="0"/>
                  <w:marRight w:val="0"/>
                  <w:marTop w:val="0"/>
                  <w:marBottom w:val="0"/>
                  <w:divBdr>
                    <w:top w:val="none" w:sz="0" w:space="0" w:color="auto"/>
                    <w:left w:val="none" w:sz="0" w:space="0" w:color="auto"/>
                    <w:bottom w:val="none" w:sz="0" w:space="0" w:color="auto"/>
                    <w:right w:val="none" w:sz="0" w:space="0" w:color="auto"/>
                  </w:divBdr>
                </w:div>
                <w:div w:id="1308126267">
                  <w:marLeft w:val="0"/>
                  <w:marRight w:val="0"/>
                  <w:marTop w:val="0"/>
                  <w:marBottom w:val="0"/>
                  <w:divBdr>
                    <w:top w:val="none" w:sz="0" w:space="0" w:color="auto"/>
                    <w:left w:val="none" w:sz="0" w:space="0" w:color="auto"/>
                    <w:bottom w:val="none" w:sz="0" w:space="0" w:color="auto"/>
                    <w:right w:val="none" w:sz="0" w:space="0" w:color="auto"/>
                  </w:divBdr>
                </w:div>
                <w:div w:id="1281644739">
                  <w:marLeft w:val="0"/>
                  <w:marRight w:val="0"/>
                  <w:marTop w:val="0"/>
                  <w:marBottom w:val="0"/>
                  <w:divBdr>
                    <w:top w:val="none" w:sz="0" w:space="0" w:color="auto"/>
                    <w:left w:val="none" w:sz="0" w:space="0" w:color="auto"/>
                    <w:bottom w:val="none" w:sz="0" w:space="0" w:color="auto"/>
                    <w:right w:val="none" w:sz="0" w:space="0" w:color="auto"/>
                  </w:divBdr>
                </w:div>
                <w:div w:id="1489705944">
                  <w:marLeft w:val="0"/>
                  <w:marRight w:val="0"/>
                  <w:marTop w:val="0"/>
                  <w:marBottom w:val="0"/>
                  <w:divBdr>
                    <w:top w:val="none" w:sz="0" w:space="0" w:color="auto"/>
                    <w:left w:val="none" w:sz="0" w:space="0" w:color="auto"/>
                    <w:bottom w:val="none" w:sz="0" w:space="0" w:color="auto"/>
                    <w:right w:val="none" w:sz="0" w:space="0" w:color="auto"/>
                  </w:divBdr>
                </w:div>
                <w:div w:id="874586650">
                  <w:marLeft w:val="0"/>
                  <w:marRight w:val="0"/>
                  <w:marTop w:val="0"/>
                  <w:marBottom w:val="0"/>
                  <w:divBdr>
                    <w:top w:val="none" w:sz="0" w:space="0" w:color="auto"/>
                    <w:left w:val="none" w:sz="0" w:space="0" w:color="auto"/>
                    <w:bottom w:val="none" w:sz="0" w:space="0" w:color="auto"/>
                    <w:right w:val="none" w:sz="0" w:space="0" w:color="auto"/>
                  </w:divBdr>
                </w:div>
                <w:div w:id="857233771">
                  <w:marLeft w:val="0"/>
                  <w:marRight w:val="0"/>
                  <w:marTop w:val="0"/>
                  <w:marBottom w:val="0"/>
                  <w:divBdr>
                    <w:top w:val="none" w:sz="0" w:space="0" w:color="auto"/>
                    <w:left w:val="none" w:sz="0" w:space="0" w:color="auto"/>
                    <w:bottom w:val="none" w:sz="0" w:space="0" w:color="auto"/>
                    <w:right w:val="none" w:sz="0" w:space="0" w:color="auto"/>
                  </w:divBdr>
                  <w:divsChild>
                    <w:div w:id="570044893">
                      <w:marLeft w:val="0"/>
                      <w:marRight w:val="0"/>
                      <w:marTop w:val="0"/>
                      <w:marBottom w:val="0"/>
                      <w:divBdr>
                        <w:top w:val="none" w:sz="0" w:space="0" w:color="auto"/>
                        <w:left w:val="none" w:sz="0" w:space="0" w:color="auto"/>
                        <w:bottom w:val="none" w:sz="0" w:space="0" w:color="auto"/>
                        <w:right w:val="none" w:sz="0" w:space="0" w:color="auto"/>
                      </w:divBdr>
                    </w:div>
                    <w:div w:id="801532607">
                      <w:marLeft w:val="0"/>
                      <w:marRight w:val="0"/>
                      <w:marTop w:val="0"/>
                      <w:marBottom w:val="0"/>
                      <w:divBdr>
                        <w:top w:val="none" w:sz="0" w:space="0" w:color="auto"/>
                        <w:left w:val="none" w:sz="0" w:space="0" w:color="auto"/>
                        <w:bottom w:val="none" w:sz="0" w:space="0" w:color="auto"/>
                        <w:right w:val="none" w:sz="0" w:space="0" w:color="auto"/>
                      </w:divBdr>
                    </w:div>
                    <w:div w:id="1823933786">
                      <w:marLeft w:val="0"/>
                      <w:marRight w:val="0"/>
                      <w:marTop w:val="0"/>
                      <w:marBottom w:val="0"/>
                      <w:divBdr>
                        <w:top w:val="none" w:sz="0" w:space="0" w:color="auto"/>
                        <w:left w:val="none" w:sz="0" w:space="0" w:color="auto"/>
                        <w:bottom w:val="none" w:sz="0" w:space="0" w:color="auto"/>
                        <w:right w:val="none" w:sz="0" w:space="0" w:color="auto"/>
                      </w:divBdr>
                    </w:div>
                    <w:div w:id="762994954">
                      <w:marLeft w:val="0"/>
                      <w:marRight w:val="0"/>
                      <w:marTop w:val="0"/>
                      <w:marBottom w:val="0"/>
                      <w:divBdr>
                        <w:top w:val="none" w:sz="0" w:space="0" w:color="auto"/>
                        <w:left w:val="none" w:sz="0" w:space="0" w:color="auto"/>
                        <w:bottom w:val="none" w:sz="0" w:space="0" w:color="auto"/>
                        <w:right w:val="none" w:sz="0" w:space="0" w:color="auto"/>
                      </w:divBdr>
                    </w:div>
                    <w:div w:id="1006901631">
                      <w:marLeft w:val="0"/>
                      <w:marRight w:val="0"/>
                      <w:marTop w:val="0"/>
                      <w:marBottom w:val="0"/>
                      <w:divBdr>
                        <w:top w:val="none" w:sz="0" w:space="0" w:color="auto"/>
                        <w:left w:val="none" w:sz="0" w:space="0" w:color="auto"/>
                        <w:bottom w:val="none" w:sz="0" w:space="0" w:color="auto"/>
                        <w:right w:val="none" w:sz="0" w:space="0" w:color="auto"/>
                      </w:divBdr>
                    </w:div>
                  </w:divsChild>
                </w:div>
                <w:div w:id="1984845639">
                  <w:marLeft w:val="0"/>
                  <w:marRight w:val="0"/>
                  <w:marTop w:val="0"/>
                  <w:marBottom w:val="0"/>
                  <w:divBdr>
                    <w:top w:val="none" w:sz="0" w:space="0" w:color="auto"/>
                    <w:left w:val="none" w:sz="0" w:space="0" w:color="auto"/>
                    <w:bottom w:val="none" w:sz="0" w:space="0" w:color="auto"/>
                    <w:right w:val="none" w:sz="0" w:space="0" w:color="auto"/>
                  </w:divBdr>
                </w:div>
                <w:div w:id="1323898042">
                  <w:marLeft w:val="0"/>
                  <w:marRight w:val="0"/>
                  <w:marTop w:val="0"/>
                  <w:marBottom w:val="0"/>
                  <w:divBdr>
                    <w:top w:val="none" w:sz="0" w:space="0" w:color="auto"/>
                    <w:left w:val="none" w:sz="0" w:space="0" w:color="auto"/>
                    <w:bottom w:val="none" w:sz="0" w:space="0" w:color="auto"/>
                    <w:right w:val="none" w:sz="0" w:space="0" w:color="auto"/>
                  </w:divBdr>
                </w:div>
                <w:div w:id="798260656">
                  <w:marLeft w:val="0"/>
                  <w:marRight w:val="0"/>
                  <w:marTop w:val="0"/>
                  <w:marBottom w:val="0"/>
                  <w:divBdr>
                    <w:top w:val="none" w:sz="0" w:space="0" w:color="auto"/>
                    <w:left w:val="none" w:sz="0" w:space="0" w:color="auto"/>
                    <w:bottom w:val="none" w:sz="0" w:space="0" w:color="auto"/>
                    <w:right w:val="none" w:sz="0" w:space="0" w:color="auto"/>
                  </w:divBdr>
                </w:div>
                <w:div w:id="1772044063">
                  <w:marLeft w:val="0"/>
                  <w:marRight w:val="0"/>
                  <w:marTop w:val="0"/>
                  <w:marBottom w:val="0"/>
                  <w:divBdr>
                    <w:top w:val="none" w:sz="0" w:space="0" w:color="auto"/>
                    <w:left w:val="none" w:sz="0" w:space="0" w:color="auto"/>
                    <w:bottom w:val="none" w:sz="0" w:space="0" w:color="auto"/>
                    <w:right w:val="none" w:sz="0" w:space="0" w:color="auto"/>
                  </w:divBdr>
                </w:div>
                <w:div w:id="450512629">
                  <w:marLeft w:val="0"/>
                  <w:marRight w:val="0"/>
                  <w:marTop w:val="0"/>
                  <w:marBottom w:val="0"/>
                  <w:divBdr>
                    <w:top w:val="none" w:sz="0" w:space="0" w:color="auto"/>
                    <w:left w:val="none" w:sz="0" w:space="0" w:color="auto"/>
                    <w:bottom w:val="none" w:sz="0" w:space="0" w:color="auto"/>
                    <w:right w:val="none" w:sz="0" w:space="0" w:color="auto"/>
                  </w:divBdr>
                </w:div>
                <w:div w:id="805582631">
                  <w:marLeft w:val="0"/>
                  <w:marRight w:val="0"/>
                  <w:marTop w:val="0"/>
                  <w:marBottom w:val="0"/>
                  <w:divBdr>
                    <w:top w:val="none" w:sz="0" w:space="0" w:color="auto"/>
                    <w:left w:val="none" w:sz="0" w:space="0" w:color="auto"/>
                    <w:bottom w:val="none" w:sz="0" w:space="0" w:color="auto"/>
                    <w:right w:val="none" w:sz="0" w:space="0" w:color="auto"/>
                  </w:divBdr>
                </w:div>
                <w:div w:id="1582449039">
                  <w:marLeft w:val="0"/>
                  <w:marRight w:val="0"/>
                  <w:marTop w:val="0"/>
                  <w:marBottom w:val="0"/>
                  <w:divBdr>
                    <w:top w:val="none" w:sz="0" w:space="0" w:color="auto"/>
                    <w:left w:val="none" w:sz="0" w:space="0" w:color="auto"/>
                    <w:bottom w:val="none" w:sz="0" w:space="0" w:color="auto"/>
                    <w:right w:val="none" w:sz="0" w:space="0" w:color="auto"/>
                  </w:divBdr>
                </w:div>
                <w:div w:id="365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897">
          <w:marLeft w:val="0"/>
          <w:marRight w:val="0"/>
          <w:marTop w:val="200"/>
          <w:marBottom w:val="200"/>
          <w:divBdr>
            <w:top w:val="single" w:sz="8" w:space="0" w:color="000000"/>
            <w:left w:val="single" w:sz="8" w:space="0" w:color="000000"/>
            <w:bottom w:val="single" w:sz="8" w:space="0" w:color="000000"/>
            <w:right w:val="single" w:sz="8" w:space="0" w:color="000000"/>
          </w:divBdr>
          <w:divsChild>
            <w:div w:id="183446295">
              <w:marLeft w:val="0"/>
              <w:marRight w:val="0"/>
              <w:marTop w:val="0"/>
              <w:marBottom w:val="0"/>
              <w:divBdr>
                <w:top w:val="none" w:sz="0" w:space="0" w:color="auto"/>
                <w:left w:val="none" w:sz="0" w:space="0" w:color="auto"/>
                <w:bottom w:val="none" w:sz="0" w:space="0" w:color="auto"/>
                <w:right w:val="none" w:sz="0" w:space="0" w:color="auto"/>
              </w:divBdr>
            </w:div>
            <w:div w:id="1816215414">
              <w:marLeft w:val="0"/>
              <w:marRight w:val="0"/>
              <w:marTop w:val="0"/>
              <w:marBottom w:val="0"/>
              <w:divBdr>
                <w:top w:val="none" w:sz="0" w:space="0" w:color="auto"/>
                <w:left w:val="none" w:sz="0" w:space="0" w:color="auto"/>
                <w:bottom w:val="none" w:sz="0" w:space="0" w:color="auto"/>
                <w:right w:val="none" w:sz="0" w:space="0" w:color="auto"/>
              </w:divBdr>
              <w:divsChild>
                <w:div w:id="730422277">
                  <w:marLeft w:val="0"/>
                  <w:marRight w:val="0"/>
                  <w:marTop w:val="0"/>
                  <w:marBottom w:val="0"/>
                  <w:divBdr>
                    <w:top w:val="none" w:sz="0" w:space="0" w:color="auto"/>
                    <w:left w:val="none" w:sz="0" w:space="0" w:color="auto"/>
                    <w:bottom w:val="none" w:sz="0" w:space="0" w:color="auto"/>
                    <w:right w:val="none" w:sz="0" w:space="0" w:color="auto"/>
                  </w:divBdr>
                </w:div>
                <w:div w:id="1643272966">
                  <w:marLeft w:val="0"/>
                  <w:marRight w:val="0"/>
                  <w:marTop w:val="0"/>
                  <w:marBottom w:val="0"/>
                  <w:divBdr>
                    <w:top w:val="none" w:sz="0" w:space="0" w:color="auto"/>
                    <w:left w:val="none" w:sz="0" w:space="0" w:color="auto"/>
                    <w:bottom w:val="none" w:sz="0" w:space="0" w:color="auto"/>
                    <w:right w:val="none" w:sz="0" w:space="0" w:color="auto"/>
                  </w:divBdr>
                </w:div>
                <w:div w:id="466165788">
                  <w:marLeft w:val="0"/>
                  <w:marRight w:val="0"/>
                  <w:marTop w:val="0"/>
                  <w:marBottom w:val="0"/>
                  <w:divBdr>
                    <w:top w:val="none" w:sz="0" w:space="0" w:color="auto"/>
                    <w:left w:val="none" w:sz="0" w:space="0" w:color="auto"/>
                    <w:bottom w:val="none" w:sz="0" w:space="0" w:color="auto"/>
                    <w:right w:val="none" w:sz="0" w:space="0" w:color="auto"/>
                  </w:divBdr>
                </w:div>
                <w:div w:id="1804813624">
                  <w:marLeft w:val="0"/>
                  <w:marRight w:val="0"/>
                  <w:marTop w:val="0"/>
                  <w:marBottom w:val="0"/>
                  <w:divBdr>
                    <w:top w:val="none" w:sz="0" w:space="0" w:color="auto"/>
                    <w:left w:val="none" w:sz="0" w:space="0" w:color="auto"/>
                    <w:bottom w:val="none" w:sz="0" w:space="0" w:color="auto"/>
                    <w:right w:val="none" w:sz="0" w:space="0" w:color="auto"/>
                  </w:divBdr>
                </w:div>
                <w:div w:id="2138718749">
                  <w:marLeft w:val="0"/>
                  <w:marRight w:val="0"/>
                  <w:marTop w:val="0"/>
                  <w:marBottom w:val="0"/>
                  <w:divBdr>
                    <w:top w:val="none" w:sz="0" w:space="0" w:color="auto"/>
                    <w:left w:val="none" w:sz="0" w:space="0" w:color="auto"/>
                    <w:bottom w:val="none" w:sz="0" w:space="0" w:color="auto"/>
                    <w:right w:val="none" w:sz="0" w:space="0" w:color="auto"/>
                  </w:divBdr>
                </w:div>
                <w:div w:id="2134978130">
                  <w:marLeft w:val="0"/>
                  <w:marRight w:val="0"/>
                  <w:marTop w:val="0"/>
                  <w:marBottom w:val="0"/>
                  <w:divBdr>
                    <w:top w:val="none" w:sz="0" w:space="0" w:color="auto"/>
                    <w:left w:val="none" w:sz="0" w:space="0" w:color="auto"/>
                    <w:bottom w:val="none" w:sz="0" w:space="0" w:color="auto"/>
                    <w:right w:val="none" w:sz="0" w:space="0" w:color="auto"/>
                  </w:divBdr>
                </w:div>
                <w:div w:id="229577305">
                  <w:marLeft w:val="0"/>
                  <w:marRight w:val="0"/>
                  <w:marTop w:val="0"/>
                  <w:marBottom w:val="0"/>
                  <w:divBdr>
                    <w:top w:val="none" w:sz="0" w:space="0" w:color="auto"/>
                    <w:left w:val="none" w:sz="0" w:space="0" w:color="auto"/>
                    <w:bottom w:val="none" w:sz="0" w:space="0" w:color="auto"/>
                    <w:right w:val="none" w:sz="0" w:space="0" w:color="auto"/>
                  </w:divBdr>
                </w:div>
                <w:div w:id="2103799897">
                  <w:marLeft w:val="0"/>
                  <w:marRight w:val="0"/>
                  <w:marTop w:val="0"/>
                  <w:marBottom w:val="0"/>
                  <w:divBdr>
                    <w:top w:val="none" w:sz="0" w:space="0" w:color="auto"/>
                    <w:left w:val="none" w:sz="0" w:space="0" w:color="auto"/>
                    <w:bottom w:val="none" w:sz="0" w:space="0" w:color="auto"/>
                    <w:right w:val="none" w:sz="0" w:space="0" w:color="auto"/>
                  </w:divBdr>
                </w:div>
                <w:div w:id="987133181">
                  <w:marLeft w:val="0"/>
                  <w:marRight w:val="0"/>
                  <w:marTop w:val="0"/>
                  <w:marBottom w:val="0"/>
                  <w:divBdr>
                    <w:top w:val="none" w:sz="0" w:space="0" w:color="auto"/>
                    <w:left w:val="none" w:sz="0" w:space="0" w:color="auto"/>
                    <w:bottom w:val="none" w:sz="0" w:space="0" w:color="auto"/>
                    <w:right w:val="none" w:sz="0" w:space="0" w:color="auto"/>
                  </w:divBdr>
                </w:div>
                <w:div w:id="1066488103">
                  <w:marLeft w:val="0"/>
                  <w:marRight w:val="0"/>
                  <w:marTop w:val="0"/>
                  <w:marBottom w:val="0"/>
                  <w:divBdr>
                    <w:top w:val="none" w:sz="0" w:space="0" w:color="auto"/>
                    <w:left w:val="none" w:sz="0" w:space="0" w:color="auto"/>
                    <w:bottom w:val="none" w:sz="0" w:space="0" w:color="auto"/>
                    <w:right w:val="none" w:sz="0" w:space="0" w:color="auto"/>
                  </w:divBdr>
                </w:div>
                <w:div w:id="1810245834">
                  <w:marLeft w:val="0"/>
                  <w:marRight w:val="0"/>
                  <w:marTop w:val="0"/>
                  <w:marBottom w:val="0"/>
                  <w:divBdr>
                    <w:top w:val="none" w:sz="0" w:space="0" w:color="auto"/>
                    <w:left w:val="none" w:sz="0" w:space="0" w:color="auto"/>
                    <w:bottom w:val="none" w:sz="0" w:space="0" w:color="auto"/>
                    <w:right w:val="none" w:sz="0" w:space="0" w:color="auto"/>
                  </w:divBdr>
                </w:div>
                <w:div w:id="1770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2494</Words>
  <Characters>14216</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worknbde</dc:creator>
  <cp:lastModifiedBy>Fokova Barbora</cp:lastModifiedBy>
  <cp:revision>21</cp:revision>
  <cp:lastPrinted>2024-05-07T07:47:00Z</cp:lastPrinted>
  <dcterms:created xsi:type="dcterms:W3CDTF">2024-05-15T15:19:00Z</dcterms:created>
  <dcterms:modified xsi:type="dcterms:W3CDTF">2024-08-08T05:57:00Z</dcterms:modified>
</cp:coreProperties>
</file>