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1B23B7" w:rsidRPr="003341CA" w:rsidRDefault="003341CA" w:rsidP="009010D9">
            <w:pPr>
              <w:jc w:val="both"/>
              <w:rPr>
                <w:rFonts w:ascii="Times New Roman" w:eastAsia="Times New Roman" w:hAnsi="Times New Roman" w:cs="Times New Roman"/>
                <w:sz w:val="24"/>
                <w:szCs w:val="24"/>
                <w:lang w:eastAsia="sk-SK"/>
              </w:rPr>
            </w:pPr>
            <w:r w:rsidRPr="003341CA">
              <w:rPr>
                <w:rFonts w:ascii="Times New Roman" w:eastAsia="Times New Roman" w:hAnsi="Times New Roman" w:cs="Times New Roman"/>
                <w:bCs/>
                <w:iCs/>
                <w:sz w:val="24"/>
                <w:szCs w:val="24"/>
                <w:lang w:eastAsia="sk-SK"/>
              </w:rPr>
              <w:t xml:space="preserve">Návrh zákona, </w:t>
            </w:r>
            <w:r w:rsidRPr="003341CA">
              <w:rPr>
                <w:rFonts w:ascii="Times New Roman" w:eastAsia="Times New Roman" w:hAnsi="Times New Roman" w:cs="Times New Roman"/>
                <w:sz w:val="24"/>
                <w:szCs w:val="24"/>
                <w:lang w:eastAsia="sk-SK"/>
              </w:rPr>
              <w:t>ktorým sa mení a dopĺňa zákon č. 297/2008 Z. z. o ochrane pred legalizáciou príjmov z trestnej činnosti a o ochrane pred financovaním terorizmu a o zmene a doplnení niektorých zákon</w:t>
            </w:r>
            <w:r w:rsidR="001D7C11">
              <w:rPr>
                <w:rFonts w:ascii="Times New Roman" w:eastAsia="Times New Roman" w:hAnsi="Times New Roman" w:cs="Times New Roman"/>
                <w:sz w:val="24"/>
                <w:szCs w:val="24"/>
                <w:lang w:eastAsia="sk-SK"/>
              </w:rPr>
              <w:t>ov v znení neskorších predpisov a ktorým sa menia</w:t>
            </w:r>
            <w:r w:rsidR="009010D9">
              <w:rPr>
                <w:rFonts w:ascii="Times New Roman" w:eastAsia="Times New Roman" w:hAnsi="Times New Roman" w:cs="Times New Roman"/>
                <w:sz w:val="24"/>
                <w:szCs w:val="24"/>
                <w:lang w:eastAsia="sk-SK"/>
              </w:rPr>
              <w:t xml:space="preserve"> a</w:t>
            </w:r>
            <w:r w:rsidR="001D7C11">
              <w:rPr>
                <w:rFonts w:ascii="Times New Roman" w:eastAsia="Times New Roman" w:hAnsi="Times New Roman" w:cs="Times New Roman"/>
                <w:sz w:val="24"/>
                <w:szCs w:val="24"/>
                <w:lang w:eastAsia="sk-SK"/>
              </w:rPr>
              <w:t xml:space="preserve"> dopĺňajú niektoré zákony.</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9010D9" w:rsidRDefault="003341CA" w:rsidP="000800FC">
            <w:pPr>
              <w:rPr>
                <w:rFonts w:ascii="Times New Roman" w:eastAsia="Times New Roman" w:hAnsi="Times New Roman" w:cs="Times New Roman"/>
                <w:sz w:val="24"/>
                <w:szCs w:val="24"/>
                <w:lang w:eastAsia="sk-SK"/>
              </w:rPr>
            </w:pPr>
            <w:r w:rsidRPr="003341CA">
              <w:rPr>
                <w:rFonts w:ascii="Times New Roman" w:eastAsia="Times New Roman" w:hAnsi="Times New Roman" w:cs="Times New Roman"/>
                <w:sz w:val="24"/>
                <w:szCs w:val="24"/>
                <w:lang w:eastAsia="sk-SK"/>
              </w:rPr>
              <w:t>Ministerstvo vnútra Slovenskej republiky</w:t>
            </w: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3341CA"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3341CA"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3341CA" w:rsidRPr="003341CA" w:rsidRDefault="003341CA" w:rsidP="007552E8">
            <w:pPr>
              <w:numPr>
                <w:ilvl w:val="0"/>
                <w:numId w:val="2"/>
              </w:numPr>
              <w:jc w:val="both"/>
              <w:rPr>
                <w:rFonts w:ascii="Times New Roman" w:eastAsia="Times New Roman" w:hAnsi="Times New Roman" w:cs="Times New Roman"/>
                <w:sz w:val="24"/>
                <w:szCs w:val="24"/>
                <w:lang w:eastAsia="sk-SK"/>
              </w:rPr>
            </w:pPr>
            <w:r w:rsidRPr="003341CA">
              <w:rPr>
                <w:rFonts w:ascii="Times New Roman" w:eastAsia="Times New Roman" w:hAnsi="Times New Roman" w:cs="Times New Roman"/>
                <w:sz w:val="24"/>
                <w:szCs w:val="24"/>
                <w:lang w:eastAsia="sk-SK"/>
              </w:rPr>
              <w:t>implementácia niektorých ustanovení nariadenia Európskeho parlamentu a Rady (EÚ) 2023/1113 z 31. mája 2023 o údajoch sprevádzajúcich prevody finančných prostriedkov a určitých kryptoaktív a o zmene smernice (EÚ) 2015/849 (ďalej len „nariadenie  (EÚ) 2023/1113“),</w:t>
            </w:r>
          </w:p>
          <w:p w:rsidR="003341CA" w:rsidRPr="003341CA" w:rsidRDefault="003341CA" w:rsidP="007552E8">
            <w:pPr>
              <w:numPr>
                <w:ilvl w:val="0"/>
                <w:numId w:val="2"/>
              </w:numPr>
              <w:jc w:val="both"/>
              <w:rPr>
                <w:rFonts w:ascii="Times New Roman" w:eastAsia="Times New Roman" w:hAnsi="Times New Roman" w:cs="Times New Roman"/>
                <w:sz w:val="24"/>
                <w:szCs w:val="24"/>
                <w:lang w:eastAsia="sk-SK"/>
              </w:rPr>
            </w:pPr>
            <w:r w:rsidRPr="003341CA">
              <w:rPr>
                <w:rFonts w:ascii="Times New Roman" w:eastAsia="Times New Roman" w:hAnsi="Times New Roman" w:cs="Times New Roman"/>
                <w:sz w:val="24"/>
                <w:szCs w:val="24"/>
                <w:lang w:eastAsia="sk-SK"/>
              </w:rPr>
              <w:t>transpozícia čl. 38 nariadenia (EÚ) 2023/1113, ktorým sa novelizuje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(ďalej len „smernica (EÚ) 2015/849“),</w:t>
            </w:r>
          </w:p>
          <w:p w:rsidR="003341CA" w:rsidRPr="003341CA" w:rsidRDefault="003341CA" w:rsidP="007552E8">
            <w:pPr>
              <w:numPr>
                <w:ilvl w:val="0"/>
                <w:numId w:val="2"/>
              </w:numPr>
              <w:jc w:val="both"/>
              <w:rPr>
                <w:rFonts w:ascii="Times New Roman" w:eastAsia="Times New Roman" w:hAnsi="Times New Roman" w:cs="Times New Roman"/>
                <w:sz w:val="24"/>
                <w:szCs w:val="24"/>
                <w:lang w:eastAsia="sk-SK"/>
              </w:rPr>
            </w:pPr>
            <w:r w:rsidRPr="003341CA">
              <w:rPr>
                <w:rFonts w:ascii="Times New Roman" w:eastAsia="Times New Roman" w:hAnsi="Times New Roman" w:cs="Times New Roman"/>
                <w:sz w:val="24"/>
                <w:szCs w:val="24"/>
                <w:lang w:eastAsia="sk-SK"/>
              </w:rPr>
              <w:t xml:space="preserve">spresnenie transpozície smernice (EÚ) 2015/849, </w:t>
            </w:r>
          </w:p>
          <w:p w:rsidR="003341CA" w:rsidRPr="003341CA" w:rsidRDefault="003341CA" w:rsidP="007552E8">
            <w:pPr>
              <w:numPr>
                <w:ilvl w:val="0"/>
                <w:numId w:val="2"/>
              </w:numPr>
              <w:jc w:val="both"/>
              <w:rPr>
                <w:rFonts w:ascii="Times New Roman" w:eastAsia="Times New Roman" w:hAnsi="Times New Roman" w:cs="Times New Roman"/>
                <w:sz w:val="24"/>
                <w:szCs w:val="24"/>
                <w:lang w:eastAsia="sk-SK"/>
              </w:rPr>
            </w:pPr>
            <w:r w:rsidRPr="003341CA">
              <w:rPr>
                <w:rFonts w:ascii="Times New Roman" w:eastAsia="Times New Roman" w:hAnsi="Times New Roman" w:cs="Times New Roman"/>
                <w:sz w:val="24"/>
                <w:szCs w:val="24"/>
                <w:lang w:eastAsia="sk-SK"/>
              </w:rPr>
              <w:t>spresnenie transpozície smernice Európskeho parlamentu a Rady (EÚ) 2018/843 z 30. mája 2018, ktorou sa mení smernica (EÚ) 2015/849 o predchádzaní využívaniu finančného systému na účely prania špinavých peňazí alebo financovania terorizmu a smernice 2009/138/ES a 2013/36/EÚ (ďalej len „smernica (EÚ) 2018/843“).</w:t>
            </w:r>
          </w:p>
          <w:p w:rsidR="003341CA" w:rsidRPr="003341CA" w:rsidRDefault="003341CA" w:rsidP="000800FC">
            <w:pPr>
              <w:rPr>
                <w:rFonts w:ascii="Times New Roman" w:eastAsia="Times New Roman" w:hAnsi="Times New Roman" w:cs="Times New Roman"/>
                <w:sz w:val="20"/>
                <w:szCs w:val="20"/>
                <w:lang w:eastAsia="sk-SK"/>
              </w:rPr>
            </w:pP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C41C38" w:rsidRDefault="00C41C38" w:rsidP="000800FC">
            <w:pPr>
              <w:rPr>
                <w:rFonts w:ascii="Times New Roman" w:eastAsia="Times New Roman" w:hAnsi="Times New Roman" w:cs="Times New Roman"/>
                <w:sz w:val="24"/>
                <w:szCs w:val="24"/>
                <w:lang w:eastAsia="sk-SK"/>
              </w:rPr>
            </w:pPr>
            <w:r w:rsidRPr="00C41C38">
              <w:rPr>
                <w:rFonts w:ascii="Times New Roman" w:eastAsia="Times New Roman" w:hAnsi="Times New Roman" w:cs="Times New Roman"/>
                <w:sz w:val="24"/>
                <w:szCs w:val="24"/>
                <w:lang w:eastAsia="sk-SK"/>
              </w:rPr>
              <w:t xml:space="preserve">od 22. mája do 31. mája 2024  </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9010D9" w:rsidRDefault="009010D9" w:rsidP="000800FC">
            <w:pPr>
              <w:rPr>
                <w:rFonts w:ascii="Times New Roman" w:eastAsia="Times New Roman" w:hAnsi="Times New Roman" w:cs="Times New Roman"/>
                <w:sz w:val="24"/>
                <w:szCs w:val="24"/>
                <w:lang w:eastAsia="sk-SK"/>
              </w:rPr>
            </w:pPr>
          </w:p>
          <w:p w:rsidR="001B23B7" w:rsidRPr="007D26EB" w:rsidRDefault="00687B71" w:rsidP="009010D9">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jún</w:t>
            </w:r>
            <w:r w:rsidR="00016572">
              <w:rPr>
                <w:rFonts w:ascii="Times New Roman" w:eastAsia="Times New Roman" w:hAnsi="Times New Roman" w:cs="Times New Roman"/>
                <w:sz w:val="24"/>
                <w:szCs w:val="24"/>
                <w:lang w:eastAsia="sk-SK"/>
              </w:rPr>
              <w:t xml:space="preserve"> </w:t>
            </w:r>
            <w:r w:rsidR="007D26EB" w:rsidRPr="007D26EB">
              <w:rPr>
                <w:rFonts w:ascii="Times New Roman" w:eastAsia="Times New Roman" w:hAnsi="Times New Roman" w:cs="Times New Roman"/>
                <w:sz w:val="24"/>
                <w:szCs w:val="24"/>
                <w:lang w:eastAsia="sk-SK"/>
              </w:rPr>
              <w:t xml:space="preserve"> 2024</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C41C38">
        <w:tc>
          <w:tcPr>
            <w:tcW w:w="9180" w:type="dxa"/>
            <w:gridSpan w:val="11"/>
            <w:tcBorders>
              <w:top w:val="single" w:sz="4" w:space="0" w:color="auto"/>
              <w:left w:val="single" w:sz="4" w:space="0" w:color="auto"/>
              <w:bottom w:val="single" w:sz="4" w:space="0" w:color="auto"/>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C41C38">
        <w:trPr>
          <w:trHeight w:val="718"/>
        </w:trPr>
        <w:tc>
          <w:tcPr>
            <w:tcW w:w="9180" w:type="dxa"/>
            <w:gridSpan w:val="11"/>
            <w:tcBorders>
              <w:top w:val="single" w:sz="4" w:space="0" w:color="auto"/>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7D26EB" w:rsidRDefault="007D26EB" w:rsidP="000800FC">
            <w:pPr>
              <w:jc w:val="both"/>
              <w:rPr>
                <w:rFonts w:ascii="Times New Roman" w:eastAsia="Times New Roman" w:hAnsi="Times New Roman" w:cs="Times New Roman"/>
                <w:i/>
                <w:sz w:val="20"/>
                <w:szCs w:val="20"/>
                <w:lang w:eastAsia="sk-SK"/>
              </w:rPr>
            </w:pPr>
          </w:p>
          <w:p w:rsidR="007D26EB" w:rsidRDefault="007D26EB" w:rsidP="007D26EB">
            <w:pPr>
              <w:jc w:val="both"/>
              <w:rPr>
                <w:rFonts w:ascii="Times New Roman" w:eastAsia="Times New Roman" w:hAnsi="Times New Roman" w:cs="Times New Roman"/>
                <w:sz w:val="24"/>
                <w:szCs w:val="24"/>
                <w:lang w:eastAsia="sk-SK"/>
              </w:rPr>
            </w:pPr>
            <w:r w:rsidRPr="007D26EB">
              <w:rPr>
                <w:rFonts w:ascii="Times New Roman" w:eastAsia="Times New Roman" w:hAnsi="Times New Roman" w:cs="Times New Roman"/>
                <w:sz w:val="24"/>
                <w:szCs w:val="24"/>
                <w:lang w:eastAsia="sk-SK"/>
              </w:rPr>
              <w:t xml:space="preserve">Navrhovaná právna úprava reaguje na prijatie nariadenia (EÚ) 2023/1113, ktoré zároveň mení smernicu (EÚ) 2015/849 v častiach týkajúcich sa poskytovateľov služieb kryptoaktív. Odstraňujú sa ňou taktiež nedostatky  transpozície smernice (EÚ) 2015/849, ako aj smernice (EÚ) 2018/843, ktoré boli SR zaslané zo strany Európskej komisie vo veci konania o porušení zmlúv vedeného podľa čl. 258 Zmluvy o fungovaní Európskej únie č. INFR (2020)2227. V neposlednom rade navrhovaná právna úprava odstraňuje nedostatky identifikované v Správe z 5. kola vzájomného hodnotenia SR Výborom expertov Rady Európy pre hodnotenie opatrení proti legalizácii príjmov z trestnej činnosti a financovaniu </w:t>
            </w:r>
            <w:r w:rsidRPr="007D26EB">
              <w:rPr>
                <w:rFonts w:ascii="Times New Roman" w:eastAsia="Times New Roman" w:hAnsi="Times New Roman" w:cs="Times New Roman"/>
                <w:sz w:val="24"/>
                <w:szCs w:val="24"/>
                <w:lang w:eastAsia="sk-SK"/>
              </w:rPr>
              <w:lastRenderedPageBreak/>
              <w:t>terorizmu Moneyval</w:t>
            </w:r>
            <w:r w:rsidR="00DC66DE">
              <w:rPr>
                <w:rFonts w:ascii="Times New Roman" w:eastAsia="Times New Roman" w:hAnsi="Times New Roman" w:cs="Times New Roman"/>
                <w:sz w:val="24"/>
                <w:szCs w:val="24"/>
                <w:lang w:eastAsia="sk-SK"/>
              </w:rPr>
              <w:t xml:space="preserve"> (ďalej len „</w:t>
            </w:r>
            <w:r w:rsidR="00DB06FD">
              <w:rPr>
                <w:rFonts w:ascii="Times New Roman" w:eastAsia="Times New Roman" w:hAnsi="Times New Roman" w:cs="Times New Roman"/>
                <w:sz w:val="24"/>
                <w:szCs w:val="24"/>
                <w:lang w:eastAsia="sk-SK"/>
              </w:rPr>
              <w:t xml:space="preserve">Výbor </w:t>
            </w:r>
            <w:r w:rsidR="00DC66DE">
              <w:rPr>
                <w:rFonts w:ascii="Times New Roman" w:eastAsia="Times New Roman" w:hAnsi="Times New Roman" w:cs="Times New Roman"/>
                <w:sz w:val="24"/>
                <w:szCs w:val="24"/>
                <w:lang w:eastAsia="sk-SK"/>
              </w:rPr>
              <w:t>Mo</w:t>
            </w:r>
            <w:r w:rsidR="009F2B79">
              <w:rPr>
                <w:rFonts w:ascii="Times New Roman" w:eastAsia="Times New Roman" w:hAnsi="Times New Roman" w:cs="Times New Roman"/>
                <w:sz w:val="24"/>
                <w:szCs w:val="24"/>
                <w:lang w:eastAsia="sk-SK"/>
              </w:rPr>
              <w:t>ne</w:t>
            </w:r>
            <w:r w:rsidR="005B40FE">
              <w:rPr>
                <w:rFonts w:ascii="Times New Roman" w:eastAsia="Times New Roman" w:hAnsi="Times New Roman" w:cs="Times New Roman"/>
                <w:sz w:val="24"/>
                <w:szCs w:val="24"/>
                <w:lang w:eastAsia="sk-SK"/>
              </w:rPr>
              <w:t>yval“)</w:t>
            </w:r>
            <w:r w:rsidRPr="007D26EB">
              <w:rPr>
                <w:rFonts w:ascii="Times New Roman" w:eastAsia="Times New Roman" w:hAnsi="Times New Roman" w:cs="Times New Roman"/>
                <w:sz w:val="24"/>
                <w:szCs w:val="24"/>
                <w:lang w:eastAsia="sk-SK"/>
              </w:rPr>
              <w:t xml:space="preserve">, v rámci ktorej bola SR zaradená do sprísneného režimu spravovania pokroku, t.j. bola jej uložená povinnosť každoročne zasielať správy o pokroku a odstrániť identifikované nedostatky do troch rokov od prijatia správy (táto lehota končí v decembri 2024). </w:t>
            </w:r>
          </w:p>
          <w:p w:rsidR="009F2B79" w:rsidRPr="009F2B79" w:rsidRDefault="009F2B79" w:rsidP="009F2B79">
            <w:pPr>
              <w:jc w:val="both"/>
              <w:rPr>
                <w:rFonts w:ascii="Times New Roman" w:eastAsia="Times New Roman" w:hAnsi="Times New Roman" w:cs="Times New Roman"/>
                <w:sz w:val="24"/>
                <w:szCs w:val="24"/>
                <w:lang w:eastAsia="sk-SK"/>
              </w:rPr>
            </w:pPr>
            <w:r w:rsidRPr="009F2B79">
              <w:rPr>
                <w:rFonts w:ascii="Times New Roman" w:eastAsia="Times New Roman" w:hAnsi="Times New Roman" w:cs="Times New Roman"/>
                <w:sz w:val="24"/>
                <w:szCs w:val="24"/>
                <w:lang w:eastAsia="sk-SK"/>
              </w:rPr>
              <w:t xml:space="preserve">Dôvodom vypracovania návrhu novely zákona o priestupkoch je reakcia na zavedenie povinnosti deklarovať peňažné prostriedky v hotovosti pri prekračovaní štátnej hranice Slovenskej republiky z územia iného členského štátu Európskej únie alebo na územie iného členského štátu Európskej únie, ktorá sa navrhuje v novele zákona o finančnej správe. </w:t>
            </w:r>
          </w:p>
          <w:p w:rsidR="001B23B7" w:rsidRPr="00612E08" w:rsidRDefault="009F2B79" w:rsidP="009010D9">
            <w:pPr>
              <w:jc w:val="both"/>
              <w:rPr>
                <w:rFonts w:ascii="Times New Roman" w:eastAsia="Times New Roman" w:hAnsi="Times New Roman" w:cs="Times New Roman"/>
                <w:b/>
                <w:sz w:val="20"/>
                <w:szCs w:val="20"/>
                <w:lang w:eastAsia="sk-SK"/>
              </w:rPr>
            </w:pPr>
            <w:r w:rsidRPr="009F2B79">
              <w:rPr>
                <w:rFonts w:ascii="Times New Roman" w:eastAsia="Times New Roman" w:hAnsi="Times New Roman" w:cs="Times New Roman"/>
                <w:sz w:val="24"/>
                <w:szCs w:val="24"/>
                <w:lang w:eastAsia="sk-SK"/>
              </w:rPr>
              <w:t xml:space="preserve">Dôvodom vypracovania návrhu novely Colného zákona je odporúčanie </w:t>
            </w:r>
            <w:r>
              <w:rPr>
                <w:rFonts w:ascii="Times New Roman" w:eastAsia="Times New Roman" w:hAnsi="Times New Roman" w:cs="Times New Roman"/>
                <w:sz w:val="24"/>
                <w:szCs w:val="24"/>
                <w:lang w:eastAsia="sk-SK"/>
              </w:rPr>
              <w:t xml:space="preserve">FATF </w:t>
            </w:r>
            <w:r w:rsidRPr="009F2B79">
              <w:rPr>
                <w:rFonts w:ascii="Times New Roman" w:eastAsia="Times New Roman" w:hAnsi="Times New Roman" w:cs="Times New Roman"/>
                <w:sz w:val="24"/>
                <w:szCs w:val="24"/>
                <w:lang w:eastAsia="sk-SK"/>
              </w:rPr>
              <w:t>č. 32 k preprave peňažných prostriedkov v hotovosti - sankcie za nepodanie ohlásenia alebo nepravdivé ohlásenia vo vzťahu k fyzickým osobám nie sú v súčasnosti dostatočne odrádzajúce. Obdobná situácia je aj v prípade ďalších colných priestupkov, za ktoré je možné uložiť pokutu vo výške, ktorá už v súčasnosti nemá preventívny a ani represívny  účinok.</w:t>
            </w:r>
            <w:r w:rsidR="00016572">
              <w:rPr>
                <w:rFonts w:ascii="Times New Roman" w:eastAsia="Times New Roman" w:hAnsi="Times New Roman" w:cs="Times New Roman"/>
                <w:sz w:val="24"/>
                <w:szCs w:val="24"/>
                <w:lang w:eastAsia="sk-SK"/>
              </w:rPr>
              <w:t xml:space="preserve"> </w:t>
            </w:r>
            <w:r w:rsidRPr="009F2B79">
              <w:rPr>
                <w:rFonts w:ascii="Times New Roman" w:eastAsia="Times New Roman" w:hAnsi="Times New Roman" w:cs="Times New Roman"/>
                <w:sz w:val="24"/>
                <w:szCs w:val="24"/>
                <w:lang w:eastAsia="sk-SK"/>
              </w:rPr>
              <w:t xml:space="preserve">Dôvodom vypracovania uvedeného návrhu zákona je negatívne hodnotenie </w:t>
            </w:r>
            <w:r>
              <w:rPr>
                <w:rFonts w:ascii="Times New Roman" w:eastAsia="Times New Roman" w:hAnsi="Times New Roman" w:cs="Times New Roman"/>
                <w:sz w:val="24"/>
                <w:szCs w:val="24"/>
                <w:lang w:eastAsia="sk-SK"/>
              </w:rPr>
              <w:t>zo strany</w:t>
            </w:r>
            <w:r w:rsidR="00DB06FD">
              <w:rPr>
                <w:rFonts w:ascii="Times New Roman" w:eastAsia="Times New Roman" w:hAnsi="Times New Roman" w:cs="Times New Roman"/>
                <w:sz w:val="24"/>
                <w:szCs w:val="24"/>
                <w:lang w:eastAsia="sk-SK"/>
              </w:rPr>
              <w:t xml:space="preserve"> </w:t>
            </w:r>
            <w:r w:rsidR="00DB06FD">
              <w:rPr>
                <w:rFonts w:ascii="Times New Roman" w:hAnsi="Times New Roman"/>
                <w:sz w:val="24"/>
                <w:szCs w:val="24"/>
              </w:rPr>
              <w:t>Výboru</w:t>
            </w:r>
            <w:r>
              <w:rPr>
                <w:rFonts w:ascii="Times New Roman" w:eastAsia="Times New Roman" w:hAnsi="Times New Roman" w:cs="Times New Roman"/>
                <w:sz w:val="24"/>
                <w:szCs w:val="24"/>
                <w:lang w:eastAsia="sk-SK"/>
              </w:rPr>
              <w:t xml:space="preserve"> </w:t>
            </w:r>
            <w:r w:rsidR="005B40FE">
              <w:rPr>
                <w:rFonts w:ascii="Times New Roman" w:eastAsia="Times New Roman" w:hAnsi="Times New Roman" w:cs="Times New Roman"/>
                <w:sz w:val="24"/>
                <w:szCs w:val="24"/>
                <w:lang w:eastAsia="sk-SK"/>
              </w:rPr>
              <w:t>Moneyval</w:t>
            </w:r>
            <w:r w:rsidRPr="009F2B79">
              <w:rPr>
                <w:rFonts w:ascii="Times New Roman" w:eastAsia="Times New Roman" w:hAnsi="Times New Roman" w:cs="Times New Roman"/>
                <w:sz w:val="24"/>
                <w:szCs w:val="24"/>
                <w:lang w:eastAsia="sk-SK"/>
              </w:rPr>
              <w:t>. Podľa hodnotiacej správy je v regióne V4 veľký tok hotovosti, ktorou sa financuje obchod s bielym mäsom, zbrane, drogy, terorizmus a pod. Z hodnotiacej správy zároveň vyplýva, že Slovenská republika neprijala dostatočné opatrenia pre vyššiu kontrolu hotovosti, za čo jej hrozí zníženie ratingu a prechod do tzv. sankčného režimu.</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E25879" w:rsidRDefault="00E25879" w:rsidP="000800FC">
            <w:pPr>
              <w:rPr>
                <w:rFonts w:ascii="Times New Roman" w:eastAsia="Times New Roman" w:hAnsi="Times New Roman" w:cs="Times New Roman"/>
                <w:i/>
                <w:sz w:val="20"/>
                <w:szCs w:val="20"/>
                <w:lang w:eastAsia="sk-SK"/>
              </w:rPr>
            </w:pPr>
          </w:p>
          <w:p w:rsidR="00E25879" w:rsidRPr="00E25879" w:rsidRDefault="00E25879" w:rsidP="00E25879">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Predloženým návrhom zákona sa transponuje</w:t>
            </w:r>
            <w:r w:rsidRPr="00E2587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novela</w:t>
            </w:r>
            <w:r w:rsidRPr="00E25879">
              <w:rPr>
                <w:rFonts w:ascii="Times New Roman" w:eastAsia="Times New Roman" w:hAnsi="Times New Roman" w:cs="Times New Roman"/>
                <w:sz w:val="24"/>
                <w:szCs w:val="24"/>
                <w:lang w:eastAsia="sk-SK"/>
              </w:rPr>
              <w:t xml:space="preserve"> smern</w:t>
            </w:r>
            <w:r>
              <w:rPr>
                <w:rFonts w:ascii="Times New Roman" w:eastAsia="Times New Roman" w:hAnsi="Times New Roman" w:cs="Times New Roman"/>
                <w:sz w:val="24"/>
                <w:szCs w:val="24"/>
                <w:lang w:eastAsia="sk-SK"/>
              </w:rPr>
              <w:t>ice (EÚ) 2015/849, implementujú sa</w:t>
            </w:r>
            <w:r w:rsidRPr="00E25879">
              <w:rPr>
                <w:rFonts w:ascii="Times New Roman" w:eastAsia="Times New Roman" w:hAnsi="Times New Roman" w:cs="Times New Roman"/>
                <w:sz w:val="24"/>
                <w:szCs w:val="24"/>
                <w:lang w:eastAsia="sk-SK"/>
              </w:rPr>
              <w:t xml:space="preserve"> ni</w:t>
            </w:r>
            <w:r>
              <w:rPr>
                <w:rFonts w:ascii="Times New Roman" w:eastAsia="Times New Roman" w:hAnsi="Times New Roman" w:cs="Times New Roman"/>
                <w:sz w:val="24"/>
                <w:szCs w:val="24"/>
                <w:lang w:eastAsia="sk-SK"/>
              </w:rPr>
              <w:t>ektoré ustanovenia</w:t>
            </w:r>
            <w:r w:rsidRPr="00E25879">
              <w:rPr>
                <w:rFonts w:ascii="Times New Roman" w:eastAsia="Times New Roman" w:hAnsi="Times New Roman" w:cs="Times New Roman"/>
                <w:sz w:val="24"/>
                <w:szCs w:val="24"/>
                <w:lang w:eastAsia="sk-SK"/>
              </w:rPr>
              <w:t xml:space="preserve"> nariad</w:t>
            </w:r>
            <w:r w:rsidR="008973CA">
              <w:rPr>
                <w:rFonts w:ascii="Times New Roman" w:eastAsia="Times New Roman" w:hAnsi="Times New Roman" w:cs="Times New Roman"/>
                <w:sz w:val="24"/>
                <w:szCs w:val="24"/>
                <w:lang w:eastAsia="sk-SK"/>
              </w:rPr>
              <w:t>enia (EÚ) 2023/1113, odstrá</w:t>
            </w:r>
            <w:r>
              <w:rPr>
                <w:rFonts w:ascii="Times New Roman" w:eastAsia="Times New Roman" w:hAnsi="Times New Roman" w:cs="Times New Roman"/>
                <w:sz w:val="24"/>
                <w:szCs w:val="24"/>
                <w:lang w:eastAsia="sk-SK"/>
              </w:rPr>
              <w:t>nia sa</w:t>
            </w:r>
            <w:r w:rsidRPr="00E2587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nedostatky</w:t>
            </w:r>
            <w:r w:rsidRPr="00E25879">
              <w:rPr>
                <w:rFonts w:ascii="Times New Roman" w:eastAsia="Times New Roman" w:hAnsi="Times New Roman" w:cs="Times New Roman"/>
                <w:sz w:val="24"/>
                <w:szCs w:val="24"/>
                <w:lang w:eastAsia="sk-SK"/>
              </w:rPr>
              <w:t xml:space="preserve"> transpozície smernice (EÚ) 2015/849 a smernice (EÚ)</w:t>
            </w:r>
            <w:r>
              <w:rPr>
                <w:rFonts w:ascii="Times New Roman" w:eastAsia="Times New Roman" w:hAnsi="Times New Roman" w:cs="Times New Roman"/>
                <w:sz w:val="24"/>
                <w:szCs w:val="24"/>
                <w:lang w:eastAsia="sk-SK"/>
              </w:rPr>
              <w:t> 2018/843 vytýkané</w:t>
            </w:r>
            <w:r w:rsidRPr="00E25879">
              <w:rPr>
                <w:rFonts w:ascii="Times New Roman" w:eastAsia="Times New Roman" w:hAnsi="Times New Roman" w:cs="Times New Roman"/>
                <w:sz w:val="24"/>
                <w:szCs w:val="24"/>
                <w:lang w:eastAsia="sk-SK"/>
              </w:rPr>
              <w:t xml:space="preserve"> v rámci konania INFR(2020)2227 a v neposlednom rade</w:t>
            </w:r>
            <w:r>
              <w:rPr>
                <w:rFonts w:ascii="Times New Roman" w:eastAsia="Times New Roman" w:hAnsi="Times New Roman" w:cs="Times New Roman"/>
                <w:sz w:val="24"/>
                <w:szCs w:val="24"/>
                <w:lang w:eastAsia="sk-SK"/>
              </w:rPr>
              <w:t xml:space="preserve"> sa odstránenia nedostatky súčasnej právnej úpravy zistené v rámci piateho kola vzájomného hodnotenia</w:t>
            </w:r>
            <w:r w:rsidR="00DB06FD">
              <w:rPr>
                <w:rFonts w:ascii="Times New Roman" w:hAnsi="Times New Roman"/>
                <w:sz w:val="24"/>
                <w:szCs w:val="24"/>
              </w:rPr>
              <w:t xml:space="preserve"> Výborom</w:t>
            </w:r>
            <w:r>
              <w:rPr>
                <w:rFonts w:ascii="Times New Roman" w:eastAsia="Times New Roman" w:hAnsi="Times New Roman" w:cs="Times New Roman"/>
                <w:sz w:val="24"/>
                <w:szCs w:val="24"/>
                <w:lang w:eastAsia="sk-SK"/>
              </w:rPr>
              <w:t xml:space="preserve"> Moneyval</w:t>
            </w:r>
            <w:r w:rsidR="009C084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p>
          <w:p w:rsidR="009C0842" w:rsidRPr="009C0842" w:rsidRDefault="009C0842" w:rsidP="009C0842">
            <w:pPr>
              <w:jc w:val="both"/>
              <w:rPr>
                <w:rFonts w:ascii="Times New Roman" w:eastAsia="Times New Roman" w:hAnsi="Times New Roman" w:cs="Times New Roman"/>
                <w:sz w:val="24"/>
                <w:szCs w:val="24"/>
                <w:lang w:eastAsia="sk-SK"/>
              </w:rPr>
            </w:pPr>
            <w:r w:rsidRPr="009C0842">
              <w:rPr>
                <w:rFonts w:ascii="Times New Roman" w:eastAsia="Times New Roman" w:hAnsi="Times New Roman" w:cs="Times New Roman"/>
                <w:sz w:val="24"/>
                <w:szCs w:val="24"/>
                <w:lang w:eastAsia="sk-SK"/>
              </w:rPr>
              <w:t>Cieľom návrhu novely zákona o priestupkoch je ustanovenie novej skutkovej podstaty priestupku za nesplnenie povinnosti ustanovenej v návrhu novely zákona o finančnej správe a výšky pokuty za spáchanie tohto priestupku.</w:t>
            </w:r>
          </w:p>
          <w:p w:rsidR="009C0842" w:rsidRPr="009C0842" w:rsidRDefault="009C0842" w:rsidP="009C0842">
            <w:pPr>
              <w:jc w:val="both"/>
              <w:rPr>
                <w:rFonts w:ascii="Times New Roman" w:eastAsia="Times New Roman" w:hAnsi="Times New Roman" w:cs="Times New Roman"/>
                <w:sz w:val="24"/>
                <w:szCs w:val="24"/>
                <w:lang w:eastAsia="sk-SK"/>
              </w:rPr>
            </w:pPr>
            <w:r w:rsidRPr="009C0842">
              <w:rPr>
                <w:rFonts w:ascii="Times New Roman" w:eastAsia="Times New Roman" w:hAnsi="Times New Roman" w:cs="Times New Roman"/>
                <w:sz w:val="24"/>
                <w:szCs w:val="24"/>
                <w:lang w:eastAsia="sk-SK"/>
              </w:rPr>
              <w:t>Cieľom návrhu novely Colného zákona je úprava hornej hranice pokút za colné priestupky.</w:t>
            </w:r>
          </w:p>
          <w:p w:rsidR="00E25879" w:rsidRPr="009C0842" w:rsidRDefault="009C0842" w:rsidP="009C0842">
            <w:pPr>
              <w:jc w:val="both"/>
              <w:rPr>
                <w:rFonts w:ascii="Times New Roman" w:eastAsia="Times New Roman" w:hAnsi="Times New Roman" w:cs="Times New Roman"/>
                <w:sz w:val="24"/>
                <w:szCs w:val="24"/>
                <w:lang w:eastAsia="sk-SK"/>
              </w:rPr>
            </w:pPr>
            <w:r w:rsidRPr="009C0842">
              <w:rPr>
                <w:rFonts w:ascii="Times New Roman" w:eastAsia="Times New Roman" w:hAnsi="Times New Roman" w:cs="Times New Roman"/>
                <w:sz w:val="24"/>
                <w:szCs w:val="24"/>
                <w:lang w:eastAsia="sk-SK"/>
              </w:rPr>
              <w:t>Cieľom návrhu novely zákona o finančnej správe je zavedenie povinnosti deklarovať peňažné prostriedky v hotovosti pri ich preprave cez vnútornú hranicu Európskej únie.</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065A14" w:rsidRPr="00612E08" w:rsidRDefault="00065A14" w:rsidP="000800FC">
            <w:pPr>
              <w:rPr>
                <w:rFonts w:ascii="Times New Roman" w:eastAsia="Times New Roman" w:hAnsi="Times New Roman" w:cs="Times New Roman"/>
                <w:b/>
                <w:sz w:val="20"/>
                <w:szCs w:val="20"/>
                <w:lang w:eastAsia="sk-SK"/>
              </w:rPr>
            </w:pPr>
          </w:p>
          <w:p w:rsidR="00065A14" w:rsidRPr="00065A14" w:rsidRDefault="00065A14" w:rsidP="00782747">
            <w:pPr>
              <w:jc w:val="both"/>
              <w:rPr>
                <w:rFonts w:ascii="Times New Roman" w:eastAsia="Times New Roman" w:hAnsi="Times New Roman" w:cs="Times New Roman"/>
                <w:sz w:val="24"/>
                <w:szCs w:val="24"/>
                <w:lang w:eastAsia="sk-SK"/>
              </w:rPr>
            </w:pPr>
            <w:r w:rsidRPr="00065A14">
              <w:rPr>
                <w:rFonts w:ascii="Times New Roman" w:eastAsia="Times New Roman" w:hAnsi="Times New Roman" w:cs="Times New Roman"/>
                <w:sz w:val="24"/>
                <w:szCs w:val="24"/>
                <w:lang w:eastAsia="sk-SK"/>
              </w:rPr>
              <w:t>- povinné osoby podľa § 5 zákona č. 297/2008 Z. z., zdr</w:t>
            </w:r>
            <w:r w:rsidR="001A7CCD">
              <w:rPr>
                <w:rFonts w:ascii="Times New Roman" w:eastAsia="Times New Roman" w:hAnsi="Times New Roman" w:cs="Times New Roman"/>
                <w:sz w:val="24"/>
                <w:szCs w:val="24"/>
                <w:lang w:eastAsia="sk-SK"/>
              </w:rPr>
              <w:t>uženia majetku podľa § 9 písm. e</w:t>
            </w:r>
            <w:r w:rsidRPr="00065A14">
              <w:rPr>
                <w:rFonts w:ascii="Times New Roman" w:eastAsia="Times New Roman" w:hAnsi="Times New Roman" w:cs="Times New Roman"/>
                <w:sz w:val="24"/>
                <w:szCs w:val="24"/>
                <w:lang w:eastAsia="sk-SK"/>
              </w:rPr>
              <w:t>) zákona č. 297/2008 Z</w:t>
            </w:r>
            <w:r w:rsidR="001A7CCD">
              <w:rPr>
                <w:rFonts w:ascii="Times New Roman" w:eastAsia="Times New Roman" w:hAnsi="Times New Roman" w:cs="Times New Roman"/>
                <w:sz w:val="24"/>
                <w:szCs w:val="24"/>
                <w:lang w:eastAsia="sk-SK"/>
              </w:rPr>
              <w:t>. z.</w:t>
            </w:r>
            <w:r w:rsidRPr="00065A14">
              <w:rPr>
                <w:rFonts w:ascii="Times New Roman" w:eastAsia="Times New Roman" w:hAnsi="Times New Roman" w:cs="Times New Roman"/>
                <w:sz w:val="24"/>
                <w:szCs w:val="24"/>
                <w:lang w:eastAsia="sk-SK"/>
              </w:rPr>
              <w:t>,</w:t>
            </w:r>
          </w:p>
          <w:p w:rsidR="00065A14" w:rsidRPr="00065A14" w:rsidRDefault="00065A14" w:rsidP="00782747">
            <w:pPr>
              <w:jc w:val="both"/>
              <w:rPr>
                <w:rFonts w:ascii="Times New Roman" w:eastAsia="Times New Roman" w:hAnsi="Times New Roman" w:cs="Times New Roman"/>
                <w:sz w:val="24"/>
                <w:szCs w:val="24"/>
                <w:lang w:eastAsia="sk-SK"/>
              </w:rPr>
            </w:pPr>
            <w:r w:rsidRPr="00065A14">
              <w:rPr>
                <w:rFonts w:ascii="Times New Roman" w:eastAsia="Times New Roman" w:hAnsi="Times New Roman" w:cs="Times New Roman"/>
                <w:sz w:val="24"/>
                <w:szCs w:val="24"/>
                <w:lang w:eastAsia="sk-SK"/>
              </w:rPr>
              <w:t>- právnické osoby, okrem orgánov verejnej správy a účelové združenia majetku bez právnej subjektivity v súvislosti s identifikáciou a aktualizáciou identifikačných údajov konečného užívateľa výhod,</w:t>
            </w:r>
          </w:p>
          <w:p w:rsidR="00065A14" w:rsidRPr="00065A14" w:rsidRDefault="00065A14" w:rsidP="00782747">
            <w:pPr>
              <w:jc w:val="both"/>
              <w:rPr>
                <w:rFonts w:ascii="Times New Roman" w:eastAsia="Times New Roman" w:hAnsi="Times New Roman" w:cs="Times New Roman"/>
                <w:sz w:val="24"/>
                <w:szCs w:val="24"/>
                <w:lang w:eastAsia="sk-SK"/>
              </w:rPr>
            </w:pPr>
            <w:r w:rsidRPr="00065A14">
              <w:rPr>
                <w:rFonts w:ascii="Times New Roman" w:eastAsia="Times New Roman" w:hAnsi="Times New Roman" w:cs="Times New Roman"/>
                <w:sz w:val="24"/>
                <w:szCs w:val="24"/>
                <w:lang w:eastAsia="sk-SK"/>
              </w:rPr>
              <w:t>- Finančná spravodajská jednotka P PZ, Národná banka Slovenska, Úrad pre reguláciu hazardných hier</w:t>
            </w:r>
            <w:r w:rsidR="001A7CCD">
              <w:rPr>
                <w:rFonts w:ascii="Times New Roman" w:eastAsia="Times New Roman" w:hAnsi="Times New Roman" w:cs="Times New Roman"/>
                <w:sz w:val="24"/>
                <w:szCs w:val="24"/>
                <w:lang w:eastAsia="sk-SK"/>
              </w:rPr>
              <w:t>,</w:t>
            </w:r>
          </w:p>
          <w:p w:rsidR="00065A14" w:rsidRDefault="00065A14" w:rsidP="00782747">
            <w:pPr>
              <w:jc w:val="both"/>
              <w:rPr>
                <w:rFonts w:ascii="Times New Roman" w:eastAsia="Times New Roman" w:hAnsi="Times New Roman" w:cs="Times New Roman"/>
                <w:sz w:val="24"/>
                <w:szCs w:val="24"/>
                <w:lang w:eastAsia="sk-SK"/>
              </w:rPr>
            </w:pPr>
            <w:r w:rsidRPr="00065A14">
              <w:rPr>
                <w:rFonts w:ascii="Times New Roman" w:eastAsia="Times New Roman" w:hAnsi="Times New Roman" w:cs="Times New Roman"/>
                <w:sz w:val="24"/>
                <w:szCs w:val="24"/>
                <w:lang w:eastAsia="sk-SK"/>
              </w:rPr>
              <w:t>- správca zvereneckého fondu založeného podľa práva iného štátu alebo osoba zastávajúca  obdobnú pozíciu v obdobnej právnej štruktúre zal</w:t>
            </w:r>
            <w:r>
              <w:rPr>
                <w:rFonts w:ascii="Times New Roman" w:eastAsia="Times New Roman" w:hAnsi="Times New Roman" w:cs="Times New Roman"/>
                <w:sz w:val="24"/>
                <w:szCs w:val="24"/>
                <w:lang w:eastAsia="sk-SK"/>
              </w:rPr>
              <w:t>oženej podľa práva iného štátu</w:t>
            </w:r>
            <w:r w:rsidR="003600D7">
              <w:rPr>
                <w:rFonts w:ascii="Times New Roman" w:eastAsia="Times New Roman" w:hAnsi="Times New Roman" w:cs="Times New Roman"/>
                <w:sz w:val="24"/>
                <w:szCs w:val="24"/>
                <w:lang w:eastAsia="sk-SK"/>
              </w:rPr>
              <w:t>,</w:t>
            </w:r>
          </w:p>
          <w:p w:rsidR="003600D7" w:rsidRPr="00065A14" w:rsidRDefault="003600D7" w:rsidP="00782747">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o</w:t>
            </w:r>
            <w:r w:rsidRPr="003600D7">
              <w:rPr>
                <w:rFonts w:ascii="Times New Roman" w:eastAsia="Times New Roman" w:hAnsi="Times New Roman" w:cs="Times New Roman"/>
                <w:sz w:val="24"/>
                <w:szCs w:val="24"/>
                <w:lang w:eastAsia="sk-SK"/>
              </w:rPr>
              <w:t>rgány finančnej správy, okresné úrady a fyzické osoby, ktorých sa navrhované úpravy v predmetných zákonoch priamo dotýkajú.</w:t>
            </w:r>
          </w:p>
          <w:p w:rsidR="001B23B7" w:rsidRDefault="001B23B7" w:rsidP="000800FC">
            <w:pPr>
              <w:rPr>
                <w:rFonts w:ascii="Times New Roman" w:eastAsia="Times New Roman" w:hAnsi="Times New Roman" w:cs="Times New Roman"/>
                <w:i/>
                <w:sz w:val="20"/>
                <w:szCs w:val="20"/>
                <w:lang w:eastAsia="sk-SK"/>
              </w:rPr>
            </w:pPr>
          </w:p>
          <w:p w:rsidR="00065A14" w:rsidRPr="00612E08" w:rsidRDefault="00065A14"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rsidR="001B23B7" w:rsidRPr="00612E08" w:rsidRDefault="001B23B7" w:rsidP="000800FC">
            <w:pPr>
              <w:rPr>
                <w:rFonts w:ascii="Times New Roman" w:eastAsia="Times New Roman" w:hAnsi="Times New Roman" w:cs="Times New Roman"/>
                <w:i/>
                <w:sz w:val="20"/>
                <w:szCs w:val="20"/>
                <w:lang w:eastAsia="sk-SK"/>
              </w:rPr>
            </w:pPr>
          </w:p>
          <w:p w:rsidR="001B23B7"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F51FCA" w:rsidRDefault="00F51FCA" w:rsidP="000800FC">
            <w:pPr>
              <w:jc w:val="both"/>
              <w:rPr>
                <w:rFonts w:ascii="Times New Roman" w:eastAsia="Times New Roman" w:hAnsi="Times New Roman" w:cs="Times New Roman"/>
                <w:i/>
                <w:sz w:val="20"/>
                <w:szCs w:val="20"/>
                <w:lang w:eastAsia="sk-SK"/>
              </w:rPr>
            </w:pPr>
          </w:p>
          <w:p w:rsidR="008D7696" w:rsidRDefault="00F51FCA" w:rsidP="000800FC">
            <w:pPr>
              <w:jc w:val="both"/>
              <w:rPr>
                <w:rFonts w:ascii="Times New Roman" w:eastAsia="Times New Roman" w:hAnsi="Times New Roman" w:cs="Times New Roman"/>
                <w:sz w:val="24"/>
                <w:szCs w:val="24"/>
                <w:lang w:eastAsia="sk-SK"/>
              </w:rPr>
            </w:pPr>
            <w:r w:rsidRPr="00F51FCA">
              <w:rPr>
                <w:rFonts w:ascii="Times New Roman" w:eastAsia="Times New Roman" w:hAnsi="Times New Roman" w:cs="Times New Roman"/>
                <w:sz w:val="24"/>
                <w:szCs w:val="24"/>
                <w:lang w:eastAsia="sk-SK"/>
              </w:rPr>
              <w:t xml:space="preserve">Nulovým variantom je </w:t>
            </w:r>
            <w:r>
              <w:rPr>
                <w:rFonts w:ascii="Times New Roman" w:eastAsia="Times New Roman" w:hAnsi="Times New Roman" w:cs="Times New Roman"/>
                <w:sz w:val="24"/>
                <w:szCs w:val="24"/>
                <w:lang w:eastAsia="sk-SK"/>
              </w:rPr>
              <w:t xml:space="preserve">neimplementovanie </w:t>
            </w:r>
            <w:r w:rsidRPr="00F51FCA">
              <w:rPr>
                <w:rFonts w:ascii="Times New Roman" w:eastAsia="Times New Roman" w:hAnsi="Times New Roman" w:cs="Times New Roman"/>
                <w:sz w:val="24"/>
                <w:szCs w:val="24"/>
                <w:lang w:eastAsia="sk-SK"/>
              </w:rPr>
              <w:t>nariadenia (EÚ) 2023/1113</w:t>
            </w:r>
            <w:r>
              <w:rPr>
                <w:rFonts w:ascii="Times New Roman" w:eastAsia="Times New Roman" w:hAnsi="Times New Roman" w:cs="Times New Roman"/>
                <w:sz w:val="24"/>
                <w:szCs w:val="24"/>
                <w:lang w:eastAsia="sk-SK"/>
              </w:rPr>
              <w:t xml:space="preserve">, neodstránenie nedostatkov </w:t>
            </w:r>
            <w:r w:rsidRPr="00F51FCA">
              <w:rPr>
                <w:rFonts w:ascii="Times New Roman" w:eastAsia="Times New Roman" w:hAnsi="Times New Roman" w:cs="Times New Roman"/>
                <w:sz w:val="24"/>
                <w:szCs w:val="24"/>
                <w:lang w:eastAsia="sk-SK"/>
              </w:rPr>
              <w:t>vytýkan</w:t>
            </w:r>
            <w:r>
              <w:rPr>
                <w:rFonts w:ascii="Times New Roman" w:eastAsia="Times New Roman" w:hAnsi="Times New Roman" w:cs="Times New Roman"/>
                <w:sz w:val="24"/>
                <w:szCs w:val="24"/>
                <w:lang w:eastAsia="sk-SK"/>
              </w:rPr>
              <w:t>ých</w:t>
            </w:r>
            <w:r w:rsidRPr="00F51FCA">
              <w:rPr>
                <w:rFonts w:ascii="Times New Roman" w:eastAsia="Times New Roman" w:hAnsi="Times New Roman" w:cs="Times New Roman"/>
                <w:sz w:val="24"/>
                <w:szCs w:val="24"/>
                <w:lang w:eastAsia="sk-SK"/>
              </w:rPr>
              <w:t xml:space="preserve"> v rámci konania INFR(2020)2227</w:t>
            </w:r>
            <w:r>
              <w:rPr>
                <w:rFonts w:ascii="Times New Roman" w:eastAsia="Times New Roman" w:hAnsi="Times New Roman" w:cs="Times New Roman"/>
                <w:sz w:val="24"/>
                <w:szCs w:val="24"/>
                <w:lang w:eastAsia="sk-SK"/>
              </w:rPr>
              <w:t xml:space="preserve"> zo strany Európskej komisie</w:t>
            </w:r>
            <w:r w:rsidR="008D7696">
              <w:rPr>
                <w:rFonts w:ascii="Times New Roman" w:eastAsia="Times New Roman" w:hAnsi="Times New Roman" w:cs="Times New Roman"/>
                <w:sz w:val="24"/>
                <w:szCs w:val="24"/>
                <w:lang w:eastAsia="sk-SK"/>
              </w:rPr>
              <w:t>, ktorého následkom môže byť predloženie veci Súdnemu dvoru Európskej únie.</w:t>
            </w:r>
          </w:p>
          <w:p w:rsidR="008D7696" w:rsidRDefault="008D7696" w:rsidP="000800FC">
            <w:pPr>
              <w:jc w:val="both"/>
              <w:rPr>
                <w:rFonts w:ascii="Times New Roman" w:eastAsia="Times New Roman" w:hAnsi="Times New Roman" w:cs="Times New Roman"/>
                <w:sz w:val="24"/>
                <w:szCs w:val="24"/>
                <w:lang w:eastAsia="sk-SK"/>
              </w:rPr>
            </w:pPr>
          </w:p>
          <w:p w:rsidR="0086209A" w:rsidRDefault="00F51FCA" w:rsidP="000800FC">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Neodstránenie nedostatkov vytýkaných Výborom </w:t>
            </w:r>
            <w:r w:rsidR="00D34710">
              <w:rPr>
                <w:rFonts w:ascii="Times New Roman" w:eastAsia="Times New Roman" w:hAnsi="Times New Roman" w:cs="Times New Roman"/>
                <w:sz w:val="24"/>
                <w:szCs w:val="24"/>
                <w:lang w:eastAsia="sk-SK"/>
              </w:rPr>
              <w:t>Moneyval</w:t>
            </w:r>
            <w:r>
              <w:rPr>
                <w:rFonts w:ascii="Times New Roman" w:eastAsia="Times New Roman" w:hAnsi="Times New Roman" w:cs="Times New Roman"/>
                <w:sz w:val="24"/>
                <w:szCs w:val="24"/>
                <w:lang w:eastAsia="sk-SK"/>
              </w:rPr>
              <w:t xml:space="preserve"> </w:t>
            </w:r>
            <w:r w:rsidR="00D20062">
              <w:rPr>
                <w:rFonts w:ascii="Times New Roman" w:eastAsia="Times New Roman" w:hAnsi="Times New Roman" w:cs="Times New Roman"/>
                <w:sz w:val="24"/>
                <w:szCs w:val="24"/>
                <w:lang w:eastAsia="sk-SK"/>
              </w:rPr>
              <w:t xml:space="preserve">môže mať za následok </w:t>
            </w:r>
            <w:r>
              <w:rPr>
                <w:rFonts w:ascii="Times New Roman" w:eastAsia="Times New Roman" w:hAnsi="Times New Roman" w:cs="Times New Roman"/>
                <w:sz w:val="24"/>
                <w:szCs w:val="24"/>
                <w:lang w:eastAsia="sk-SK"/>
              </w:rPr>
              <w:t>uplatnenie sankčného režimu ICRG voči SR</w:t>
            </w:r>
            <w:r w:rsidR="00386E84">
              <w:rPr>
                <w:rFonts w:ascii="Times New Roman" w:eastAsia="Times New Roman" w:hAnsi="Times New Roman" w:cs="Times New Roman"/>
                <w:sz w:val="24"/>
                <w:szCs w:val="24"/>
                <w:lang w:eastAsia="sk-SK"/>
              </w:rPr>
              <w:t xml:space="preserve"> s možným následným zaradením SR na tzv. šedý zoznam („grey list“). Zaradenie krajiny na šedý zoznam znamená, okrem samotného negatívneho vplyvu na reputáciu</w:t>
            </w:r>
            <w:r w:rsidR="0086209A">
              <w:rPr>
                <w:rFonts w:ascii="Times New Roman" w:eastAsia="Times New Roman" w:hAnsi="Times New Roman" w:cs="Times New Roman"/>
                <w:sz w:val="24"/>
                <w:szCs w:val="24"/>
                <w:lang w:eastAsia="sk-SK"/>
              </w:rPr>
              <w:t xml:space="preserve"> krajiny</w:t>
            </w:r>
            <w:r w:rsidR="00386E84">
              <w:rPr>
                <w:rFonts w:ascii="Times New Roman" w:eastAsia="Times New Roman" w:hAnsi="Times New Roman" w:cs="Times New Roman"/>
                <w:sz w:val="24"/>
                <w:szCs w:val="24"/>
                <w:lang w:eastAsia="sk-SK"/>
              </w:rPr>
              <w:t xml:space="preserve">, aj zvýšené kontroly zo strany medzinárodných inštitúcií, sťaženie vykonávania cezhraničných transakcií a zníženie schopnosti prilákať zahraničné investície. </w:t>
            </w:r>
            <w:r w:rsidR="00D34710">
              <w:rPr>
                <w:rFonts w:ascii="Times New Roman" w:eastAsia="Times New Roman" w:hAnsi="Times New Roman" w:cs="Times New Roman"/>
                <w:sz w:val="24"/>
                <w:szCs w:val="24"/>
                <w:lang w:eastAsia="sk-SK"/>
              </w:rPr>
              <w:t>Zaradenie na šedý</w:t>
            </w:r>
            <w:r w:rsidR="0086209A">
              <w:rPr>
                <w:rFonts w:ascii="Times New Roman" w:eastAsia="Times New Roman" w:hAnsi="Times New Roman" w:cs="Times New Roman"/>
                <w:sz w:val="24"/>
                <w:szCs w:val="24"/>
                <w:lang w:eastAsia="sk-SK"/>
              </w:rPr>
              <w:t xml:space="preserve"> zozn</w:t>
            </w:r>
            <w:r w:rsidR="00960F8B">
              <w:rPr>
                <w:rFonts w:ascii="Times New Roman" w:eastAsia="Times New Roman" w:hAnsi="Times New Roman" w:cs="Times New Roman"/>
                <w:sz w:val="24"/>
                <w:szCs w:val="24"/>
                <w:lang w:eastAsia="sk-SK"/>
              </w:rPr>
              <w:t xml:space="preserve">am môže mať taktiež za následok, že ostatné krajiny zavedú vlastné obmedzenia alebo opatrenia zvýšenej povinnej starostlivosti vo vzťahu k finančným transakciám a klientom pochádzajúcim z krajiny </w:t>
            </w:r>
            <w:r w:rsidR="00D34710">
              <w:rPr>
                <w:rFonts w:ascii="Times New Roman" w:eastAsia="Times New Roman" w:hAnsi="Times New Roman" w:cs="Times New Roman"/>
                <w:sz w:val="24"/>
                <w:szCs w:val="24"/>
                <w:lang w:eastAsia="sk-SK"/>
              </w:rPr>
              <w:t>zaradenej na šedom</w:t>
            </w:r>
            <w:r w:rsidR="00960F8B">
              <w:rPr>
                <w:rFonts w:ascii="Times New Roman" w:eastAsia="Times New Roman" w:hAnsi="Times New Roman" w:cs="Times New Roman"/>
                <w:sz w:val="24"/>
                <w:szCs w:val="24"/>
                <w:lang w:eastAsia="sk-SK"/>
              </w:rPr>
              <w:t xml:space="preserve"> zozname. </w:t>
            </w:r>
          </w:p>
          <w:p w:rsidR="003600D7" w:rsidRDefault="003600D7" w:rsidP="003600D7">
            <w:pPr>
              <w:jc w:val="both"/>
              <w:rPr>
                <w:rFonts w:ascii="Times New Roman" w:eastAsia="Times New Roman" w:hAnsi="Times New Roman" w:cs="Times New Roman"/>
                <w:sz w:val="24"/>
                <w:szCs w:val="24"/>
                <w:lang w:eastAsia="sk-SK"/>
              </w:rPr>
            </w:pPr>
            <w:r w:rsidRPr="003600D7">
              <w:rPr>
                <w:rFonts w:ascii="Times New Roman" w:eastAsia="Times New Roman" w:hAnsi="Times New Roman" w:cs="Times New Roman"/>
                <w:sz w:val="24"/>
                <w:szCs w:val="24"/>
                <w:lang w:eastAsia="sk-SK"/>
              </w:rPr>
              <w:t>Ak by nedošlo k zavedeniu povinnosti deklarovať peňažné prostriedky v hotovosti pri prekročení štátnej hranice Slovenskej republiky z územia iného členského štátu Európskej únie alebo na územie iného členského štátu Európskej únie a k zavedeniu sankcie za nesplnenie tejto povinnosti, ako aj k úprave sankcií za colné priestupky (zvýšenie hornej hranice pokút), nebolo by naplnené odporúčanie</w:t>
            </w:r>
            <w:r>
              <w:rPr>
                <w:rFonts w:ascii="Times New Roman" w:eastAsia="Times New Roman" w:hAnsi="Times New Roman" w:cs="Times New Roman"/>
                <w:sz w:val="24"/>
                <w:szCs w:val="24"/>
                <w:lang w:eastAsia="sk-SK"/>
              </w:rPr>
              <w:t xml:space="preserve"> FATF č.</w:t>
            </w:r>
            <w:r w:rsidRPr="003600D7">
              <w:rPr>
                <w:rFonts w:ascii="Times New Roman" w:eastAsia="Times New Roman" w:hAnsi="Times New Roman" w:cs="Times New Roman"/>
                <w:sz w:val="24"/>
                <w:szCs w:val="24"/>
                <w:lang w:eastAsia="sk-SK"/>
              </w:rPr>
              <w:t xml:space="preserve"> 32</w:t>
            </w:r>
            <w:r>
              <w:rPr>
                <w:rFonts w:ascii="Times New Roman" w:eastAsia="Times New Roman" w:hAnsi="Times New Roman" w:cs="Times New Roman"/>
                <w:sz w:val="24"/>
                <w:szCs w:val="24"/>
                <w:lang w:eastAsia="sk-SK"/>
              </w:rPr>
              <w:t>.</w:t>
            </w:r>
          </w:p>
          <w:p w:rsidR="003600D7" w:rsidRDefault="003600D7" w:rsidP="003600D7">
            <w:pPr>
              <w:jc w:val="both"/>
              <w:rPr>
                <w:rFonts w:ascii="Times New Roman" w:eastAsia="Times New Roman" w:hAnsi="Times New Roman" w:cs="Times New Roman"/>
                <w:sz w:val="24"/>
                <w:szCs w:val="24"/>
                <w:lang w:eastAsia="sk-SK"/>
              </w:rPr>
            </w:pPr>
          </w:p>
          <w:p w:rsidR="00F51FCA" w:rsidRPr="00D34710" w:rsidRDefault="00D34710" w:rsidP="003600D7">
            <w:pPr>
              <w:jc w:val="both"/>
              <w:rPr>
                <w:rFonts w:ascii="Times New Roman" w:eastAsia="Times New Roman" w:hAnsi="Times New Roman" w:cs="Times New Roman"/>
                <w:sz w:val="24"/>
                <w:szCs w:val="24"/>
                <w:lang w:eastAsia="sk-SK"/>
              </w:rPr>
            </w:pPr>
            <w:r w:rsidRPr="00D34710">
              <w:rPr>
                <w:rFonts w:ascii="Times New Roman" w:eastAsia="Times New Roman" w:hAnsi="Times New Roman" w:cs="Times New Roman"/>
                <w:sz w:val="24"/>
                <w:szCs w:val="24"/>
                <w:lang w:eastAsia="sk-SK"/>
              </w:rPr>
              <w:t xml:space="preserve">Vzhľadom na vyššie uvedené, alternatívne riešenia neboli zvažované. </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12E08" w:rsidRDefault="002057B9"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12E08" w:rsidRDefault="002057B9"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FC0EF3">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rsidTr="00C41C38">
              <w:trPr>
                <w:trHeight w:val="296"/>
              </w:trPr>
              <w:tc>
                <w:tcPr>
                  <w:tcW w:w="8643" w:type="dxa"/>
                  <w:tcBorders>
                    <w:bottom w:val="single" w:sz="4" w:space="0" w:color="auto"/>
                  </w:tcBorders>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1"/>
                        <w14:checkedState w14:val="2612" w14:font="MS Gothic"/>
                        <w14:uncheckedState w14:val="2610" w14:font="MS Gothic"/>
                      </w14:checkbox>
                    </w:sdtPr>
                    <w:sdtEndPr/>
                    <w:sdtContent>
                      <w:r w:rsidR="00FC0EF3">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Default="00A7788F" w:rsidP="00A7788F">
                  <w:pPr>
                    <w:pStyle w:val="Default"/>
                    <w:rPr>
                      <w:i/>
                      <w:iCs/>
                      <w:color w:val="auto"/>
                      <w:sz w:val="20"/>
                      <w:szCs w:val="20"/>
                    </w:rPr>
                  </w:pPr>
                  <w:r w:rsidRPr="00612E08">
                    <w:rPr>
                      <w:i/>
                      <w:iCs/>
                      <w:color w:val="auto"/>
                      <w:sz w:val="20"/>
                      <w:szCs w:val="20"/>
                    </w:rPr>
                    <w:t xml:space="preserve">Ak áno, uveďte, ktorých vplyvov podľa bodu 9 sa goldplating týka: </w:t>
                  </w:r>
                </w:p>
                <w:p w:rsidR="004E3B06" w:rsidRPr="00612E08" w:rsidRDefault="004E3B06" w:rsidP="00A7788F">
                  <w:pPr>
                    <w:pStyle w:val="Default"/>
                    <w:rPr>
                      <w:color w:val="auto"/>
                      <w:sz w:val="20"/>
                      <w:szCs w:val="20"/>
                    </w:rPr>
                  </w:pPr>
                </w:p>
              </w:tc>
            </w:tr>
            <w:tr w:rsidR="00612E08" w:rsidRPr="00612E08" w:rsidTr="00C41C38">
              <w:trPr>
                <w:trHeight w:val="296"/>
              </w:trPr>
              <w:tc>
                <w:tcPr>
                  <w:tcW w:w="8643" w:type="dxa"/>
                  <w:tcBorders>
                    <w:top w:val="single" w:sz="4" w:space="0" w:color="auto"/>
                    <w:bottom w:val="nil"/>
                  </w:tcBorders>
                </w:tcPr>
                <w:p w:rsidR="00A7788F" w:rsidRDefault="00F64F3A" w:rsidP="00F64F3A">
                  <w:pPr>
                    <w:pStyle w:val="Default"/>
                    <w:jc w:val="both"/>
                    <w:rPr>
                      <w:rFonts w:eastAsia="Times New Roman"/>
                      <w:color w:val="auto"/>
                      <w:lang w:eastAsia="sk-SK"/>
                    </w:rPr>
                  </w:pPr>
                  <w:r>
                    <w:rPr>
                      <w:rFonts w:eastAsia="Times New Roman"/>
                      <w:color w:val="auto"/>
                      <w:lang w:eastAsia="sk-SK"/>
                    </w:rPr>
                    <w:t>Goldplating sa týka vplyvov na podnikateľské prostredie v nasledovnom rozsahu.</w:t>
                  </w:r>
                </w:p>
                <w:p w:rsidR="00F64F3A" w:rsidRDefault="00F64F3A" w:rsidP="00F64F3A">
                  <w:pPr>
                    <w:pStyle w:val="Default"/>
                    <w:jc w:val="both"/>
                    <w:rPr>
                      <w:rFonts w:eastAsia="Times New Roman"/>
                      <w:lang w:eastAsia="sk-SK"/>
                    </w:rPr>
                  </w:pPr>
                  <w:r w:rsidRPr="00F64F3A">
                    <w:rPr>
                      <w:rFonts w:eastAsia="Times New Roman"/>
                      <w:lang w:eastAsia="sk-SK"/>
                    </w:rPr>
                    <w:t>Prvý prípad je rozšírením rozsahu pôsobnosti smernice na subjekty nad rámec minimálnych požiadaviek smernice EÚ a týka sa konkrétne rozšírenia okruhu politicky exponovaných osôb o súrodenca politicky exponovanej osoby. Regulácia je uvedená v ustanovení § 6 ods. 3 písm. c) zákona č. 297/2008 Z. z. a vzťahuje sa na všetky povinné osoby upravené v § 5 zákona č. 297/2008 Z. z.</w:t>
                  </w:r>
                  <w:r>
                    <w:rPr>
                      <w:rFonts w:eastAsia="Times New Roman"/>
                      <w:lang w:eastAsia="sk-SK"/>
                    </w:rPr>
                    <w:t xml:space="preserve"> (viac o uvedenej regulácii pozri časť 3.1.4 Analýzy vplyvov na podnikateľské prostredie).</w:t>
                  </w:r>
                </w:p>
                <w:p w:rsidR="00F64F3A" w:rsidRDefault="00F64F3A" w:rsidP="00CD2DD7">
                  <w:pPr>
                    <w:pStyle w:val="Default"/>
                    <w:jc w:val="both"/>
                    <w:rPr>
                      <w:rFonts w:eastAsia="Times New Roman"/>
                      <w:color w:val="auto"/>
                      <w:lang w:eastAsia="sk-SK"/>
                    </w:rPr>
                  </w:pPr>
                  <w:r w:rsidRPr="00F64F3A">
                    <w:rPr>
                      <w:rFonts w:eastAsia="Times New Roman"/>
                      <w:lang w:eastAsia="sk-SK"/>
                    </w:rPr>
                    <w:t>Druhý prípad identifikovaného goldplatingu je navýšením požiadaviek nad rámec minimálnych požiadaviek smernice EÚ a súvisí s uplatňovaním zvýšenej starostlivosti pri cezhraničnom korešpondenčnom bankovníctve bez ohľadu na krajinu pôvodu partnerskej inštitúcie</w:t>
                  </w:r>
                  <w:r w:rsidR="00C16281">
                    <w:rPr>
                      <w:rFonts w:eastAsia="Times New Roman"/>
                      <w:lang w:eastAsia="sk-SK"/>
                    </w:rPr>
                    <w:t>. Regulácia je upravená v ustanovení § 12 ods. 1 zákona č. 297/2008 Z. z.</w:t>
                  </w:r>
                  <w:r>
                    <w:rPr>
                      <w:rFonts w:eastAsia="Times New Roman"/>
                      <w:lang w:eastAsia="sk-SK"/>
                    </w:rPr>
                    <w:t xml:space="preserve"> (</w:t>
                  </w:r>
                  <w:r w:rsidRPr="00F64F3A">
                    <w:rPr>
                      <w:rFonts w:eastAsia="Times New Roman"/>
                      <w:lang w:eastAsia="sk-SK"/>
                    </w:rPr>
                    <w:t>viac o uvedenej regulácii pozri časť 3.1.4 Analýzy vplyvov na podnikateľské prostredie)</w:t>
                  </w:r>
                </w:p>
                <w:p w:rsidR="00F64F3A" w:rsidRPr="004E3B06" w:rsidRDefault="00F64F3A" w:rsidP="00F64F3A">
                  <w:pPr>
                    <w:pStyle w:val="Default"/>
                    <w:rPr>
                      <w:rFonts w:ascii="Arial" w:hAnsi="Arial" w:cs="Aria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Uveďte termín, kedy by malo dôjsť k preskúmaniu účinnosti a účelnosti predkladaného materiálu.</w:t>
            </w:r>
          </w:p>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424029" w:rsidRDefault="00424029" w:rsidP="000800FC">
            <w:pPr>
              <w:rPr>
                <w:rFonts w:ascii="Times New Roman" w:eastAsia="Times New Roman" w:hAnsi="Times New Roman" w:cs="Times New Roman"/>
                <w:i/>
                <w:sz w:val="20"/>
                <w:szCs w:val="20"/>
                <w:lang w:eastAsia="sk-SK"/>
              </w:rPr>
            </w:pPr>
          </w:p>
          <w:p w:rsidR="00424029" w:rsidRDefault="00424029" w:rsidP="00424029">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Podľa čl. 37 </w:t>
            </w:r>
            <w:r w:rsidRPr="00424029">
              <w:rPr>
                <w:rFonts w:ascii="Times New Roman" w:eastAsia="Times New Roman" w:hAnsi="Times New Roman" w:cs="Times New Roman"/>
                <w:sz w:val="24"/>
                <w:szCs w:val="24"/>
                <w:lang w:eastAsia="sk-SK"/>
              </w:rPr>
              <w:t>nariadenia (EÚ) 2023/1113</w:t>
            </w:r>
            <w:r>
              <w:rPr>
                <w:rFonts w:ascii="Times New Roman" w:eastAsia="Times New Roman" w:hAnsi="Times New Roman" w:cs="Times New Roman"/>
                <w:sz w:val="24"/>
                <w:szCs w:val="24"/>
                <w:lang w:eastAsia="sk-SK"/>
              </w:rPr>
              <w:t>, Európska komisia predloží do 30. júna 2027 Európskemu parlamentu a Rade správu o uplatňovaní a </w:t>
            </w:r>
            <w:r w:rsidR="00A23000">
              <w:rPr>
                <w:rFonts w:ascii="Times New Roman" w:eastAsia="Times New Roman" w:hAnsi="Times New Roman" w:cs="Times New Roman"/>
                <w:sz w:val="24"/>
                <w:szCs w:val="24"/>
                <w:lang w:eastAsia="sk-SK"/>
              </w:rPr>
              <w:t>presadzovaní</w:t>
            </w:r>
            <w:r>
              <w:rPr>
                <w:rFonts w:ascii="Times New Roman" w:eastAsia="Times New Roman" w:hAnsi="Times New Roman" w:cs="Times New Roman"/>
                <w:sz w:val="24"/>
                <w:szCs w:val="24"/>
                <w:lang w:eastAsia="sk-SK"/>
              </w:rPr>
              <w:t xml:space="preserve"> nariadenia </w:t>
            </w:r>
            <w:r w:rsidRPr="00424029">
              <w:rPr>
                <w:rFonts w:ascii="Times New Roman" w:eastAsia="Times New Roman" w:hAnsi="Times New Roman" w:cs="Times New Roman"/>
                <w:sz w:val="24"/>
                <w:szCs w:val="24"/>
                <w:lang w:eastAsia="sk-SK"/>
              </w:rPr>
              <w:t>(EÚ) 2023/1113</w:t>
            </w:r>
            <w:r w:rsidR="00A23000">
              <w:rPr>
                <w:rFonts w:ascii="Times New Roman" w:eastAsia="Times New Roman" w:hAnsi="Times New Roman" w:cs="Times New Roman"/>
                <w:sz w:val="24"/>
                <w:szCs w:val="24"/>
                <w:lang w:eastAsia="sk-SK"/>
              </w:rPr>
              <w:t>, vo vhodných prípadoch spolu s legislatívnym návrhom. Správa bude, okrem iného, obsahovať aj tieto prvky:</w:t>
            </w:r>
          </w:p>
          <w:p w:rsidR="00A23000" w:rsidRDefault="00A23000" w:rsidP="00424029">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posúdenie účinnosti opatrení stanovených v nariadení </w:t>
            </w:r>
            <w:r w:rsidRPr="00A23000">
              <w:rPr>
                <w:rFonts w:ascii="Times New Roman" w:eastAsia="Times New Roman" w:hAnsi="Times New Roman" w:cs="Times New Roman"/>
                <w:sz w:val="24"/>
                <w:szCs w:val="24"/>
                <w:lang w:eastAsia="sk-SK"/>
              </w:rPr>
              <w:t>(EÚ) 2023/1113</w:t>
            </w:r>
            <w:r>
              <w:rPr>
                <w:rFonts w:ascii="Times New Roman" w:eastAsia="Times New Roman" w:hAnsi="Times New Roman" w:cs="Times New Roman"/>
                <w:sz w:val="24"/>
                <w:szCs w:val="24"/>
                <w:lang w:eastAsia="sk-SK"/>
              </w:rPr>
              <w:t xml:space="preserve"> a dodržiavanie tohto nariadenia poskytovateľmi platobných služieb a poskytovateľmi služieb kryptoaktív,</w:t>
            </w:r>
          </w:p>
          <w:p w:rsidR="00A23000" w:rsidRDefault="00A23000" w:rsidP="00424029">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posúdenie technologických riešení na dodržiavanie povinností uložených poskytovateľom služieb kryptoaktív podľa tohto nariadenia,</w:t>
            </w:r>
          </w:p>
          <w:p w:rsidR="00A23000" w:rsidRDefault="00A23000" w:rsidP="00424029">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posúdenie účinnosti a vhodnosti prahových hodnôt de minimis týkajúcich sa prevodov finančných prostriedkov,</w:t>
            </w:r>
          </w:p>
          <w:p w:rsidR="001C54F0" w:rsidRDefault="001C54F0" w:rsidP="00424029">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analýzu</w:t>
            </w:r>
            <w:r w:rsidR="00A23000">
              <w:rPr>
                <w:rFonts w:ascii="Times New Roman" w:eastAsia="Times New Roman" w:hAnsi="Times New Roman" w:cs="Times New Roman"/>
                <w:sz w:val="24"/>
                <w:szCs w:val="24"/>
                <w:lang w:eastAsia="sk-SK"/>
              </w:rPr>
              <w:t xml:space="preserve"> trendov v používaní samohosťovaných adries na vykonávanie prevodov bez zapojenia akejkoľvek tretej strany</w:t>
            </w:r>
            <w:r>
              <w:rPr>
                <w:rFonts w:ascii="Times New Roman" w:eastAsia="Times New Roman" w:hAnsi="Times New Roman" w:cs="Times New Roman"/>
                <w:sz w:val="24"/>
                <w:szCs w:val="24"/>
                <w:lang w:eastAsia="sk-SK"/>
              </w:rPr>
              <w:t>.</w:t>
            </w:r>
          </w:p>
          <w:p w:rsidR="001C54F0" w:rsidRDefault="001C54F0" w:rsidP="00424029">
            <w:pPr>
              <w:jc w:val="both"/>
              <w:rPr>
                <w:rFonts w:ascii="Times New Roman" w:eastAsia="Times New Roman" w:hAnsi="Times New Roman" w:cs="Times New Roman"/>
                <w:sz w:val="24"/>
                <w:szCs w:val="24"/>
                <w:lang w:eastAsia="sk-SK"/>
              </w:rPr>
            </w:pPr>
          </w:p>
          <w:p w:rsidR="00ED007A" w:rsidRPr="00ED007A" w:rsidRDefault="00ED007A" w:rsidP="00ED007A">
            <w:pPr>
              <w:jc w:val="both"/>
              <w:rPr>
                <w:rFonts w:ascii="Times New Roman" w:eastAsia="Times New Roman" w:hAnsi="Times New Roman" w:cs="Times New Roman"/>
                <w:i/>
                <w:sz w:val="24"/>
                <w:szCs w:val="24"/>
                <w:lang w:eastAsia="sk-SK"/>
              </w:rPr>
            </w:pPr>
            <w:r w:rsidRPr="00ED007A">
              <w:rPr>
                <w:rFonts w:ascii="Times New Roman" w:eastAsia="Times New Roman" w:hAnsi="Times New Roman" w:cs="Times New Roman"/>
                <w:sz w:val="24"/>
                <w:szCs w:val="24"/>
                <w:lang w:eastAsia="sk-SK"/>
              </w:rPr>
              <w:t>Preskúmanie účelnosti predkladaných návrhov zákonov bude vykonávané priebežne po nadobudnutí ich účinností z pohľadu efektívnosti úprav.</w:t>
            </w:r>
            <w:r w:rsidRPr="00ED007A">
              <w:rPr>
                <w:rFonts w:ascii="Times New Roman" w:eastAsia="Times New Roman" w:hAnsi="Times New Roman" w:cs="Times New Roman"/>
                <w:i/>
                <w:sz w:val="24"/>
                <w:szCs w:val="24"/>
                <w:lang w:eastAsia="sk-SK"/>
              </w:rPr>
              <w:t xml:space="preserve"> </w:t>
            </w:r>
          </w:p>
          <w:p w:rsidR="00ED007A" w:rsidRPr="00424029" w:rsidRDefault="00ED007A" w:rsidP="00424029">
            <w:pPr>
              <w:jc w:val="both"/>
              <w:rPr>
                <w:rFonts w:ascii="Times New Roman" w:eastAsia="Times New Roman" w:hAnsi="Times New Roman" w:cs="Times New Roman"/>
                <w:sz w:val="24"/>
                <w:szCs w:val="24"/>
                <w:lang w:eastAsia="sk-SK"/>
              </w:rPr>
            </w:pPr>
          </w:p>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612E08" w:rsidRDefault="004C6831" w:rsidP="00A7788F">
            <w:pPr>
              <w:jc w:val="both"/>
              <w:rPr>
                <w:rFonts w:ascii="Times New Roman" w:eastAsia="Times New Roman" w:hAnsi="Times New Roman" w:cs="Times New Roman"/>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12E08" w:rsidRDefault="00ED007A"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ED007A"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12E08" w:rsidRDefault="004951D9"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612E08" w:rsidRDefault="003145AE"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9E348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CB0787"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CB0787"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612E08" w:rsidRDefault="0008700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612E08" w:rsidRDefault="00CB078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203EE3">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612E08" w:rsidRDefault="00087008"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612E08" w:rsidRDefault="00087008"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612E08" w:rsidRDefault="00E37426"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612E08" w:rsidRDefault="00E37426"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CB078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CB078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w:t>
            </w:r>
            <w:r w:rsidR="007D6F2C" w:rsidRPr="00612E08">
              <w:rPr>
                <w:rFonts w:ascii="Times New Roman" w:eastAsia="Times New Roman" w:hAnsi="Times New Roman" w:cs="Times New Roman"/>
                <w:sz w:val="20"/>
                <w:szCs w:val="20"/>
                <w:lang w:eastAsia="sk-SK"/>
              </w:rPr>
              <w:lastRenderedPageBreak/>
              <w:t>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lastRenderedPageBreak/>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08700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08700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1C4C3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08700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1C4C30"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Default="004C6831" w:rsidP="000800FC">
            <w:pPr>
              <w:jc w:val="both"/>
              <w:rPr>
                <w:rFonts w:ascii="Times New Roman" w:eastAsia="Times New Roman" w:hAnsi="Times New Roman" w:cs="Times New Roman"/>
                <w:i/>
                <w:sz w:val="20"/>
                <w:szCs w:val="20"/>
                <w:lang w:eastAsia="sk-SK"/>
              </w:rPr>
            </w:pPr>
          </w:p>
          <w:p w:rsidR="00ED007A" w:rsidRDefault="00ED007A" w:rsidP="00ED007A">
            <w:pPr>
              <w:jc w:val="both"/>
              <w:rPr>
                <w:rFonts w:ascii="Times New Roman" w:eastAsia="Times New Roman" w:hAnsi="Times New Roman" w:cs="Times New Roman"/>
                <w:sz w:val="24"/>
                <w:szCs w:val="24"/>
                <w:u w:val="single"/>
                <w:lang w:eastAsia="sk-SK"/>
              </w:rPr>
            </w:pPr>
            <w:r w:rsidRPr="00ED007A">
              <w:rPr>
                <w:rFonts w:ascii="Times New Roman" w:eastAsia="Times New Roman" w:hAnsi="Times New Roman" w:cs="Times New Roman"/>
                <w:sz w:val="24"/>
                <w:szCs w:val="24"/>
                <w:u w:val="single"/>
                <w:lang w:eastAsia="sk-SK"/>
              </w:rPr>
              <w:t>K čl</w:t>
            </w:r>
            <w:r w:rsidRPr="000B5AB9">
              <w:rPr>
                <w:rFonts w:ascii="Times New Roman" w:eastAsia="Times New Roman" w:hAnsi="Times New Roman" w:cs="Times New Roman"/>
                <w:sz w:val="24"/>
                <w:szCs w:val="24"/>
                <w:u w:val="single"/>
                <w:lang w:eastAsia="sk-SK"/>
              </w:rPr>
              <w:t xml:space="preserve">. </w:t>
            </w:r>
            <w:r w:rsidR="000B5AB9" w:rsidRPr="000B5AB9">
              <w:rPr>
                <w:rFonts w:ascii="Times New Roman" w:eastAsia="Times New Roman" w:hAnsi="Times New Roman" w:cs="Times New Roman"/>
                <w:sz w:val="24"/>
                <w:szCs w:val="24"/>
                <w:u w:val="single"/>
                <w:lang w:eastAsia="sk-SK"/>
              </w:rPr>
              <w:t>II, VII a</w:t>
            </w:r>
            <w:r w:rsidR="0051015E">
              <w:rPr>
                <w:rFonts w:ascii="Times New Roman" w:eastAsia="Times New Roman" w:hAnsi="Times New Roman" w:cs="Times New Roman"/>
                <w:sz w:val="24"/>
                <w:szCs w:val="24"/>
                <w:u w:val="single"/>
                <w:lang w:eastAsia="sk-SK"/>
              </w:rPr>
              <w:t> </w:t>
            </w:r>
            <w:r w:rsidR="000B5AB9" w:rsidRPr="000B5AB9">
              <w:rPr>
                <w:rFonts w:ascii="Times New Roman" w:eastAsia="Times New Roman" w:hAnsi="Times New Roman" w:cs="Times New Roman"/>
                <w:sz w:val="24"/>
                <w:szCs w:val="24"/>
                <w:u w:val="single"/>
                <w:lang w:eastAsia="sk-SK"/>
              </w:rPr>
              <w:t>XII</w:t>
            </w:r>
            <w:r w:rsidR="0051015E">
              <w:rPr>
                <w:rFonts w:ascii="Times New Roman" w:eastAsia="Times New Roman" w:hAnsi="Times New Roman" w:cs="Times New Roman"/>
                <w:sz w:val="24"/>
                <w:szCs w:val="24"/>
                <w:u w:val="single"/>
                <w:lang w:eastAsia="sk-SK"/>
              </w:rPr>
              <w:t xml:space="preserve"> návrhu zákona</w:t>
            </w:r>
            <w:r w:rsidRPr="000B5AB9">
              <w:rPr>
                <w:rFonts w:ascii="Times New Roman" w:eastAsia="Times New Roman" w:hAnsi="Times New Roman" w:cs="Times New Roman"/>
                <w:sz w:val="24"/>
                <w:szCs w:val="24"/>
                <w:u w:val="single"/>
                <w:lang w:eastAsia="sk-SK"/>
              </w:rPr>
              <w:t>:</w:t>
            </w:r>
          </w:p>
          <w:p w:rsidR="00ED007A" w:rsidRPr="00ED007A" w:rsidRDefault="00ED007A" w:rsidP="00ED007A">
            <w:pPr>
              <w:jc w:val="both"/>
              <w:rPr>
                <w:rFonts w:ascii="Times New Roman" w:eastAsia="Times New Roman" w:hAnsi="Times New Roman" w:cs="Times New Roman"/>
                <w:sz w:val="24"/>
                <w:szCs w:val="24"/>
                <w:u w:val="single"/>
                <w:lang w:eastAsia="sk-SK"/>
              </w:rPr>
            </w:pPr>
          </w:p>
          <w:p w:rsidR="00ED007A" w:rsidRPr="00ED007A" w:rsidRDefault="00ED007A" w:rsidP="00ED007A">
            <w:pPr>
              <w:jc w:val="both"/>
              <w:rPr>
                <w:rFonts w:ascii="Times New Roman" w:eastAsia="Times New Roman" w:hAnsi="Times New Roman" w:cs="Times New Roman"/>
                <w:sz w:val="24"/>
                <w:szCs w:val="24"/>
                <w:lang w:eastAsia="sk-SK"/>
              </w:rPr>
            </w:pPr>
            <w:r w:rsidRPr="00ED007A">
              <w:rPr>
                <w:rFonts w:ascii="Times New Roman" w:eastAsia="Times New Roman" w:hAnsi="Times New Roman" w:cs="Times New Roman"/>
                <w:sz w:val="24"/>
                <w:szCs w:val="24"/>
                <w:lang w:eastAsia="sk-SK"/>
              </w:rPr>
              <w:t xml:space="preserve">V nadväznosti na zavedenie povinnosti deklarovať peňažné prostriedky v hotovosti pri prekračovaní štátnej hranice Slovenskej republiky z územia iného členského štátu Európskej únie alebo na územie iného členského štátu Európskej únie v návrhu novely zákona o finančnej správe sa v predloženom návrhu novely zákona o priestupkoch ustanovuje výška pokuty uložená za nesplnenie tejto povinnosti. Návrhom novely Colného zákona sa zvyšuje horná hranica pokút uložených za colné priestupky. Výnosy z uložených pokút sú príjmom štátneho rozpočtu. </w:t>
            </w:r>
            <w:r w:rsidRPr="00016572">
              <w:rPr>
                <w:rFonts w:ascii="Times New Roman" w:eastAsia="Times New Roman" w:hAnsi="Times New Roman" w:cs="Times New Roman"/>
                <w:sz w:val="24"/>
                <w:szCs w:val="24"/>
                <w:u w:val="single"/>
                <w:lang w:eastAsia="sk-SK"/>
              </w:rPr>
              <w:t>Predpokladá sa celkovo pozitívny vplyv na rozpočet verejnej správy, ktorý sa však v súčasnosti nedá kvantifikovať</w:t>
            </w:r>
            <w:r w:rsidRPr="00ED007A">
              <w:rPr>
                <w:rFonts w:ascii="Times New Roman" w:eastAsia="Times New Roman" w:hAnsi="Times New Roman" w:cs="Times New Roman"/>
                <w:sz w:val="24"/>
                <w:szCs w:val="24"/>
                <w:lang w:eastAsia="sk-SK"/>
              </w:rPr>
              <w:t xml:space="preserve">. Dôvodom je skutočnosť, že v súčasnosti nie je možné odhadnúť počet porušení, za ktoré bude pokuta uložená a v akej výške. Výška uloženej pokuty závisí aj od iných faktorov, napríklad od závažnosti porušenia, čo bude zohľadnené pri určení jej konkrétnej výšky. Vzhľadom na očakávaný preventívny účinok navrhovaných zmien sa však nepredpokladá výrazne vyšší príjem z uložených pokút. Je možné len predpokladať, že navrhované zmeny budú mať </w:t>
            </w:r>
            <w:r w:rsidRPr="00ED007A">
              <w:rPr>
                <w:rFonts w:ascii="Times New Roman" w:eastAsia="Times New Roman" w:hAnsi="Times New Roman" w:cs="Times New Roman"/>
                <w:b/>
                <w:sz w:val="24"/>
                <w:szCs w:val="24"/>
                <w:lang w:eastAsia="sk-SK"/>
              </w:rPr>
              <w:t>pozitívny vplyv na rozpočet verejnej správy</w:t>
            </w:r>
            <w:r w:rsidRPr="00ED007A">
              <w:rPr>
                <w:rFonts w:ascii="Times New Roman" w:eastAsia="Times New Roman" w:hAnsi="Times New Roman" w:cs="Times New Roman"/>
                <w:sz w:val="24"/>
                <w:szCs w:val="24"/>
                <w:lang w:eastAsia="sk-SK"/>
              </w:rPr>
              <w:t xml:space="preserve">. </w:t>
            </w:r>
          </w:p>
          <w:p w:rsidR="00ED007A" w:rsidRPr="00ED007A" w:rsidRDefault="00ED007A" w:rsidP="00ED007A">
            <w:pPr>
              <w:jc w:val="both"/>
              <w:rPr>
                <w:rFonts w:ascii="Times New Roman" w:eastAsia="Calibri" w:hAnsi="Times New Roman" w:cs="Times New Roman"/>
                <w:b/>
                <w:sz w:val="24"/>
                <w:szCs w:val="24"/>
              </w:rPr>
            </w:pPr>
            <w:r w:rsidRPr="00ED007A">
              <w:rPr>
                <w:rFonts w:ascii="Times New Roman" w:eastAsia="Calibri" w:hAnsi="Times New Roman" w:cs="Times New Roman"/>
                <w:sz w:val="24"/>
                <w:szCs w:val="24"/>
              </w:rPr>
              <w:t xml:space="preserve">Návrh novely zákona o priestupkoch, návrh novely Colného zákona a návrh novely zákona  o finančnej správe nepredpokladajú </w:t>
            </w:r>
            <w:r w:rsidRPr="00ED007A">
              <w:rPr>
                <w:rFonts w:ascii="Times New Roman" w:eastAsia="Calibri" w:hAnsi="Times New Roman" w:cs="Times New Roman"/>
                <w:b/>
                <w:sz w:val="24"/>
                <w:szCs w:val="24"/>
              </w:rPr>
              <w:t>žiadne vplyvy</w:t>
            </w:r>
            <w:r w:rsidRPr="00ED007A">
              <w:rPr>
                <w:rFonts w:ascii="Times New Roman" w:eastAsia="Calibri" w:hAnsi="Times New Roman" w:cs="Times New Roman"/>
                <w:sz w:val="24"/>
                <w:szCs w:val="24"/>
              </w:rPr>
              <w:t xml:space="preserve"> </w:t>
            </w:r>
            <w:r w:rsidRPr="00ED007A">
              <w:rPr>
                <w:rFonts w:ascii="Times New Roman" w:eastAsia="Calibri" w:hAnsi="Times New Roman" w:cs="Times New Roman"/>
                <w:b/>
                <w:sz w:val="24"/>
                <w:szCs w:val="24"/>
              </w:rPr>
              <w:t>na podnikateľské prostredie, sociálne vplyvy, vplyvy na životné prostredie, na informatizáciu spoločnosti, na služby verejnej správy pre občana a vplyvy na manželstvo, rodičovstvo a rodinu.</w:t>
            </w:r>
          </w:p>
          <w:p w:rsidR="00ED007A" w:rsidRPr="00612E08" w:rsidRDefault="00ED007A"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612E08" w:rsidRDefault="0098472E" w:rsidP="000800FC">
            <w:pPr>
              <w:jc w:val="both"/>
              <w:rPr>
                <w:rFonts w:ascii="Times New Roman" w:eastAsia="Times New Roman" w:hAnsi="Times New Roman" w:cs="Times New Roman"/>
                <w:i/>
                <w:sz w:val="20"/>
                <w:szCs w:val="20"/>
                <w:lang w:eastAsia="sk-SK"/>
              </w:rPr>
            </w:pPr>
          </w:p>
          <w:p w:rsidR="0098472E" w:rsidRDefault="007C5312" w:rsidP="0098472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98472E" w:rsidRPr="00612E08" w:rsidRDefault="0098472E" w:rsidP="000800FC">
            <w:pPr>
              <w:jc w:val="both"/>
              <w:rPr>
                <w:rFonts w:ascii="Times New Roman" w:eastAsia="Times New Roman" w:hAnsi="Times New Roman" w:cs="Times New Roman"/>
                <w:i/>
                <w:sz w:val="20"/>
                <w:szCs w:val="20"/>
                <w:lang w:eastAsia="sk-SK"/>
              </w:rPr>
            </w:pPr>
          </w:p>
          <w:p w:rsidR="001B23B7" w:rsidRPr="00612E08" w:rsidRDefault="001B23B7" w:rsidP="000800FC">
            <w:pPr>
              <w:ind w:left="426"/>
              <w:contextualSpacing/>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5817C7" w:rsidRDefault="005817C7" w:rsidP="000800FC">
            <w:pPr>
              <w:rPr>
                <w:rFonts w:ascii="Times New Roman" w:eastAsia="Times New Roman" w:hAnsi="Times New Roman" w:cs="Times New Roman"/>
                <w:i/>
                <w:sz w:val="20"/>
                <w:szCs w:val="20"/>
                <w:lang w:eastAsia="sk-SK"/>
              </w:rPr>
            </w:pPr>
          </w:p>
          <w:p w:rsidR="005817C7" w:rsidRDefault="005817C7" w:rsidP="000800FC">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Mgr. Mária Sučanová</w:t>
            </w:r>
          </w:p>
          <w:p w:rsidR="005817C7" w:rsidRDefault="005817C7" w:rsidP="005817C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09610/51465, </w:t>
            </w:r>
            <w:hyperlink r:id="rId10" w:history="1">
              <w:r w:rsidRPr="00845A33">
                <w:rPr>
                  <w:rStyle w:val="Hypertextovprepojenie"/>
                  <w:rFonts w:ascii="Times New Roman" w:eastAsia="Times New Roman" w:hAnsi="Times New Roman" w:cs="Times New Roman"/>
                  <w:sz w:val="24"/>
                  <w:szCs w:val="24"/>
                  <w:lang w:eastAsia="sk-SK"/>
                </w:rPr>
                <w:t>maria.sucanova@minv.sk</w:t>
              </w:r>
            </w:hyperlink>
          </w:p>
          <w:p w:rsidR="005817C7" w:rsidRPr="005817C7" w:rsidRDefault="005817C7" w:rsidP="005817C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finančná spravodajská jednotka Prezídia Policajného zboru </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Calibri" w:hAnsi="Times New Roman" w:cs="Times New Roman"/>
                <w:sz w:val="24"/>
                <w:szCs w:val="24"/>
              </w:rPr>
            </w:pPr>
            <w:r w:rsidRPr="00612E08">
              <w:rPr>
                <w:rFonts w:ascii="Times New Roman" w:eastAsia="Times New Roman" w:hAnsi="Times New Roman" w:cs="Times New Roman"/>
                <w:i/>
                <w:sz w:val="20"/>
                <w:szCs w:val="20"/>
                <w:lang w:eastAsia="sk-SK"/>
              </w:rPr>
              <w:lastRenderedPageBreak/>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F61125" w:rsidRDefault="00F61125" w:rsidP="000800FC">
            <w:pPr>
              <w:jc w:val="both"/>
              <w:rPr>
                <w:rFonts w:ascii="Times New Roman" w:eastAsia="Calibri" w:hAnsi="Times New Roman" w:cs="Times New Roman"/>
                <w:sz w:val="24"/>
                <w:szCs w:val="24"/>
              </w:rPr>
            </w:pPr>
          </w:p>
          <w:p w:rsidR="00F61125" w:rsidRDefault="00F61125" w:rsidP="00F61125">
            <w:pPr>
              <w:rPr>
                <w:rFonts w:ascii="Times New Roman" w:eastAsia="Calibri" w:hAnsi="Times New Roman" w:cs="Times New Roman"/>
                <w:sz w:val="24"/>
                <w:szCs w:val="24"/>
              </w:rPr>
            </w:pPr>
            <w:r w:rsidRPr="00F61125">
              <w:rPr>
                <w:rFonts w:ascii="Times New Roman" w:eastAsia="Calibri" w:hAnsi="Times New Roman" w:cs="Times New Roman"/>
                <w:sz w:val="24"/>
                <w:szCs w:val="24"/>
              </w:rPr>
              <w:t>- štatistiky zver</w:t>
            </w:r>
            <w:r w:rsidR="00087008">
              <w:rPr>
                <w:rFonts w:ascii="Times New Roman" w:eastAsia="Calibri" w:hAnsi="Times New Roman" w:cs="Times New Roman"/>
                <w:sz w:val="24"/>
                <w:szCs w:val="24"/>
              </w:rPr>
              <w:t xml:space="preserve">ejnené na webovom sídle </w:t>
            </w:r>
            <w:r>
              <w:rPr>
                <w:rFonts w:ascii="Times New Roman" w:eastAsia="Calibri" w:hAnsi="Times New Roman" w:cs="Times New Roman"/>
                <w:sz w:val="24"/>
                <w:szCs w:val="24"/>
              </w:rPr>
              <w:t>Národnej banky Slovenska</w:t>
            </w:r>
            <w:r w:rsidR="00087008">
              <w:rPr>
                <w:rFonts w:ascii="Times New Roman" w:eastAsia="Calibri" w:hAnsi="Times New Roman" w:cs="Times New Roman"/>
                <w:sz w:val="24"/>
                <w:szCs w:val="24"/>
              </w:rPr>
              <w:t>, Úradu pre reguláciu hazardných hier,</w:t>
            </w:r>
            <w:r>
              <w:rPr>
                <w:rFonts w:ascii="Times New Roman" w:eastAsia="Calibri" w:hAnsi="Times New Roman" w:cs="Times New Roman"/>
                <w:sz w:val="24"/>
                <w:szCs w:val="24"/>
              </w:rPr>
              <w:t xml:space="preserve"> </w:t>
            </w:r>
          </w:p>
          <w:p w:rsidR="00F61125" w:rsidRPr="00F61125" w:rsidRDefault="00F61125" w:rsidP="00F61125">
            <w:pPr>
              <w:rPr>
                <w:rFonts w:ascii="Times New Roman" w:eastAsia="Calibri" w:hAnsi="Times New Roman" w:cs="Times New Roman"/>
                <w:sz w:val="24"/>
                <w:szCs w:val="24"/>
              </w:rPr>
            </w:pPr>
            <w:r w:rsidRPr="00F61125">
              <w:rPr>
                <w:rFonts w:ascii="Times New Roman" w:eastAsia="Calibri" w:hAnsi="Times New Roman" w:cs="Times New Roman"/>
                <w:sz w:val="24"/>
                <w:szCs w:val="24"/>
              </w:rPr>
              <w:t>- závery rokovaní s Národnou bankou Slovenska, ktorá je orgánom dohľadu pre väčšinu povinných osôb z finančného sektora, Ministerstvom financií Slovenskej republiky, Ministerstvom spravodlivosti Slovenskej republiky,</w:t>
            </w:r>
            <w:r w:rsidR="004D49C2">
              <w:rPr>
                <w:rFonts w:ascii="Times New Roman" w:eastAsia="Calibri" w:hAnsi="Times New Roman" w:cs="Times New Roman"/>
                <w:sz w:val="24"/>
                <w:szCs w:val="24"/>
              </w:rPr>
              <w:t xml:space="preserve"> Generálnou prokuratúrou SR,</w:t>
            </w:r>
            <w:r w:rsidRPr="00F61125">
              <w:rPr>
                <w:rFonts w:ascii="Times New Roman" w:eastAsia="Calibri" w:hAnsi="Times New Roman" w:cs="Times New Roman"/>
                <w:sz w:val="24"/>
                <w:szCs w:val="24"/>
              </w:rPr>
              <w:t xml:space="preserve"> ako aj so Slovenskou bankovou asociácio</w:t>
            </w:r>
            <w:r w:rsidR="00087008">
              <w:rPr>
                <w:rFonts w:ascii="Times New Roman" w:eastAsia="Calibri" w:hAnsi="Times New Roman" w:cs="Times New Roman"/>
                <w:sz w:val="24"/>
                <w:szCs w:val="24"/>
              </w:rPr>
              <w:t>u.</w:t>
            </w:r>
          </w:p>
          <w:p w:rsidR="001B23B7" w:rsidRPr="00612E08" w:rsidRDefault="00ED007A" w:rsidP="00E20ACB">
            <w:pPr>
              <w:jc w:val="both"/>
              <w:rPr>
                <w:rFonts w:ascii="Times New Roman" w:eastAsia="Times New Roman" w:hAnsi="Times New Roman" w:cs="Times New Roman"/>
                <w:b/>
                <w:sz w:val="20"/>
                <w:szCs w:val="20"/>
                <w:lang w:eastAsia="sk-SK"/>
              </w:rPr>
            </w:pPr>
            <w:r w:rsidRPr="00ED007A">
              <w:rPr>
                <w:rFonts w:ascii="Times New Roman" w:eastAsia="Times New Roman" w:hAnsi="Times New Roman" w:cs="Times New Roman"/>
                <w:sz w:val="24"/>
                <w:szCs w:val="24"/>
                <w:lang w:eastAsia="sk-SK"/>
              </w:rPr>
              <w:t xml:space="preserve">Pri príprave návrhu novely zákona o priestupkoch, návrhu novely Colného zákona a návrhu novely zákona o finančnej správe sa vychádzalo z podkladov Výboru </w:t>
            </w:r>
            <w:r w:rsidR="00DB06FD">
              <w:rPr>
                <w:rFonts w:ascii="Times New Roman" w:eastAsia="Times New Roman" w:hAnsi="Times New Roman" w:cs="Times New Roman"/>
                <w:sz w:val="24"/>
                <w:szCs w:val="24"/>
                <w:lang w:eastAsia="sk-SK"/>
              </w:rPr>
              <w:t xml:space="preserve">Moneyval </w:t>
            </w:r>
            <w:r w:rsidRPr="00ED007A">
              <w:rPr>
                <w:rFonts w:ascii="Times New Roman" w:eastAsia="Times New Roman" w:hAnsi="Times New Roman" w:cs="Times New Roman"/>
                <w:sz w:val="24"/>
                <w:szCs w:val="24"/>
                <w:lang w:eastAsia="sk-SK"/>
              </w:rPr>
              <w:t>a Finančného riaditeľstva SR.</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w:t>
            </w:r>
            <w:r w:rsidR="00CD2DD7">
              <w:rPr>
                <w:rFonts w:ascii="Times New Roman" w:eastAsia="Calibri" w:hAnsi="Times New Roman" w:cs="Times New Roman"/>
                <w:b/>
              </w:rPr>
              <w:t>ných vplyvov z PPK č. 086/2024</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2057B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2057B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1"/>
                        <w14:checkedState w14:val="2612" w14:font="MS Gothic"/>
                        <w14:uncheckedState w14:val="2610" w14:font="MS Gothic"/>
                      </w14:checkbox>
                    </w:sdtPr>
                    <w:sdtEndPr/>
                    <w:sdtContent>
                      <w:r w:rsidR="00CD2DD7">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2057B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CD2DD7" w:rsidRDefault="00CD2DD7" w:rsidP="00CD2DD7">
            <w:pPr>
              <w:rPr>
                <w:rFonts w:ascii="Times New Roman" w:eastAsia="Times New Roman" w:hAnsi="Times New Roman" w:cs="Times New Roman"/>
                <w:b/>
                <w:sz w:val="20"/>
                <w:szCs w:val="20"/>
                <w:lang w:eastAsia="sk-SK"/>
              </w:rPr>
            </w:pPr>
          </w:p>
          <w:p w:rsidR="00CD2DD7" w:rsidRPr="00687B71" w:rsidRDefault="00BC6D52" w:rsidP="00CD2DD7">
            <w:pPr>
              <w:jc w:val="both"/>
              <w:rPr>
                <w:rFonts w:ascii="Times New Roman" w:eastAsia="Times New Roman" w:hAnsi="Times New Roman" w:cs="Times New Roman"/>
                <w:b/>
                <w:sz w:val="24"/>
                <w:szCs w:val="24"/>
                <w:lang w:eastAsia="sk-SK"/>
              </w:rPr>
            </w:pPr>
            <w:r w:rsidRPr="00687B71">
              <w:rPr>
                <w:rFonts w:ascii="Times New Roman" w:eastAsia="Times New Roman" w:hAnsi="Times New Roman" w:cs="Times New Roman"/>
                <w:b/>
                <w:sz w:val="24"/>
                <w:szCs w:val="24"/>
                <w:lang w:eastAsia="sk-SK"/>
              </w:rPr>
              <w:t>Komisia uplatnila</w:t>
            </w:r>
            <w:r w:rsidR="00CD2DD7" w:rsidRPr="00687B71">
              <w:rPr>
                <w:rFonts w:ascii="Times New Roman" w:eastAsia="Times New Roman" w:hAnsi="Times New Roman" w:cs="Times New Roman"/>
                <w:b/>
                <w:sz w:val="24"/>
                <w:szCs w:val="24"/>
                <w:lang w:eastAsia="sk-SK"/>
              </w:rPr>
              <w:t xml:space="preserve"> k materiálu nasledovné pripomienky a odporúčania:</w:t>
            </w:r>
          </w:p>
          <w:p w:rsidR="00CD2DD7" w:rsidRPr="00687B71" w:rsidRDefault="00CD2DD7" w:rsidP="00CD2DD7">
            <w:pPr>
              <w:rPr>
                <w:rFonts w:ascii="Times New Roman" w:eastAsia="Times New Roman" w:hAnsi="Times New Roman" w:cs="Times New Roman"/>
                <w:b/>
                <w:sz w:val="24"/>
                <w:szCs w:val="24"/>
                <w:lang w:eastAsia="sk-SK"/>
              </w:rPr>
            </w:pPr>
          </w:p>
          <w:p w:rsidR="00CD2DD7" w:rsidRPr="00687B71" w:rsidRDefault="00CD2DD7" w:rsidP="00CD2DD7">
            <w:pPr>
              <w:jc w:val="both"/>
              <w:rPr>
                <w:rFonts w:ascii="Times New Roman" w:eastAsia="Times New Roman" w:hAnsi="Times New Roman" w:cs="Times New Roman"/>
                <w:b/>
                <w:sz w:val="24"/>
                <w:szCs w:val="24"/>
                <w:lang w:eastAsia="sk-SK"/>
              </w:rPr>
            </w:pPr>
            <w:r w:rsidRPr="00687B71">
              <w:rPr>
                <w:rFonts w:ascii="Times New Roman" w:eastAsia="Times New Roman" w:hAnsi="Times New Roman" w:cs="Times New Roman"/>
                <w:b/>
                <w:sz w:val="24"/>
                <w:szCs w:val="24"/>
                <w:lang w:eastAsia="sk-SK"/>
              </w:rPr>
              <w:t>K doložke vybraných vplyvov</w:t>
            </w:r>
          </w:p>
          <w:p w:rsidR="001B23B7" w:rsidRPr="00687B71" w:rsidRDefault="00CD2DD7" w:rsidP="00CD2DD7">
            <w:pPr>
              <w:jc w:val="both"/>
              <w:rPr>
                <w:rFonts w:ascii="Times New Roman" w:eastAsia="Times New Roman" w:hAnsi="Times New Roman" w:cs="Times New Roman"/>
                <w:sz w:val="24"/>
                <w:szCs w:val="24"/>
                <w:lang w:eastAsia="sk-SK"/>
              </w:rPr>
            </w:pPr>
            <w:r w:rsidRPr="00687B71">
              <w:rPr>
                <w:rFonts w:ascii="Times New Roman" w:eastAsia="Times New Roman" w:hAnsi="Times New Roman" w:cs="Times New Roman"/>
                <w:sz w:val="24"/>
                <w:szCs w:val="24"/>
                <w:lang w:eastAsia="sk-SK"/>
              </w:rPr>
              <w:t>V doložke vybraných vplyvov je označený pozitívny vplyv na rozpočet verejnej správy. Komisia upozorňuje, že v takomto prípade sa rozpočtová zabezpečenosť neoznačuje.</w:t>
            </w:r>
          </w:p>
          <w:p w:rsidR="00CD2DD7" w:rsidRPr="00687B71" w:rsidRDefault="00CD2DD7" w:rsidP="00CD2DD7">
            <w:pPr>
              <w:jc w:val="both"/>
              <w:rPr>
                <w:rFonts w:ascii="Times New Roman" w:eastAsia="Times New Roman" w:hAnsi="Times New Roman" w:cs="Times New Roman"/>
                <w:b/>
                <w:sz w:val="24"/>
                <w:szCs w:val="24"/>
                <w:u w:val="single"/>
                <w:lang w:eastAsia="sk-SK"/>
              </w:rPr>
            </w:pPr>
            <w:r w:rsidRPr="00687B71">
              <w:rPr>
                <w:rFonts w:ascii="Times New Roman" w:eastAsia="Times New Roman" w:hAnsi="Times New Roman" w:cs="Times New Roman"/>
                <w:sz w:val="24"/>
                <w:szCs w:val="24"/>
                <w:lang w:eastAsia="sk-SK"/>
              </w:rPr>
              <w:t xml:space="preserve">   </w:t>
            </w:r>
            <w:r w:rsidR="00F52B37" w:rsidRPr="00687B71">
              <w:rPr>
                <w:rFonts w:ascii="Times New Roman" w:eastAsia="Times New Roman" w:hAnsi="Times New Roman" w:cs="Times New Roman"/>
                <w:sz w:val="24"/>
                <w:szCs w:val="24"/>
                <w:lang w:eastAsia="sk-SK"/>
              </w:rPr>
              <w:t xml:space="preserve">   </w:t>
            </w:r>
            <w:r w:rsidRPr="00687B71">
              <w:rPr>
                <w:rFonts w:ascii="Times New Roman" w:eastAsia="Times New Roman" w:hAnsi="Times New Roman" w:cs="Times New Roman"/>
                <w:b/>
                <w:sz w:val="24"/>
                <w:szCs w:val="24"/>
                <w:u w:val="single"/>
                <w:lang w:eastAsia="sk-SK"/>
              </w:rPr>
              <w:t>Vyjadrenie predkladateľa:</w:t>
            </w:r>
          </w:p>
          <w:p w:rsidR="00CD2DD7" w:rsidRPr="00687B71" w:rsidRDefault="00CD2DD7" w:rsidP="00CD2DD7">
            <w:pPr>
              <w:jc w:val="both"/>
              <w:rPr>
                <w:rFonts w:ascii="Times New Roman" w:eastAsia="Times New Roman" w:hAnsi="Times New Roman" w:cs="Times New Roman"/>
                <w:sz w:val="24"/>
                <w:szCs w:val="24"/>
                <w:lang w:eastAsia="sk-SK"/>
              </w:rPr>
            </w:pPr>
            <w:r w:rsidRPr="00687B71">
              <w:rPr>
                <w:rFonts w:ascii="Times New Roman" w:eastAsia="Times New Roman" w:hAnsi="Times New Roman" w:cs="Times New Roman"/>
                <w:sz w:val="24"/>
                <w:szCs w:val="24"/>
                <w:lang w:eastAsia="sk-SK"/>
              </w:rPr>
              <w:t xml:space="preserve">  </w:t>
            </w:r>
            <w:r w:rsidR="00F52B37" w:rsidRPr="00687B71">
              <w:rPr>
                <w:rFonts w:ascii="Times New Roman" w:eastAsia="Times New Roman" w:hAnsi="Times New Roman" w:cs="Times New Roman"/>
                <w:sz w:val="24"/>
                <w:szCs w:val="24"/>
                <w:lang w:eastAsia="sk-SK"/>
              </w:rPr>
              <w:t xml:space="preserve">   </w:t>
            </w:r>
            <w:r w:rsidRPr="00687B71">
              <w:rPr>
                <w:rFonts w:ascii="Times New Roman" w:eastAsia="Times New Roman" w:hAnsi="Times New Roman" w:cs="Times New Roman"/>
                <w:sz w:val="24"/>
                <w:szCs w:val="24"/>
                <w:lang w:eastAsia="sk-SK"/>
              </w:rPr>
              <w:t xml:space="preserve"> Pripomienka bola akceptovaná a zapracovaná.</w:t>
            </w:r>
          </w:p>
          <w:p w:rsidR="00CD2DD7" w:rsidRPr="00687B71" w:rsidRDefault="00CD2DD7" w:rsidP="00CD2DD7">
            <w:pPr>
              <w:jc w:val="both"/>
              <w:rPr>
                <w:rFonts w:ascii="Times New Roman" w:eastAsia="Times New Roman" w:hAnsi="Times New Roman" w:cs="Times New Roman"/>
                <w:sz w:val="24"/>
                <w:szCs w:val="24"/>
                <w:lang w:eastAsia="sk-SK"/>
              </w:rPr>
            </w:pPr>
          </w:p>
          <w:p w:rsidR="00F52B37" w:rsidRPr="00687B71" w:rsidRDefault="00F52B37" w:rsidP="00F52B37">
            <w:pPr>
              <w:jc w:val="both"/>
              <w:rPr>
                <w:rFonts w:ascii="Times New Roman" w:eastAsia="Times New Roman" w:hAnsi="Times New Roman" w:cs="Times New Roman"/>
                <w:bCs/>
                <w:sz w:val="24"/>
                <w:szCs w:val="24"/>
                <w:lang w:eastAsia="sk-SK"/>
              </w:rPr>
            </w:pPr>
            <w:r w:rsidRPr="00687B71">
              <w:rPr>
                <w:rFonts w:ascii="Times New Roman" w:eastAsia="Times New Roman" w:hAnsi="Times New Roman" w:cs="Times New Roman"/>
                <w:bCs/>
                <w:sz w:val="24"/>
                <w:szCs w:val="24"/>
                <w:lang w:eastAsia="sk-SK"/>
              </w:rPr>
              <w:t xml:space="preserve">V súlade s čl. 20 ods. 4 Legislatívnych pravidiel vlády Slovenskej republiky v platnom znení je tiež potrebné v siedmom bode doložky vybraných vplyvov uviesť zhodnotenie rozsahu takejto transpozície.  </w:t>
            </w:r>
          </w:p>
          <w:p w:rsidR="004951BA" w:rsidRPr="00687B71" w:rsidRDefault="004951BA" w:rsidP="004951BA">
            <w:pPr>
              <w:jc w:val="both"/>
              <w:rPr>
                <w:rFonts w:ascii="Times New Roman" w:eastAsia="Times New Roman" w:hAnsi="Times New Roman" w:cs="Times New Roman"/>
                <w:b/>
                <w:sz w:val="24"/>
                <w:szCs w:val="24"/>
                <w:u w:val="single"/>
                <w:lang w:eastAsia="sk-SK"/>
              </w:rPr>
            </w:pPr>
            <w:r w:rsidRPr="00687B71">
              <w:rPr>
                <w:rFonts w:ascii="Times New Roman" w:eastAsia="Times New Roman" w:hAnsi="Times New Roman" w:cs="Times New Roman"/>
                <w:b/>
                <w:bCs/>
                <w:sz w:val="24"/>
                <w:szCs w:val="24"/>
                <w:lang w:eastAsia="sk-SK"/>
              </w:rPr>
              <w:t xml:space="preserve">      </w:t>
            </w:r>
            <w:r w:rsidRPr="00687B71">
              <w:rPr>
                <w:rFonts w:ascii="Times New Roman" w:eastAsia="Times New Roman" w:hAnsi="Times New Roman" w:cs="Times New Roman"/>
                <w:b/>
                <w:sz w:val="24"/>
                <w:szCs w:val="24"/>
                <w:u w:val="single"/>
                <w:lang w:eastAsia="sk-SK"/>
              </w:rPr>
              <w:t>Vyjadrenie predkladateľa:</w:t>
            </w:r>
          </w:p>
          <w:p w:rsidR="004951BA" w:rsidRPr="00687B71" w:rsidRDefault="004951BA" w:rsidP="004951BA">
            <w:pPr>
              <w:jc w:val="both"/>
              <w:rPr>
                <w:rFonts w:ascii="Times New Roman" w:eastAsia="Times New Roman" w:hAnsi="Times New Roman" w:cs="Times New Roman"/>
                <w:sz w:val="24"/>
                <w:szCs w:val="24"/>
                <w:lang w:eastAsia="sk-SK"/>
              </w:rPr>
            </w:pPr>
            <w:r w:rsidRPr="00687B71">
              <w:rPr>
                <w:rFonts w:ascii="Times New Roman" w:eastAsia="Times New Roman" w:hAnsi="Times New Roman" w:cs="Times New Roman"/>
                <w:sz w:val="24"/>
                <w:szCs w:val="24"/>
                <w:lang w:eastAsia="sk-SK"/>
              </w:rPr>
              <w:t xml:space="preserve">      Pripomienka bola akceptovaná a zapracovaná.</w:t>
            </w:r>
          </w:p>
          <w:p w:rsidR="00F52B37" w:rsidRPr="00687B71" w:rsidRDefault="00F52B37" w:rsidP="0023021C">
            <w:pPr>
              <w:jc w:val="both"/>
              <w:rPr>
                <w:rFonts w:ascii="Times New Roman" w:eastAsia="Times New Roman" w:hAnsi="Times New Roman" w:cs="Times New Roman"/>
                <w:b/>
                <w:bCs/>
                <w:sz w:val="24"/>
                <w:szCs w:val="24"/>
                <w:lang w:eastAsia="sk-SK"/>
              </w:rPr>
            </w:pPr>
          </w:p>
          <w:p w:rsidR="0023021C" w:rsidRPr="00687B71" w:rsidRDefault="0023021C" w:rsidP="0023021C">
            <w:pPr>
              <w:jc w:val="both"/>
              <w:rPr>
                <w:rFonts w:ascii="Times New Roman" w:eastAsia="Times New Roman" w:hAnsi="Times New Roman" w:cs="Times New Roman"/>
                <w:b/>
                <w:bCs/>
                <w:sz w:val="24"/>
                <w:szCs w:val="24"/>
                <w:lang w:eastAsia="sk-SK"/>
              </w:rPr>
            </w:pPr>
            <w:r w:rsidRPr="00687B71">
              <w:rPr>
                <w:rFonts w:ascii="Times New Roman" w:eastAsia="Times New Roman" w:hAnsi="Times New Roman" w:cs="Times New Roman"/>
                <w:b/>
                <w:bCs/>
                <w:sz w:val="24"/>
                <w:szCs w:val="24"/>
                <w:lang w:eastAsia="sk-SK"/>
              </w:rPr>
              <w:t xml:space="preserve">K vplyvom na podnikateľské prostredie </w:t>
            </w:r>
          </w:p>
          <w:p w:rsidR="0023021C" w:rsidRPr="00687B71" w:rsidRDefault="0023021C" w:rsidP="0023021C">
            <w:pPr>
              <w:jc w:val="both"/>
              <w:rPr>
                <w:rFonts w:ascii="Times New Roman" w:eastAsia="Times New Roman" w:hAnsi="Times New Roman" w:cs="Times New Roman"/>
                <w:bCs/>
                <w:sz w:val="24"/>
                <w:szCs w:val="24"/>
                <w:lang w:eastAsia="sk-SK"/>
              </w:rPr>
            </w:pPr>
            <w:r w:rsidRPr="00687B71">
              <w:rPr>
                <w:rFonts w:ascii="Times New Roman" w:eastAsia="Times New Roman" w:hAnsi="Times New Roman" w:cs="Times New Roman"/>
                <w:bCs/>
                <w:sz w:val="24"/>
                <w:szCs w:val="24"/>
                <w:lang w:eastAsia="sk-SK"/>
              </w:rPr>
              <w:t>Komisia odporúča predkladateľovi, aby do časti 3.1 analýzy vplyvov na podnikateľské prostredie doplnil spôsob výpočtu pri jednotlivých reguláciách (tak ako to má v pri druhej regulácii v časti 3.1).</w:t>
            </w:r>
          </w:p>
          <w:p w:rsidR="0023021C" w:rsidRPr="00687B71" w:rsidRDefault="0023021C" w:rsidP="0023021C">
            <w:pPr>
              <w:jc w:val="both"/>
              <w:rPr>
                <w:rFonts w:ascii="Times New Roman" w:eastAsia="Times New Roman" w:hAnsi="Times New Roman" w:cs="Times New Roman"/>
                <w:b/>
                <w:sz w:val="24"/>
                <w:szCs w:val="24"/>
                <w:u w:val="single"/>
                <w:lang w:eastAsia="sk-SK"/>
              </w:rPr>
            </w:pPr>
            <w:r w:rsidRPr="00687B71">
              <w:rPr>
                <w:rFonts w:ascii="Times New Roman" w:eastAsia="Times New Roman" w:hAnsi="Times New Roman" w:cs="Times New Roman"/>
                <w:sz w:val="24"/>
                <w:szCs w:val="24"/>
                <w:lang w:eastAsia="sk-SK"/>
              </w:rPr>
              <w:t xml:space="preserve">    </w:t>
            </w:r>
            <w:r w:rsidR="00E328E5" w:rsidRPr="00687B71">
              <w:rPr>
                <w:rFonts w:ascii="Times New Roman" w:eastAsia="Times New Roman" w:hAnsi="Times New Roman" w:cs="Times New Roman"/>
                <w:sz w:val="24"/>
                <w:szCs w:val="24"/>
                <w:lang w:eastAsia="sk-SK"/>
              </w:rPr>
              <w:t xml:space="preserve"> </w:t>
            </w:r>
            <w:r w:rsidRPr="00687B71">
              <w:rPr>
                <w:rFonts w:ascii="Times New Roman" w:eastAsia="Times New Roman" w:hAnsi="Times New Roman" w:cs="Times New Roman"/>
                <w:sz w:val="24"/>
                <w:szCs w:val="24"/>
                <w:lang w:eastAsia="sk-SK"/>
              </w:rPr>
              <w:t xml:space="preserve"> </w:t>
            </w:r>
            <w:r w:rsidRPr="00687B71">
              <w:rPr>
                <w:rFonts w:ascii="Times New Roman" w:eastAsia="Times New Roman" w:hAnsi="Times New Roman" w:cs="Times New Roman"/>
                <w:b/>
                <w:sz w:val="24"/>
                <w:szCs w:val="24"/>
                <w:u w:val="single"/>
                <w:lang w:eastAsia="sk-SK"/>
              </w:rPr>
              <w:t>Vyjadrenie predkladateľa:</w:t>
            </w:r>
          </w:p>
          <w:p w:rsidR="0023021C" w:rsidRPr="00687B71" w:rsidRDefault="0023021C" w:rsidP="0023021C">
            <w:pPr>
              <w:jc w:val="both"/>
              <w:rPr>
                <w:rFonts w:ascii="Times New Roman" w:eastAsia="Times New Roman" w:hAnsi="Times New Roman" w:cs="Times New Roman"/>
                <w:sz w:val="24"/>
                <w:szCs w:val="24"/>
                <w:lang w:eastAsia="sk-SK"/>
              </w:rPr>
            </w:pPr>
            <w:r w:rsidRPr="00687B71">
              <w:rPr>
                <w:rFonts w:ascii="Times New Roman" w:eastAsia="Times New Roman" w:hAnsi="Times New Roman" w:cs="Times New Roman"/>
                <w:sz w:val="24"/>
                <w:szCs w:val="24"/>
                <w:lang w:eastAsia="sk-SK"/>
              </w:rPr>
              <w:t xml:space="preserve">     </w:t>
            </w:r>
            <w:r w:rsidR="00E328E5" w:rsidRPr="00687B71">
              <w:rPr>
                <w:rFonts w:ascii="Times New Roman" w:eastAsia="Times New Roman" w:hAnsi="Times New Roman" w:cs="Times New Roman"/>
                <w:sz w:val="24"/>
                <w:szCs w:val="24"/>
                <w:lang w:eastAsia="sk-SK"/>
              </w:rPr>
              <w:t xml:space="preserve"> </w:t>
            </w:r>
            <w:r w:rsidRPr="00687B71">
              <w:rPr>
                <w:rFonts w:ascii="Times New Roman" w:eastAsia="Times New Roman" w:hAnsi="Times New Roman" w:cs="Times New Roman"/>
                <w:sz w:val="24"/>
                <w:szCs w:val="24"/>
                <w:lang w:eastAsia="sk-SK"/>
              </w:rPr>
              <w:t>Pripomienka bola akceptovaná a zapracovaná.</w:t>
            </w:r>
          </w:p>
          <w:p w:rsidR="00CD2DD7" w:rsidRPr="00687B71" w:rsidRDefault="00CD2DD7" w:rsidP="00CD2DD7">
            <w:pPr>
              <w:jc w:val="both"/>
              <w:rPr>
                <w:rFonts w:ascii="Times New Roman" w:eastAsia="Times New Roman" w:hAnsi="Times New Roman" w:cs="Times New Roman"/>
                <w:sz w:val="24"/>
                <w:szCs w:val="24"/>
                <w:lang w:eastAsia="sk-SK"/>
              </w:rPr>
            </w:pPr>
          </w:p>
          <w:p w:rsidR="00E328E5" w:rsidRPr="00687B71" w:rsidRDefault="00E328E5" w:rsidP="00E328E5">
            <w:pPr>
              <w:jc w:val="both"/>
              <w:rPr>
                <w:rFonts w:ascii="Times New Roman" w:eastAsia="Times New Roman" w:hAnsi="Times New Roman" w:cs="Times New Roman"/>
                <w:bCs/>
                <w:sz w:val="24"/>
                <w:szCs w:val="24"/>
                <w:lang w:eastAsia="sk-SK"/>
              </w:rPr>
            </w:pPr>
            <w:r w:rsidRPr="00687B71">
              <w:rPr>
                <w:rFonts w:ascii="Times New Roman" w:eastAsia="Times New Roman" w:hAnsi="Times New Roman" w:cs="Times New Roman"/>
                <w:bCs/>
                <w:sz w:val="24"/>
                <w:szCs w:val="24"/>
                <w:lang w:eastAsia="sk-SK"/>
              </w:rPr>
              <w:t>Komisia odporúča predkladateľovi, aby do časti 3.4 analýzy vplyvov na podnikateľské prostredie pri jednotlivých reguláciách doplnil aj lokalizáciu, kde ju je možné nájsť v zákone (konkrétny paragraf a odsek).</w:t>
            </w:r>
          </w:p>
          <w:p w:rsidR="00E328E5" w:rsidRPr="00687B71" w:rsidRDefault="00E328E5" w:rsidP="00E328E5">
            <w:pPr>
              <w:jc w:val="both"/>
              <w:rPr>
                <w:rFonts w:ascii="Times New Roman" w:eastAsia="Times New Roman" w:hAnsi="Times New Roman" w:cs="Times New Roman"/>
                <w:b/>
                <w:sz w:val="24"/>
                <w:szCs w:val="24"/>
                <w:u w:val="single"/>
                <w:lang w:eastAsia="sk-SK"/>
              </w:rPr>
            </w:pPr>
            <w:r w:rsidRPr="00687B71">
              <w:rPr>
                <w:rFonts w:ascii="Times New Roman" w:eastAsia="Times New Roman" w:hAnsi="Times New Roman" w:cs="Times New Roman"/>
                <w:sz w:val="24"/>
                <w:szCs w:val="24"/>
                <w:lang w:eastAsia="sk-SK"/>
              </w:rPr>
              <w:t xml:space="preserve">      </w:t>
            </w:r>
            <w:r w:rsidRPr="00687B71">
              <w:rPr>
                <w:rFonts w:ascii="Times New Roman" w:eastAsia="Times New Roman" w:hAnsi="Times New Roman" w:cs="Times New Roman"/>
                <w:b/>
                <w:sz w:val="24"/>
                <w:szCs w:val="24"/>
                <w:u w:val="single"/>
                <w:lang w:eastAsia="sk-SK"/>
              </w:rPr>
              <w:t>Vyjadrenie predkladateľa:</w:t>
            </w:r>
          </w:p>
          <w:p w:rsidR="00CD2DD7" w:rsidRPr="00687B71" w:rsidRDefault="00E328E5" w:rsidP="00E328E5">
            <w:pPr>
              <w:jc w:val="both"/>
              <w:rPr>
                <w:rFonts w:ascii="Times New Roman" w:eastAsia="Times New Roman" w:hAnsi="Times New Roman" w:cs="Times New Roman"/>
                <w:sz w:val="24"/>
                <w:szCs w:val="24"/>
                <w:lang w:eastAsia="sk-SK"/>
              </w:rPr>
            </w:pPr>
            <w:r w:rsidRPr="00687B71">
              <w:rPr>
                <w:rFonts w:ascii="Times New Roman" w:eastAsia="Times New Roman" w:hAnsi="Times New Roman" w:cs="Times New Roman"/>
                <w:sz w:val="24"/>
                <w:szCs w:val="24"/>
                <w:lang w:eastAsia="sk-SK"/>
              </w:rPr>
              <w:t xml:space="preserve">      Pripomienka bola akceptovaná a</w:t>
            </w:r>
            <w:r w:rsidR="00DB3276" w:rsidRPr="00687B71">
              <w:rPr>
                <w:rFonts w:ascii="Times New Roman" w:eastAsia="Times New Roman" w:hAnsi="Times New Roman" w:cs="Times New Roman"/>
                <w:sz w:val="24"/>
                <w:szCs w:val="24"/>
                <w:lang w:eastAsia="sk-SK"/>
              </w:rPr>
              <w:t> </w:t>
            </w:r>
            <w:r w:rsidRPr="00687B71">
              <w:rPr>
                <w:rFonts w:ascii="Times New Roman" w:eastAsia="Times New Roman" w:hAnsi="Times New Roman" w:cs="Times New Roman"/>
                <w:sz w:val="24"/>
                <w:szCs w:val="24"/>
                <w:lang w:eastAsia="sk-SK"/>
              </w:rPr>
              <w:t>zapracovaná</w:t>
            </w:r>
            <w:r w:rsidR="00DB3276" w:rsidRPr="00687B71">
              <w:rPr>
                <w:rFonts w:ascii="Times New Roman" w:eastAsia="Times New Roman" w:hAnsi="Times New Roman" w:cs="Times New Roman"/>
                <w:sz w:val="24"/>
                <w:szCs w:val="24"/>
                <w:lang w:eastAsia="sk-SK"/>
              </w:rPr>
              <w:t>.</w:t>
            </w:r>
          </w:p>
          <w:p w:rsidR="00CD2DD7" w:rsidRPr="00687B71" w:rsidRDefault="00CD2DD7" w:rsidP="00CD2DD7">
            <w:pPr>
              <w:jc w:val="both"/>
              <w:rPr>
                <w:rFonts w:ascii="Times New Roman" w:eastAsia="Times New Roman" w:hAnsi="Times New Roman" w:cs="Times New Roman"/>
                <w:sz w:val="24"/>
                <w:szCs w:val="24"/>
                <w:lang w:eastAsia="sk-SK"/>
              </w:rPr>
            </w:pPr>
          </w:p>
          <w:p w:rsidR="00DB3276" w:rsidRPr="00687B71" w:rsidRDefault="00DB3276" w:rsidP="00DB3276">
            <w:pPr>
              <w:jc w:val="both"/>
              <w:rPr>
                <w:rFonts w:ascii="Times New Roman" w:eastAsia="Times New Roman" w:hAnsi="Times New Roman" w:cs="Times New Roman"/>
                <w:bCs/>
                <w:sz w:val="24"/>
                <w:szCs w:val="24"/>
                <w:lang w:eastAsia="sk-SK"/>
              </w:rPr>
            </w:pPr>
            <w:r w:rsidRPr="00687B71">
              <w:rPr>
                <w:rFonts w:ascii="Times New Roman" w:eastAsia="Times New Roman" w:hAnsi="Times New Roman" w:cs="Times New Roman"/>
                <w:bCs/>
                <w:sz w:val="24"/>
                <w:szCs w:val="24"/>
                <w:lang w:eastAsia="sk-SK"/>
              </w:rPr>
              <w:t xml:space="preserve">Komisia odporúča doplniť informácie uvádzané v časti 3.1.3. a 3.1.4. spojené s reguláciou č. 2, ktorá predstavuje výpočet identifikovaného goldplatingu. </w:t>
            </w:r>
          </w:p>
          <w:p w:rsidR="00DB3276" w:rsidRPr="00687B71" w:rsidRDefault="00DB3276" w:rsidP="00DB3276">
            <w:pPr>
              <w:jc w:val="both"/>
              <w:rPr>
                <w:rFonts w:ascii="Times New Roman" w:eastAsia="Times New Roman" w:hAnsi="Times New Roman" w:cs="Times New Roman"/>
                <w:b/>
                <w:sz w:val="24"/>
                <w:szCs w:val="24"/>
                <w:u w:val="single"/>
                <w:lang w:eastAsia="sk-SK"/>
              </w:rPr>
            </w:pPr>
            <w:r w:rsidRPr="00687B71">
              <w:rPr>
                <w:rFonts w:ascii="Times New Roman" w:eastAsia="Times New Roman" w:hAnsi="Times New Roman" w:cs="Times New Roman"/>
                <w:sz w:val="24"/>
                <w:szCs w:val="24"/>
                <w:lang w:eastAsia="sk-SK"/>
              </w:rPr>
              <w:t xml:space="preserve">      </w:t>
            </w:r>
            <w:r w:rsidRPr="00687B71">
              <w:rPr>
                <w:rFonts w:ascii="Times New Roman" w:eastAsia="Times New Roman" w:hAnsi="Times New Roman" w:cs="Times New Roman"/>
                <w:b/>
                <w:sz w:val="24"/>
                <w:szCs w:val="24"/>
                <w:u w:val="single"/>
                <w:lang w:eastAsia="sk-SK"/>
              </w:rPr>
              <w:t>Vyjadrenie predkladateľa:</w:t>
            </w:r>
          </w:p>
          <w:p w:rsidR="00DB3276" w:rsidRPr="00687B71" w:rsidRDefault="00DB3276" w:rsidP="00DB3276">
            <w:pPr>
              <w:jc w:val="both"/>
              <w:rPr>
                <w:rFonts w:ascii="Times New Roman" w:eastAsia="Times New Roman" w:hAnsi="Times New Roman" w:cs="Times New Roman"/>
                <w:sz w:val="24"/>
                <w:szCs w:val="24"/>
                <w:lang w:eastAsia="sk-SK"/>
              </w:rPr>
            </w:pPr>
            <w:r w:rsidRPr="00687B71">
              <w:rPr>
                <w:rFonts w:ascii="Times New Roman" w:eastAsia="Times New Roman" w:hAnsi="Times New Roman" w:cs="Times New Roman"/>
                <w:sz w:val="24"/>
                <w:szCs w:val="24"/>
                <w:lang w:eastAsia="sk-SK"/>
              </w:rPr>
              <w:t xml:space="preserve">      Pripomienka bola akceptovaná a zapracovaná.</w:t>
            </w:r>
          </w:p>
          <w:p w:rsidR="00D75245" w:rsidRPr="00687B71" w:rsidRDefault="00D75245" w:rsidP="00DB3276">
            <w:pPr>
              <w:jc w:val="both"/>
              <w:rPr>
                <w:rFonts w:ascii="Times New Roman" w:eastAsia="Times New Roman" w:hAnsi="Times New Roman" w:cs="Times New Roman"/>
                <w:b/>
                <w:bCs/>
                <w:sz w:val="24"/>
                <w:szCs w:val="24"/>
                <w:lang w:eastAsia="sk-SK"/>
              </w:rPr>
            </w:pPr>
          </w:p>
          <w:p w:rsidR="00DB3276" w:rsidRPr="00687B71" w:rsidRDefault="00DB3276" w:rsidP="00DB3276">
            <w:pPr>
              <w:jc w:val="both"/>
              <w:rPr>
                <w:rFonts w:ascii="Times New Roman" w:eastAsia="Times New Roman" w:hAnsi="Times New Roman" w:cs="Times New Roman"/>
                <w:b/>
                <w:bCs/>
                <w:sz w:val="24"/>
                <w:szCs w:val="24"/>
                <w:lang w:eastAsia="sk-SK"/>
              </w:rPr>
            </w:pPr>
            <w:r w:rsidRPr="00687B71">
              <w:rPr>
                <w:rFonts w:ascii="Times New Roman" w:eastAsia="Times New Roman" w:hAnsi="Times New Roman" w:cs="Times New Roman"/>
                <w:b/>
                <w:bCs/>
                <w:sz w:val="24"/>
                <w:szCs w:val="24"/>
                <w:lang w:eastAsia="sk-SK"/>
              </w:rPr>
              <w:lastRenderedPageBreak/>
              <w:t>K tabuľke zhody</w:t>
            </w:r>
          </w:p>
          <w:p w:rsidR="00DB3276" w:rsidRPr="00687B71" w:rsidRDefault="00DB3276" w:rsidP="00DB3276">
            <w:pPr>
              <w:jc w:val="both"/>
              <w:rPr>
                <w:rFonts w:ascii="Times New Roman" w:eastAsia="Times New Roman" w:hAnsi="Times New Roman" w:cs="Times New Roman"/>
                <w:bCs/>
                <w:sz w:val="24"/>
                <w:szCs w:val="24"/>
                <w:lang w:eastAsia="sk-SK"/>
              </w:rPr>
            </w:pPr>
            <w:r w:rsidRPr="00687B71">
              <w:rPr>
                <w:rFonts w:ascii="Times New Roman" w:eastAsia="Times New Roman" w:hAnsi="Times New Roman" w:cs="Times New Roman"/>
                <w:bCs/>
                <w:sz w:val="24"/>
                <w:szCs w:val="24"/>
                <w:lang w:eastAsia="sk-SK"/>
              </w:rPr>
              <w:t>Vzhľadom na identifikovaný goldplating Komisia odporúča náležite vyplniť stĺpec (10) tabuľky zhody a pod tabuľkou zhody v poznámke „Vyjadrenie k opodstatnenosti goldplatingu a jeho odôvodnenie“ doplniť odôvodnenie takejto úpravy.</w:t>
            </w:r>
          </w:p>
          <w:p w:rsidR="00DB3276" w:rsidRPr="00687B71" w:rsidRDefault="00DB3276" w:rsidP="00DB3276">
            <w:pPr>
              <w:jc w:val="both"/>
              <w:rPr>
                <w:rFonts w:ascii="Times New Roman" w:eastAsia="Times New Roman" w:hAnsi="Times New Roman" w:cs="Times New Roman"/>
                <w:b/>
                <w:sz w:val="24"/>
                <w:szCs w:val="24"/>
                <w:u w:val="single"/>
                <w:lang w:eastAsia="sk-SK"/>
              </w:rPr>
            </w:pPr>
            <w:r w:rsidRPr="00687B71">
              <w:rPr>
                <w:rFonts w:ascii="Times New Roman" w:eastAsia="Times New Roman" w:hAnsi="Times New Roman" w:cs="Times New Roman"/>
                <w:sz w:val="24"/>
                <w:szCs w:val="24"/>
                <w:lang w:eastAsia="sk-SK"/>
              </w:rPr>
              <w:t xml:space="preserve">      </w:t>
            </w:r>
            <w:r w:rsidRPr="00687B71">
              <w:rPr>
                <w:rFonts w:ascii="Times New Roman" w:eastAsia="Times New Roman" w:hAnsi="Times New Roman" w:cs="Times New Roman"/>
                <w:b/>
                <w:sz w:val="24"/>
                <w:szCs w:val="24"/>
                <w:u w:val="single"/>
                <w:lang w:eastAsia="sk-SK"/>
              </w:rPr>
              <w:t>Vyjadrenie predkladateľa:</w:t>
            </w:r>
          </w:p>
          <w:p w:rsidR="00DB3276" w:rsidRPr="00687B71" w:rsidRDefault="00DB3276" w:rsidP="00DB3276">
            <w:pPr>
              <w:jc w:val="both"/>
              <w:rPr>
                <w:rFonts w:ascii="Times New Roman" w:eastAsia="Times New Roman" w:hAnsi="Times New Roman" w:cs="Times New Roman"/>
                <w:sz w:val="24"/>
                <w:szCs w:val="24"/>
                <w:lang w:eastAsia="sk-SK"/>
              </w:rPr>
            </w:pPr>
            <w:r w:rsidRPr="00687B71">
              <w:rPr>
                <w:rFonts w:ascii="Times New Roman" w:eastAsia="Times New Roman" w:hAnsi="Times New Roman" w:cs="Times New Roman"/>
                <w:sz w:val="24"/>
                <w:szCs w:val="24"/>
                <w:lang w:eastAsia="sk-SK"/>
              </w:rPr>
              <w:t xml:space="preserve">      Pripomienka bola akceptovaná a zapracovaná.</w:t>
            </w:r>
          </w:p>
          <w:p w:rsidR="00DB3276" w:rsidRPr="00687B71" w:rsidRDefault="00DB3276" w:rsidP="00DB3276">
            <w:pPr>
              <w:jc w:val="both"/>
              <w:rPr>
                <w:rFonts w:ascii="Times New Roman" w:eastAsia="Times New Roman" w:hAnsi="Times New Roman" w:cs="Times New Roman"/>
                <w:sz w:val="24"/>
                <w:szCs w:val="24"/>
                <w:lang w:eastAsia="sk-SK"/>
              </w:rPr>
            </w:pPr>
          </w:p>
          <w:p w:rsidR="00CD2DD7" w:rsidRPr="00687B71" w:rsidRDefault="00115C44" w:rsidP="00CD2DD7">
            <w:pPr>
              <w:jc w:val="both"/>
              <w:rPr>
                <w:rFonts w:ascii="Times New Roman" w:eastAsia="Times New Roman" w:hAnsi="Times New Roman" w:cs="Times New Roman"/>
                <w:sz w:val="24"/>
                <w:szCs w:val="24"/>
                <w:lang w:eastAsia="sk-SK"/>
              </w:rPr>
            </w:pPr>
            <w:r w:rsidRPr="00687B71">
              <w:rPr>
                <w:rFonts w:ascii="Times New Roman" w:eastAsia="Times New Roman" w:hAnsi="Times New Roman" w:cs="Times New Roman"/>
                <w:bCs/>
                <w:sz w:val="24"/>
                <w:szCs w:val="24"/>
                <w:lang w:eastAsia="sk-SK"/>
              </w:rPr>
              <w:t>V</w:t>
            </w:r>
            <w:r w:rsidR="00A82D78" w:rsidRPr="00687B71">
              <w:rPr>
                <w:rFonts w:ascii="Times New Roman" w:eastAsia="Times New Roman" w:hAnsi="Times New Roman" w:cs="Times New Roman"/>
                <w:bCs/>
                <w:sz w:val="24"/>
                <w:szCs w:val="24"/>
                <w:lang w:eastAsia="sk-SK"/>
              </w:rPr>
              <w:t xml:space="preserve"> predkladanej tabuľke zhody so smernicou (EÚ) 2015/849 v platnom znení </w:t>
            </w:r>
            <w:r w:rsidRPr="00687B71">
              <w:rPr>
                <w:rFonts w:ascii="Times New Roman" w:eastAsia="Times New Roman" w:hAnsi="Times New Roman" w:cs="Times New Roman"/>
                <w:bCs/>
                <w:sz w:val="24"/>
                <w:szCs w:val="24"/>
                <w:lang w:eastAsia="sk-SK"/>
              </w:rPr>
              <w:t xml:space="preserve">je potrebné </w:t>
            </w:r>
            <w:r w:rsidR="00A82D78" w:rsidRPr="00687B71">
              <w:rPr>
                <w:rFonts w:ascii="Times New Roman" w:eastAsia="Times New Roman" w:hAnsi="Times New Roman" w:cs="Times New Roman"/>
                <w:bCs/>
                <w:sz w:val="24"/>
                <w:szCs w:val="24"/>
                <w:lang w:eastAsia="sk-SK"/>
              </w:rPr>
              <w:t>pri preukazovaní transpozície čl. 3 bodu 10 v deviatom stĺpci uviesť slová „GP – A, a) rozšírenie na iné subjekty“, a v desiatom stĺpci uviesť slová „oblasť s vplyvom na podnikateľské prostredie“.</w:t>
            </w:r>
            <w:r w:rsidR="00F52B37" w:rsidRPr="00687B71">
              <w:rPr>
                <w:rFonts w:ascii="Times New Roman" w:eastAsia="Times New Roman" w:hAnsi="Times New Roman" w:cs="Times New Roman"/>
                <w:bCs/>
                <w:sz w:val="24"/>
                <w:szCs w:val="24"/>
                <w:lang w:eastAsia="sk-SK"/>
              </w:rPr>
              <w:t xml:space="preserve"> Následne je potrebné na konci tabuľky zhody doplniť vyjadrenie k opodstatnenosti goldplatingu a jeho odôvodnenie.</w:t>
            </w:r>
          </w:p>
          <w:p w:rsidR="00115C44" w:rsidRPr="00687B71" w:rsidRDefault="00115C44" w:rsidP="00115C44">
            <w:pPr>
              <w:jc w:val="both"/>
              <w:rPr>
                <w:rFonts w:ascii="Times New Roman" w:eastAsia="Times New Roman" w:hAnsi="Times New Roman" w:cs="Times New Roman"/>
                <w:b/>
                <w:sz w:val="24"/>
                <w:szCs w:val="24"/>
                <w:u w:val="single"/>
                <w:lang w:eastAsia="sk-SK"/>
              </w:rPr>
            </w:pPr>
            <w:r w:rsidRPr="00687B71">
              <w:rPr>
                <w:rFonts w:ascii="Times New Roman" w:eastAsia="Times New Roman" w:hAnsi="Times New Roman" w:cs="Times New Roman"/>
                <w:sz w:val="24"/>
                <w:szCs w:val="24"/>
                <w:lang w:eastAsia="sk-SK"/>
              </w:rPr>
              <w:t xml:space="preserve">      </w:t>
            </w:r>
            <w:r w:rsidRPr="00687B71">
              <w:rPr>
                <w:rFonts w:ascii="Times New Roman" w:eastAsia="Times New Roman" w:hAnsi="Times New Roman" w:cs="Times New Roman"/>
                <w:b/>
                <w:sz w:val="24"/>
                <w:szCs w:val="24"/>
                <w:u w:val="single"/>
                <w:lang w:eastAsia="sk-SK"/>
              </w:rPr>
              <w:t>Vyjadrenie predkladateľa:</w:t>
            </w:r>
          </w:p>
          <w:p w:rsidR="00115C44" w:rsidRPr="00687B71" w:rsidRDefault="00115C44" w:rsidP="00115C44">
            <w:pPr>
              <w:jc w:val="both"/>
              <w:rPr>
                <w:rFonts w:ascii="Times New Roman" w:eastAsia="Times New Roman" w:hAnsi="Times New Roman" w:cs="Times New Roman"/>
                <w:sz w:val="24"/>
                <w:szCs w:val="24"/>
                <w:lang w:eastAsia="sk-SK"/>
              </w:rPr>
            </w:pPr>
            <w:r w:rsidRPr="00687B71">
              <w:rPr>
                <w:rFonts w:ascii="Times New Roman" w:eastAsia="Times New Roman" w:hAnsi="Times New Roman" w:cs="Times New Roman"/>
                <w:sz w:val="24"/>
                <w:szCs w:val="24"/>
                <w:lang w:eastAsia="sk-SK"/>
              </w:rPr>
              <w:t xml:space="preserve">      Pripomienka bola akceptovaná a zapracovaná.</w:t>
            </w:r>
          </w:p>
          <w:p w:rsidR="00CD2DD7" w:rsidRPr="00CD2DD7" w:rsidRDefault="00CD2DD7" w:rsidP="00CD2DD7">
            <w:pPr>
              <w:jc w:val="both"/>
              <w:rPr>
                <w:rFonts w:ascii="Times New Roman" w:eastAsia="Times New Roman" w:hAnsi="Times New Roman" w:cs="Times New Roman"/>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2057B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2057B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2057B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2057B9"/>
    <w:sectPr w:rsidR="00274130" w:rsidRPr="00612E08" w:rsidSect="001E35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B9" w:rsidRDefault="002057B9" w:rsidP="001B23B7">
      <w:pPr>
        <w:spacing w:after="0" w:line="240" w:lineRule="auto"/>
      </w:pPr>
      <w:r>
        <w:separator/>
      </w:r>
    </w:p>
  </w:endnote>
  <w:endnote w:type="continuationSeparator" w:id="0">
    <w:p w:rsidR="002057B9" w:rsidRDefault="002057B9"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E37426">
          <w:rPr>
            <w:rFonts w:ascii="Times New Roman" w:hAnsi="Times New Roman" w:cs="Times New Roman"/>
            <w:noProof/>
            <w:sz w:val="24"/>
            <w:szCs w:val="24"/>
          </w:rPr>
          <w:t>5</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B9" w:rsidRDefault="002057B9" w:rsidP="001B23B7">
      <w:pPr>
        <w:spacing w:after="0" w:line="240" w:lineRule="auto"/>
      </w:pPr>
      <w:r>
        <w:separator/>
      </w:r>
    </w:p>
  </w:footnote>
  <w:footnote w:type="continuationSeparator" w:id="0">
    <w:p w:rsidR="002057B9" w:rsidRDefault="002057B9" w:rsidP="001B2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F79A2"/>
    <w:multiLevelType w:val="hybridMultilevel"/>
    <w:tmpl w:val="29528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B7"/>
    <w:rsid w:val="000013C3"/>
    <w:rsid w:val="0000418D"/>
    <w:rsid w:val="00016572"/>
    <w:rsid w:val="00043706"/>
    <w:rsid w:val="00065A14"/>
    <w:rsid w:val="00087008"/>
    <w:rsid w:val="00097069"/>
    <w:rsid w:val="000A5073"/>
    <w:rsid w:val="000B5AB9"/>
    <w:rsid w:val="000D348F"/>
    <w:rsid w:val="000F2BE9"/>
    <w:rsid w:val="00113AE4"/>
    <w:rsid w:val="00115C44"/>
    <w:rsid w:val="00145177"/>
    <w:rsid w:val="00156064"/>
    <w:rsid w:val="00187182"/>
    <w:rsid w:val="00187334"/>
    <w:rsid w:val="001A7CCD"/>
    <w:rsid w:val="001B23B7"/>
    <w:rsid w:val="001C4C30"/>
    <w:rsid w:val="001C54F0"/>
    <w:rsid w:val="001D7C11"/>
    <w:rsid w:val="001E3562"/>
    <w:rsid w:val="00203EE3"/>
    <w:rsid w:val="002057B9"/>
    <w:rsid w:val="002243BB"/>
    <w:rsid w:val="0023021C"/>
    <w:rsid w:val="0023360B"/>
    <w:rsid w:val="00243652"/>
    <w:rsid w:val="00273BEE"/>
    <w:rsid w:val="002A045A"/>
    <w:rsid w:val="002A4C4F"/>
    <w:rsid w:val="002F6ADB"/>
    <w:rsid w:val="003145AE"/>
    <w:rsid w:val="003341CA"/>
    <w:rsid w:val="00347F55"/>
    <w:rsid w:val="00350067"/>
    <w:rsid w:val="003553ED"/>
    <w:rsid w:val="003600D7"/>
    <w:rsid w:val="00386E84"/>
    <w:rsid w:val="003A057B"/>
    <w:rsid w:val="003A381E"/>
    <w:rsid w:val="00411898"/>
    <w:rsid w:val="00415F6C"/>
    <w:rsid w:val="00424029"/>
    <w:rsid w:val="00457283"/>
    <w:rsid w:val="00490850"/>
    <w:rsid w:val="0049476D"/>
    <w:rsid w:val="004951BA"/>
    <w:rsid w:val="004951D9"/>
    <w:rsid w:val="004A32E7"/>
    <w:rsid w:val="004A4383"/>
    <w:rsid w:val="004C6831"/>
    <w:rsid w:val="004D49C2"/>
    <w:rsid w:val="004E3B06"/>
    <w:rsid w:val="0051015E"/>
    <w:rsid w:val="005817C7"/>
    <w:rsid w:val="00591EC6"/>
    <w:rsid w:val="00591ED3"/>
    <w:rsid w:val="005B40FE"/>
    <w:rsid w:val="00612E08"/>
    <w:rsid w:val="00621853"/>
    <w:rsid w:val="00666F4D"/>
    <w:rsid w:val="00687B71"/>
    <w:rsid w:val="006946DC"/>
    <w:rsid w:val="006F678E"/>
    <w:rsid w:val="006F6B62"/>
    <w:rsid w:val="00720322"/>
    <w:rsid w:val="0075197E"/>
    <w:rsid w:val="00751FD5"/>
    <w:rsid w:val="007552E8"/>
    <w:rsid w:val="00761208"/>
    <w:rsid w:val="007756BE"/>
    <w:rsid w:val="00782747"/>
    <w:rsid w:val="0079704A"/>
    <w:rsid w:val="007B40C1"/>
    <w:rsid w:val="007C5312"/>
    <w:rsid w:val="007D26EB"/>
    <w:rsid w:val="007D6F2C"/>
    <w:rsid w:val="007F587A"/>
    <w:rsid w:val="0080042A"/>
    <w:rsid w:val="00810C26"/>
    <w:rsid w:val="008269AD"/>
    <w:rsid w:val="0086209A"/>
    <w:rsid w:val="00865E81"/>
    <w:rsid w:val="008801B5"/>
    <w:rsid w:val="00881E07"/>
    <w:rsid w:val="008861B8"/>
    <w:rsid w:val="008973CA"/>
    <w:rsid w:val="008B222D"/>
    <w:rsid w:val="008C79B7"/>
    <w:rsid w:val="008D7696"/>
    <w:rsid w:val="008E4E93"/>
    <w:rsid w:val="009010D9"/>
    <w:rsid w:val="00930B47"/>
    <w:rsid w:val="009431E3"/>
    <w:rsid w:val="009475F5"/>
    <w:rsid w:val="00960F8B"/>
    <w:rsid w:val="009717F5"/>
    <w:rsid w:val="0098472E"/>
    <w:rsid w:val="009C0842"/>
    <w:rsid w:val="009C424C"/>
    <w:rsid w:val="009E09F7"/>
    <w:rsid w:val="009E348B"/>
    <w:rsid w:val="009E5F62"/>
    <w:rsid w:val="009F2B79"/>
    <w:rsid w:val="009F4832"/>
    <w:rsid w:val="00A23000"/>
    <w:rsid w:val="00A340BB"/>
    <w:rsid w:val="00A60413"/>
    <w:rsid w:val="00A7788F"/>
    <w:rsid w:val="00A82D78"/>
    <w:rsid w:val="00A94F36"/>
    <w:rsid w:val="00AC30D6"/>
    <w:rsid w:val="00B00B6E"/>
    <w:rsid w:val="00B14875"/>
    <w:rsid w:val="00B374F1"/>
    <w:rsid w:val="00B547F5"/>
    <w:rsid w:val="00B84F87"/>
    <w:rsid w:val="00BA2BF4"/>
    <w:rsid w:val="00BC6D52"/>
    <w:rsid w:val="00BE7100"/>
    <w:rsid w:val="00C16281"/>
    <w:rsid w:val="00C41C38"/>
    <w:rsid w:val="00C86714"/>
    <w:rsid w:val="00C94E4E"/>
    <w:rsid w:val="00CB0787"/>
    <w:rsid w:val="00CB08AE"/>
    <w:rsid w:val="00CD2330"/>
    <w:rsid w:val="00CD2DD7"/>
    <w:rsid w:val="00CD6E04"/>
    <w:rsid w:val="00CE6AAE"/>
    <w:rsid w:val="00CF1A25"/>
    <w:rsid w:val="00CF210F"/>
    <w:rsid w:val="00D20062"/>
    <w:rsid w:val="00D2313B"/>
    <w:rsid w:val="00D34710"/>
    <w:rsid w:val="00D50F1E"/>
    <w:rsid w:val="00D75245"/>
    <w:rsid w:val="00DB06FD"/>
    <w:rsid w:val="00DB3276"/>
    <w:rsid w:val="00DC66DE"/>
    <w:rsid w:val="00DD470F"/>
    <w:rsid w:val="00DF357C"/>
    <w:rsid w:val="00E20ACB"/>
    <w:rsid w:val="00E25879"/>
    <w:rsid w:val="00E328E5"/>
    <w:rsid w:val="00E37426"/>
    <w:rsid w:val="00E440B4"/>
    <w:rsid w:val="00E45433"/>
    <w:rsid w:val="00ED007A"/>
    <w:rsid w:val="00ED165A"/>
    <w:rsid w:val="00ED1AC0"/>
    <w:rsid w:val="00F00A08"/>
    <w:rsid w:val="00F36EDC"/>
    <w:rsid w:val="00F50A84"/>
    <w:rsid w:val="00F51FCA"/>
    <w:rsid w:val="00F52B37"/>
    <w:rsid w:val="00F61125"/>
    <w:rsid w:val="00F64F3A"/>
    <w:rsid w:val="00F87681"/>
    <w:rsid w:val="00FA02DB"/>
    <w:rsid w:val="00FC0E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951B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817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951B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817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maria.sucanova@minv.sk"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97409F0-0662-4C89-8103-FA170EA7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7</Pages>
  <Words>2848</Words>
  <Characters>16236</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Juraj Beník</cp:lastModifiedBy>
  <cp:revision>60</cp:revision>
  <cp:lastPrinted>2024-06-13T15:27:00Z</cp:lastPrinted>
  <dcterms:created xsi:type="dcterms:W3CDTF">2024-03-12T08:49:00Z</dcterms:created>
  <dcterms:modified xsi:type="dcterms:W3CDTF">2024-07-10T08:35:00Z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