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6915A5A5" w:rsidR="00054C41" w:rsidRPr="001F1B43" w:rsidRDefault="00054C41" w:rsidP="007709A3">
      <w:pPr>
        <w:ind w:left="1985" w:hanging="1985"/>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EE34CE">
        <w:rPr>
          <w:rFonts w:ascii="Times New Roman" w:eastAsia="Calibri" w:hAnsi="Times New Roman" w:cs="Times New Roman"/>
          <w:b/>
          <w:sz w:val="24"/>
          <w:szCs w:val="24"/>
        </w:rPr>
        <w:t xml:space="preserve"> Návrh</w:t>
      </w:r>
      <w:r w:rsidR="00A54EA9">
        <w:rPr>
          <w:rFonts w:ascii="Times New Roman" w:eastAsia="Calibri" w:hAnsi="Times New Roman" w:cs="Times New Roman"/>
          <w:b/>
          <w:sz w:val="24"/>
          <w:szCs w:val="24"/>
        </w:rPr>
        <w:t xml:space="preserve"> </w:t>
      </w:r>
      <w:r w:rsidR="00EE34CE" w:rsidRPr="00EE34CE">
        <w:rPr>
          <w:rFonts w:ascii="Times New Roman" w:eastAsia="Calibri" w:hAnsi="Times New Roman" w:cs="Times New Roman"/>
          <w:b/>
          <w:sz w:val="24"/>
          <w:szCs w:val="24"/>
        </w:rPr>
        <w:t>zákona</w:t>
      </w:r>
      <w:r w:rsidR="005C1116">
        <w:rPr>
          <w:rFonts w:ascii="Times New Roman" w:eastAsia="Calibri" w:hAnsi="Times New Roman" w:cs="Times New Roman"/>
          <w:b/>
          <w:sz w:val="24"/>
          <w:szCs w:val="24"/>
        </w:rPr>
        <w:t>,</w:t>
      </w:r>
      <w:r w:rsidR="00EE34CE" w:rsidRPr="00EE34CE">
        <w:rPr>
          <w:rFonts w:ascii="Times New Roman" w:eastAsia="Calibri" w:hAnsi="Times New Roman" w:cs="Times New Roman"/>
          <w:b/>
          <w:sz w:val="24"/>
          <w:szCs w:val="24"/>
        </w:rPr>
        <w:t xml:space="preserve"> </w:t>
      </w:r>
      <w:r w:rsidR="005C1116" w:rsidRPr="005C1116">
        <w:rPr>
          <w:rFonts w:ascii="Times New Roman" w:eastAsia="Calibri" w:hAnsi="Times New Roman" w:cs="Times New Roman"/>
          <w:b/>
          <w:sz w:val="24"/>
          <w:szCs w:val="24"/>
        </w:rPr>
        <w:t>ktorým sa mení a d</w:t>
      </w:r>
      <w:r w:rsidR="005C1116">
        <w:rPr>
          <w:rFonts w:ascii="Times New Roman" w:eastAsia="Calibri" w:hAnsi="Times New Roman" w:cs="Times New Roman"/>
          <w:b/>
          <w:sz w:val="24"/>
          <w:szCs w:val="24"/>
        </w:rPr>
        <w:t>opĺňa zákon č. 297/2008 Z. z. o </w:t>
      </w:r>
      <w:bookmarkStart w:id="0" w:name="_GoBack"/>
      <w:bookmarkEnd w:id="0"/>
      <w:r w:rsidR="005C1116" w:rsidRPr="005C1116">
        <w:rPr>
          <w:rFonts w:ascii="Times New Roman" w:eastAsia="Calibri" w:hAnsi="Times New Roman" w:cs="Times New Roman"/>
          <w:b/>
          <w:sz w:val="24"/>
          <w:szCs w:val="24"/>
        </w:rPr>
        <w:t>ochrane pred legalizáciou príjmov z trestnej činnosti a o ochrane pred financovaním terorizmu a o zmene a doplnení niektorých zákonov v znení neskorších predpisov a ktorým sa menia a dopĺňajú niektoré zákony</w:t>
      </w:r>
    </w:p>
    <w:p w14:paraId="2711DC2C" w14:textId="396D1D71"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54EA9">
        <w:rPr>
          <w:rFonts w:ascii="Times New Roman" w:eastAsia="Calibri" w:hAnsi="Times New Roman" w:cs="Times New Roman"/>
          <w:b/>
          <w:sz w:val="24"/>
          <w:szCs w:val="24"/>
        </w:rPr>
        <w:t xml:space="preserve"> </w:t>
      </w:r>
      <w:r w:rsidR="00EE34CE">
        <w:rPr>
          <w:rFonts w:ascii="Times New Roman" w:eastAsia="Calibri" w:hAnsi="Times New Roman" w:cs="Times New Roman"/>
          <w:b/>
          <w:sz w:val="24"/>
          <w:szCs w:val="24"/>
        </w:rPr>
        <w:t>Ministerstvo vnútra</w:t>
      </w:r>
      <w:r w:rsidR="007709A3">
        <w:rPr>
          <w:rFonts w:ascii="Times New Roman" w:eastAsia="Calibri" w:hAnsi="Times New Roman" w:cs="Times New Roman"/>
          <w:b/>
          <w:sz w:val="24"/>
          <w:szCs w:val="24"/>
        </w:rPr>
        <w:t xml:space="preserve">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7709A3" w:rsidRDefault="00054C41" w:rsidP="00054C41">
      <w:pPr>
        <w:jc w:val="both"/>
        <w:rPr>
          <w:rFonts w:ascii="Times New Roman" w:eastAsia="Calibri" w:hAnsi="Times New Roman" w:cs="Times New Roman"/>
          <w:i/>
          <w:sz w:val="20"/>
          <w:szCs w:val="20"/>
        </w:rPr>
      </w:pPr>
      <w:r w:rsidRPr="007709A3">
        <w:rPr>
          <w:rFonts w:ascii="Times New Roman" w:eastAsia="Calibri" w:hAnsi="Times New Roman" w:cs="Times New Roman"/>
          <w:i/>
          <w:sz w:val="20"/>
          <w:szCs w:val="20"/>
        </w:rPr>
        <w:t>Tabuľka č. 1: Zmeny nákladov (ročne) v prepočte na podnikateľské prostredie (PP), vyhodnotenie mechanizmu znižovania byrokracie a náklado</w:t>
      </w:r>
      <w:r w:rsidR="000A6B7F" w:rsidRPr="007709A3">
        <w:rPr>
          <w:rFonts w:ascii="Times New Roman" w:eastAsia="Calibri" w:hAnsi="Times New Roman" w:cs="Times New Roman"/>
          <w:i/>
          <w:sz w:val="20"/>
          <w:szCs w:val="20"/>
        </w:rPr>
        <w:t>v</w:t>
      </w:r>
      <w:r w:rsidR="00C929AE" w:rsidRPr="007709A3">
        <w:rPr>
          <w:rFonts w:ascii="Times New Roman" w:eastAsia="Calibri" w:hAnsi="Times New Roman" w:cs="Times New Roman"/>
          <w:i/>
          <w:sz w:val="20"/>
          <w:szCs w:val="20"/>
        </w:rPr>
        <w:t xml:space="preserve">, náklady </w:t>
      </w:r>
      <w:proofErr w:type="spellStart"/>
      <w:r w:rsidR="00C929AE" w:rsidRPr="007709A3">
        <w:rPr>
          <w:rFonts w:ascii="Times New Roman" w:eastAsia="Calibri" w:hAnsi="Times New Roman" w:cs="Times New Roman"/>
          <w:i/>
          <w:sz w:val="20"/>
          <w:szCs w:val="20"/>
        </w:rPr>
        <w:t>goldplatingu</w:t>
      </w:r>
      <w:proofErr w:type="spellEnd"/>
      <w:r w:rsidR="00C929AE" w:rsidRPr="007709A3">
        <w:rPr>
          <w:rStyle w:val="Odkaznapoznmkupodiarou"/>
          <w:rFonts w:ascii="Times New Roman" w:eastAsia="Calibri" w:hAnsi="Times New Roman" w:cs="Times New Roman"/>
          <w:i/>
          <w:sz w:val="20"/>
          <w:szCs w:val="20"/>
        </w:rPr>
        <w:footnoteReference w:id="1"/>
      </w:r>
      <w:r w:rsidR="000A6B7F" w:rsidRPr="007709A3">
        <w:rPr>
          <w:rFonts w:ascii="Times New Roman" w:eastAsia="Calibri" w:hAnsi="Times New Roman" w:cs="Times New Roman"/>
          <w:i/>
          <w:sz w:val="20"/>
          <w:szCs w:val="20"/>
        </w:rPr>
        <w:t xml:space="preserve"> </w:t>
      </w:r>
      <w:r w:rsidR="00C929AE" w:rsidRPr="007709A3">
        <w:rPr>
          <w:rFonts w:ascii="Times New Roman" w:eastAsia="Calibri" w:hAnsi="Times New Roman" w:cs="Times New Roman"/>
          <w:i/>
          <w:sz w:val="20"/>
          <w:szCs w:val="20"/>
        </w:rPr>
        <w:t>na podnikateľské prostredie</w:t>
      </w:r>
      <w:r w:rsidRPr="007709A3">
        <w:rPr>
          <w:rFonts w:ascii="Times New Roman" w:eastAsia="Calibri" w:hAnsi="Times New Roman" w:cs="Times New Roman"/>
          <w:i/>
          <w:sz w:val="20"/>
          <w:szCs w:val="20"/>
        </w:rPr>
        <w:t xml:space="preserve">. </w:t>
      </w:r>
    </w:p>
    <w:p w14:paraId="1A77DC61" w14:textId="217E1013" w:rsidR="00054C41" w:rsidRDefault="00054C41" w:rsidP="00054C41">
      <w:pPr>
        <w:jc w:val="both"/>
        <w:rPr>
          <w:rFonts w:ascii="Times New Roman" w:eastAsia="Calibri" w:hAnsi="Times New Roman" w:cs="Times New Roman"/>
          <w:i/>
          <w:sz w:val="20"/>
          <w:szCs w:val="20"/>
        </w:rPr>
      </w:pPr>
      <w:r w:rsidRPr="007709A3">
        <w:rPr>
          <w:rFonts w:ascii="Times New Roman" w:eastAsia="Calibri" w:hAnsi="Times New Roman" w:cs="Times New Roman"/>
          <w:i/>
          <w:sz w:val="20"/>
          <w:szCs w:val="20"/>
        </w:rPr>
        <w:t xml:space="preserve">Nahraďte rovnakou tabuľkou po vyplnení Kalkulačky nákladov podnikateľského prostredia, ktorá je povinnou prílohou tejto analýzy a nájdete ju na </w:t>
      </w:r>
      <w:hyperlink r:id="rId10" w:history="1">
        <w:r w:rsidRPr="007709A3">
          <w:rPr>
            <w:rFonts w:ascii="Times New Roman" w:eastAsia="Calibri" w:hAnsi="Times New Roman" w:cs="Times New Roman"/>
            <w:i/>
            <w:color w:val="0563C1"/>
            <w:sz w:val="20"/>
            <w:szCs w:val="20"/>
            <w:u w:val="single"/>
          </w:rPr>
          <w:t>webovom sídle MH SR</w:t>
        </w:r>
      </w:hyperlink>
      <w:r w:rsidRPr="007709A3">
        <w:rPr>
          <w:rFonts w:ascii="Times New Roman" w:eastAsia="Calibri" w:hAnsi="Times New Roman" w:cs="Times New Roman"/>
          <w:i/>
          <w:sz w:val="20"/>
          <w:szCs w:val="20"/>
        </w:rPr>
        <w:t>, (ďalej len „Kalkulačka nákladov“):</w:t>
      </w:r>
    </w:p>
    <w:tbl>
      <w:tblPr>
        <w:tblW w:w="8300" w:type="dxa"/>
        <w:tblInd w:w="60" w:type="dxa"/>
        <w:tblCellMar>
          <w:left w:w="70" w:type="dxa"/>
          <w:right w:w="70" w:type="dxa"/>
        </w:tblCellMar>
        <w:tblLook w:val="04A0" w:firstRow="1" w:lastRow="0" w:firstColumn="1" w:lastColumn="0" w:noHBand="0" w:noVBand="1"/>
      </w:tblPr>
      <w:tblGrid>
        <w:gridCol w:w="4540"/>
        <w:gridCol w:w="1880"/>
        <w:gridCol w:w="1880"/>
      </w:tblGrid>
      <w:tr w:rsidR="00EE5F39" w:rsidRPr="00EE5F39" w14:paraId="795FFE4E" w14:textId="77777777" w:rsidTr="00EE5F39">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B8946BD" w14:textId="77777777" w:rsidR="00EE5F39" w:rsidRPr="00EE5F39" w:rsidRDefault="00EE5F39" w:rsidP="00EE5F39">
            <w:pPr>
              <w:spacing w:after="0" w:line="240" w:lineRule="auto"/>
              <w:jc w:val="center"/>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C6B9302"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5F37F1A"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Zníženie nákladov v € na PP</w:t>
            </w:r>
          </w:p>
        </w:tc>
      </w:tr>
      <w:tr w:rsidR="00EE5F39" w:rsidRPr="00EE5F39" w14:paraId="4044EF2C" w14:textId="77777777" w:rsidTr="00EE5F39">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2ABEBD2"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proofErr w:type="spellStart"/>
            <w:r w:rsidRPr="00EE5F39">
              <w:rPr>
                <w:rFonts w:ascii="Times New Roman" w:eastAsia="Times New Roman" w:hAnsi="Times New Roman" w:cs="Times New Roman"/>
                <w:b/>
                <w:bCs/>
                <w:i/>
                <w:iCs/>
                <w:color w:val="000000"/>
                <w:sz w:val="20"/>
                <w:szCs w:val="20"/>
                <w:lang w:eastAsia="sk-SK"/>
              </w:rPr>
              <w:t>A.Dane</w:t>
            </w:r>
            <w:proofErr w:type="spellEnd"/>
            <w:r w:rsidRPr="00EE5F39">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EE5F39">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4882D04C"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D7DDAEF"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0CC4A7B5" w14:textId="77777777" w:rsidTr="00EE5F3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F98377D"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7D957B57"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6AA9BD00"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48E86AA4" w14:textId="77777777" w:rsidTr="00EE5F3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F628425"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317484E4"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E1AE5A2"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64B55D26" w14:textId="77777777" w:rsidTr="00EE5F39">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74FF9E9"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72331B6F"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DB06F94"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5A143EC9" w14:textId="77777777" w:rsidTr="00EE5F39">
        <w:trPr>
          <w:trHeight w:val="300"/>
        </w:trPr>
        <w:tc>
          <w:tcPr>
            <w:tcW w:w="4540" w:type="dxa"/>
            <w:tcBorders>
              <w:top w:val="nil"/>
              <w:left w:val="single" w:sz="8" w:space="0" w:color="auto"/>
              <w:bottom w:val="nil"/>
              <w:right w:val="single" w:sz="4" w:space="0" w:color="auto"/>
            </w:tcBorders>
            <w:shd w:val="clear" w:color="auto" w:fill="auto"/>
            <w:vAlign w:val="center"/>
            <w:hideMark/>
          </w:tcPr>
          <w:p w14:paraId="1CC37996"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121C2FDC" w14:textId="19AA1A07" w:rsidR="00EE5F39" w:rsidRPr="00EE5F39" w:rsidRDefault="00C57063" w:rsidP="00EE5F39">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28 630</w:t>
            </w:r>
          </w:p>
        </w:tc>
        <w:tc>
          <w:tcPr>
            <w:tcW w:w="1880" w:type="dxa"/>
            <w:tcBorders>
              <w:top w:val="nil"/>
              <w:left w:val="nil"/>
              <w:bottom w:val="nil"/>
              <w:right w:val="single" w:sz="8" w:space="0" w:color="auto"/>
            </w:tcBorders>
            <w:shd w:val="clear" w:color="000000" w:fill="92D050"/>
            <w:vAlign w:val="center"/>
            <w:hideMark/>
          </w:tcPr>
          <w:p w14:paraId="5E64BF85"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49C50D08" w14:textId="77777777" w:rsidTr="00EE5F39">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B98D52"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A6F56A2" w14:textId="7EAD5080" w:rsidR="00EE5F39" w:rsidRPr="00EE5F39" w:rsidRDefault="00C57063" w:rsidP="00EE5F39">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28 630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C5B6882"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611ED79C" w14:textId="77777777" w:rsidTr="00EE5F39">
        <w:trPr>
          <w:trHeight w:val="300"/>
        </w:trPr>
        <w:tc>
          <w:tcPr>
            <w:tcW w:w="4540" w:type="dxa"/>
            <w:tcBorders>
              <w:top w:val="nil"/>
              <w:left w:val="nil"/>
              <w:bottom w:val="nil"/>
              <w:right w:val="nil"/>
            </w:tcBorders>
            <w:shd w:val="clear" w:color="auto" w:fill="auto"/>
            <w:vAlign w:val="center"/>
            <w:hideMark/>
          </w:tcPr>
          <w:p w14:paraId="2791C286"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1DE0679F"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44F4098A"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p>
        </w:tc>
      </w:tr>
      <w:tr w:rsidR="00EE5F39" w:rsidRPr="00EE5F39" w14:paraId="6FCC2B40" w14:textId="77777777" w:rsidTr="00EE5F39">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426BC3"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A2D0DDA"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3D794155"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Zníženie nákladov v € na PP</w:t>
            </w:r>
          </w:p>
        </w:tc>
      </w:tr>
      <w:tr w:rsidR="00EE5F39" w:rsidRPr="00EE5F39" w14:paraId="2320E91D" w14:textId="77777777" w:rsidTr="00EE5F39">
        <w:trPr>
          <w:trHeight w:val="990"/>
        </w:trPr>
        <w:tc>
          <w:tcPr>
            <w:tcW w:w="4540" w:type="dxa"/>
            <w:tcBorders>
              <w:top w:val="nil"/>
              <w:left w:val="single" w:sz="8" w:space="0" w:color="auto"/>
              <w:bottom w:val="nil"/>
              <w:right w:val="single" w:sz="4" w:space="0" w:color="auto"/>
            </w:tcBorders>
            <w:shd w:val="clear" w:color="auto" w:fill="auto"/>
            <w:vAlign w:val="center"/>
            <w:hideMark/>
          </w:tcPr>
          <w:p w14:paraId="06A41A22"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F. Úplná harmonizácia práva EÚ</w:t>
            </w:r>
            <w:r w:rsidRPr="00EE5F39">
              <w:rPr>
                <w:rFonts w:ascii="Times New Roman" w:eastAsia="Times New Roman" w:hAnsi="Times New Roman" w:cs="Times New Roman"/>
                <w:b/>
                <w:bCs/>
                <w:i/>
                <w:iCs/>
                <w:color w:val="000000"/>
                <w:sz w:val="20"/>
                <w:szCs w:val="20"/>
                <w:lang w:eastAsia="sk-SK"/>
              </w:rPr>
              <w:br/>
            </w:r>
            <w:r w:rsidRPr="00EE5F39">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EE5F39">
              <w:rPr>
                <w:rFonts w:ascii="Times New Roman" w:eastAsia="Times New Roman" w:hAnsi="Times New Roman" w:cs="Times New Roman"/>
                <w:i/>
                <w:iCs/>
                <w:color w:val="000000"/>
                <w:sz w:val="16"/>
                <w:szCs w:val="16"/>
                <w:lang w:eastAsia="sk-SK"/>
              </w:rPr>
              <w:t>externality</w:t>
            </w:r>
            <w:proofErr w:type="spellEnd"/>
            <w:r w:rsidRPr="00EE5F39">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608B42C5" w14:textId="37DB37E6" w:rsidR="00EE5F39" w:rsidRPr="00EE5F39" w:rsidRDefault="00C57063" w:rsidP="00EE5F39">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26 293</w:t>
            </w:r>
          </w:p>
        </w:tc>
        <w:tc>
          <w:tcPr>
            <w:tcW w:w="1880" w:type="dxa"/>
            <w:tcBorders>
              <w:top w:val="nil"/>
              <w:left w:val="nil"/>
              <w:bottom w:val="nil"/>
              <w:right w:val="single" w:sz="8" w:space="0" w:color="auto"/>
            </w:tcBorders>
            <w:shd w:val="clear" w:color="000000" w:fill="92D050"/>
            <w:vAlign w:val="center"/>
            <w:hideMark/>
          </w:tcPr>
          <w:p w14:paraId="598D7727"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0625DC26" w14:textId="77777777" w:rsidTr="00EE5F39">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9BBE20" w14:textId="77777777" w:rsidR="00EE5F39" w:rsidRPr="00EE5F39" w:rsidRDefault="00EE5F39" w:rsidP="00EE5F39">
            <w:pPr>
              <w:spacing w:after="0" w:line="240" w:lineRule="auto"/>
              <w:rPr>
                <w:rFonts w:ascii="Times New Roman" w:eastAsia="Times New Roman" w:hAnsi="Times New Roman" w:cs="Times New Roman"/>
                <w:b/>
                <w:bCs/>
                <w:i/>
                <w:iCs/>
                <w:color w:val="000000"/>
                <w:sz w:val="20"/>
                <w:szCs w:val="20"/>
                <w:lang w:eastAsia="sk-SK"/>
              </w:rPr>
            </w:pPr>
            <w:r w:rsidRPr="00EE5F39">
              <w:rPr>
                <w:rFonts w:ascii="Times New Roman" w:eastAsia="Times New Roman" w:hAnsi="Times New Roman" w:cs="Times New Roman"/>
                <w:b/>
                <w:bCs/>
                <w:i/>
                <w:iCs/>
                <w:color w:val="000000"/>
                <w:sz w:val="20"/>
                <w:szCs w:val="20"/>
                <w:lang w:eastAsia="sk-SK"/>
              </w:rPr>
              <w:t xml:space="preserve">G. </w:t>
            </w:r>
            <w:proofErr w:type="spellStart"/>
            <w:r w:rsidRPr="00EE5F39">
              <w:rPr>
                <w:rFonts w:ascii="Times New Roman" w:eastAsia="Times New Roman" w:hAnsi="Times New Roman" w:cs="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1D99B21"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2 337</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4212219"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r w:rsidR="00EE5F39" w:rsidRPr="00EE5F39" w14:paraId="7E8FB510" w14:textId="77777777" w:rsidTr="00EE5F39">
        <w:trPr>
          <w:trHeight w:val="270"/>
        </w:trPr>
        <w:tc>
          <w:tcPr>
            <w:tcW w:w="4540" w:type="dxa"/>
            <w:tcBorders>
              <w:top w:val="nil"/>
              <w:left w:val="nil"/>
              <w:bottom w:val="nil"/>
              <w:right w:val="nil"/>
            </w:tcBorders>
            <w:shd w:val="clear" w:color="auto" w:fill="auto"/>
            <w:noWrap/>
            <w:vAlign w:val="bottom"/>
            <w:hideMark/>
          </w:tcPr>
          <w:p w14:paraId="757B40B8" w14:textId="77777777" w:rsidR="00EE5F39" w:rsidRPr="00EE5F39" w:rsidRDefault="00EE5F39" w:rsidP="00EE5F39">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146EC569" w14:textId="77777777" w:rsidR="00EE5F39" w:rsidRPr="00EE5F39" w:rsidRDefault="00EE5F39" w:rsidP="00EE5F39">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78981CA4" w14:textId="77777777" w:rsidR="00EE5F39" w:rsidRPr="00EE5F39" w:rsidRDefault="00EE5F39" w:rsidP="00EE5F39">
            <w:pPr>
              <w:spacing w:after="0" w:line="240" w:lineRule="auto"/>
              <w:rPr>
                <w:rFonts w:ascii="Times New Roman" w:eastAsia="Times New Roman" w:hAnsi="Times New Roman" w:cs="Times New Roman"/>
                <w:i/>
                <w:iCs/>
                <w:color w:val="000000"/>
                <w:sz w:val="20"/>
                <w:szCs w:val="20"/>
                <w:lang w:eastAsia="sk-SK"/>
              </w:rPr>
            </w:pPr>
          </w:p>
        </w:tc>
      </w:tr>
      <w:tr w:rsidR="00EE5F39" w:rsidRPr="00EE5F39" w14:paraId="2147751B" w14:textId="77777777" w:rsidTr="00EE5F39">
        <w:trPr>
          <w:trHeight w:val="270"/>
        </w:trPr>
        <w:tc>
          <w:tcPr>
            <w:tcW w:w="4540" w:type="dxa"/>
            <w:tcBorders>
              <w:top w:val="nil"/>
              <w:left w:val="nil"/>
              <w:bottom w:val="nil"/>
              <w:right w:val="nil"/>
            </w:tcBorders>
            <w:shd w:val="clear" w:color="auto" w:fill="auto"/>
            <w:noWrap/>
            <w:vAlign w:val="bottom"/>
            <w:hideMark/>
          </w:tcPr>
          <w:p w14:paraId="6A221FD2" w14:textId="77777777" w:rsidR="00EE5F39" w:rsidRPr="00EE5F39" w:rsidRDefault="00EE5F39" w:rsidP="00EE5F39">
            <w:pPr>
              <w:spacing w:after="0" w:line="240" w:lineRule="auto"/>
              <w:rPr>
                <w:rFonts w:ascii="Times New Roman" w:eastAsia="Times New Roman" w:hAnsi="Times New Roman" w:cs="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14:paraId="3A2BA29E" w14:textId="77777777" w:rsidR="00EE5F39" w:rsidRPr="00EE5F39" w:rsidRDefault="00EE5F39" w:rsidP="00EE5F39">
            <w:pPr>
              <w:spacing w:after="0" w:line="240" w:lineRule="auto"/>
              <w:rPr>
                <w:rFonts w:ascii="Times New Roman" w:eastAsia="Times New Roman" w:hAnsi="Times New Roman" w:cs="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14:paraId="370A4D62" w14:textId="77777777" w:rsidR="00EE5F39" w:rsidRPr="00EE5F39" w:rsidRDefault="00EE5F39" w:rsidP="00EE5F39">
            <w:pPr>
              <w:spacing w:after="0" w:line="240" w:lineRule="auto"/>
              <w:rPr>
                <w:rFonts w:ascii="Times New Roman" w:eastAsia="Times New Roman" w:hAnsi="Times New Roman" w:cs="Times New Roman"/>
                <w:i/>
                <w:iCs/>
                <w:color w:val="000000"/>
                <w:sz w:val="20"/>
                <w:szCs w:val="20"/>
                <w:lang w:eastAsia="sk-SK"/>
              </w:rPr>
            </w:pPr>
          </w:p>
        </w:tc>
      </w:tr>
      <w:tr w:rsidR="00EE5F39" w:rsidRPr="00EE5F39" w14:paraId="13FB8446" w14:textId="77777777" w:rsidTr="00EE5F39">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6451BE" w14:textId="77777777" w:rsidR="00EE5F39" w:rsidRPr="00EE5F39" w:rsidRDefault="00EE5F39" w:rsidP="00EE5F39">
            <w:pPr>
              <w:spacing w:after="0" w:line="240" w:lineRule="auto"/>
              <w:rPr>
                <w:rFonts w:ascii="Times New Roman" w:eastAsia="Times New Roman" w:hAnsi="Times New Roman" w:cs="Times New Roman"/>
                <w:i/>
                <w:iCs/>
                <w:color w:val="000000"/>
                <w:sz w:val="20"/>
                <w:szCs w:val="20"/>
                <w:lang w:eastAsia="sk-SK"/>
              </w:rPr>
            </w:pPr>
            <w:r w:rsidRPr="00EE5F39">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1CA0C410"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5E8E4BB7"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OUT</w:t>
            </w:r>
          </w:p>
        </w:tc>
      </w:tr>
      <w:tr w:rsidR="00EE5F39" w:rsidRPr="00EE5F39" w14:paraId="49C45D7A" w14:textId="77777777" w:rsidTr="00EE5F39">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330E2E46" w14:textId="77777777" w:rsidR="00EE5F39" w:rsidRPr="00EE5F39" w:rsidRDefault="00EE5F39" w:rsidP="00EE5F39">
            <w:pPr>
              <w:spacing w:after="0" w:line="240" w:lineRule="auto"/>
              <w:rPr>
                <w:rFonts w:ascii="Times New Roman" w:eastAsia="Times New Roman" w:hAnsi="Times New Roman" w:cs="Times New Roman"/>
                <w:i/>
                <w:iCs/>
                <w:color w:val="000000"/>
                <w:sz w:val="20"/>
                <w:szCs w:val="20"/>
                <w:lang w:eastAsia="sk-SK"/>
              </w:rPr>
            </w:pPr>
            <w:r w:rsidRPr="00EE5F39">
              <w:rPr>
                <w:rFonts w:ascii="Times New Roman" w:eastAsia="Times New Roman" w:hAnsi="Times New Roman" w:cs="Times New Roman"/>
                <w:i/>
                <w:iCs/>
                <w:color w:val="000000"/>
                <w:sz w:val="20"/>
                <w:szCs w:val="20"/>
                <w:lang w:eastAsia="sk-SK"/>
              </w:rPr>
              <w:t>H</w:t>
            </w:r>
            <w:r w:rsidRPr="00EE5F39">
              <w:rPr>
                <w:rFonts w:ascii="Times New Roman" w:eastAsia="Times New Roman" w:hAnsi="Times New Roman" w:cs="Times New Roman"/>
                <w:b/>
                <w:bCs/>
                <w:i/>
                <w:iCs/>
                <w:color w:val="000000"/>
                <w:sz w:val="20"/>
                <w:szCs w:val="20"/>
                <w:lang w:eastAsia="sk-SK"/>
              </w:rPr>
              <w:t>.</w:t>
            </w:r>
            <w:r w:rsidRPr="00EE5F39">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4211F9CA"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2 337</w:t>
            </w:r>
          </w:p>
        </w:tc>
        <w:tc>
          <w:tcPr>
            <w:tcW w:w="1880" w:type="dxa"/>
            <w:tcBorders>
              <w:top w:val="nil"/>
              <w:left w:val="nil"/>
              <w:bottom w:val="single" w:sz="8" w:space="0" w:color="auto"/>
              <w:right w:val="single" w:sz="8" w:space="0" w:color="auto"/>
            </w:tcBorders>
            <w:shd w:val="clear" w:color="000000" w:fill="92D050"/>
            <w:vAlign w:val="center"/>
            <w:hideMark/>
          </w:tcPr>
          <w:p w14:paraId="46A8835D" w14:textId="77777777" w:rsidR="00EE5F39" w:rsidRPr="00EE5F39" w:rsidRDefault="00EE5F39" w:rsidP="00EE5F39">
            <w:pPr>
              <w:spacing w:after="0" w:line="240" w:lineRule="auto"/>
              <w:jc w:val="center"/>
              <w:rPr>
                <w:rFonts w:ascii="Times New Roman" w:eastAsia="Times New Roman" w:hAnsi="Times New Roman" w:cs="Times New Roman"/>
                <w:b/>
                <w:bCs/>
                <w:color w:val="000000"/>
                <w:sz w:val="20"/>
                <w:szCs w:val="20"/>
                <w:lang w:eastAsia="sk-SK"/>
              </w:rPr>
            </w:pPr>
            <w:r w:rsidRPr="00EE5F39">
              <w:rPr>
                <w:rFonts w:ascii="Times New Roman" w:eastAsia="Times New Roman" w:hAnsi="Times New Roman" w:cs="Times New Roman"/>
                <w:b/>
                <w:bCs/>
                <w:color w:val="000000"/>
                <w:sz w:val="20"/>
                <w:szCs w:val="20"/>
                <w:lang w:eastAsia="sk-SK"/>
              </w:rPr>
              <w:t>0</w:t>
            </w:r>
          </w:p>
        </w:tc>
      </w:tr>
    </w:tbl>
    <w:p w14:paraId="16F7C32A" w14:textId="52D61A07" w:rsidR="007709A3" w:rsidRDefault="007709A3" w:rsidP="00054C41">
      <w:pPr>
        <w:jc w:val="both"/>
        <w:rPr>
          <w:rFonts w:ascii="Times New Roman" w:eastAsia="Calibri" w:hAnsi="Times New Roman" w:cs="Times New Roman"/>
          <w:i/>
          <w:sz w:val="20"/>
          <w:szCs w:val="20"/>
        </w:rPr>
      </w:pPr>
    </w:p>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5D247DA4"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5BF4EE18" w14:textId="294610CA" w:rsidR="006F61EB" w:rsidRDefault="006F61EB" w:rsidP="00054C41">
      <w:pPr>
        <w:jc w:val="both"/>
        <w:rPr>
          <w:rFonts w:ascii="Times New Roman" w:eastAsia="Calibri" w:hAnsi="Times New Roman" w:cs="Times New Roman"/>
          <w:i/>
          <w:sz w:val="24"/>
          <w:szCs w:val="24"/>
        </w:rPr>
      </w:pPr>
    </w:p>
    <w:tbl>
      <w:tblPr>
        <w:tblW w:w="14588" w:type="dxa"/>
        <w:tblInd w:w="65" w:type="dxa"/>
        <w:tblLayout w:type="fixed"/>
        <w:tblCellMar>
          <w:left w:w="70" w:type="dxa"/>
          <w:right w:w="70" w:type="dxa"/>
        </w:tblCellMar>
        <w:tblLook w:val="04A0" w:firstRow="1" w:lastRow="0" w:firstColumn="1" w:lastColumn="0" w:noHBand="0" w:noVBand="1"/>
      </w:tblPr>
      <w:tblGrid>
        <w:gridCol w:w="431"/>
        <w:gridCol w:w="2409"/>
        <w:gridCol w:w="851"/>
        <w:gridCol w:w="1134"/>
        <w:gridCol w:w="1276"/>
        <w:gridCol w:w="992"/>
        <w:gridCol w:w="1400"/>
        <w:gridCol w:w="726"/>
        <w:gridCol w:w="709"/>
        <w:gridCol w:w="850"/>
        <w:gridCol w:w="1418"/>
        <w:gridCol w:w="992"/>
        <w:gridCol w:w="1400"/>
      </w:tblGrid>
      <w:tr w:rsidR="00150966" w:rsidRPr="00150966" w14:paraId="0E670BB8" w14:textId="77777777" w:rsidTr="00150966">
        <w:trPr>
          <w:trHeight w:val="263"/>
        </w:trPr>
        <w:tc>
          <w:tcPr>
            <w:tcW w:w="4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E1DE8E6"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50966">
              <w:rPr>
                <w:rFonts w:ascii="Times New Roman" w:eastAsia="Times New Roman" w:hAnsi="Times New Roman" w:cs="Times New Roman"/>
                <w:b/>
                <w:bCs/>
                <w:color w:val="000000"/>
                <w:sz w:val="20"/>
                <w:szCs w:val="20"/>
                <w:lang w:eastAsia="sk-SK"/>
              </w:rPr>
              <w:t>P.č</w:t>
            </w:r>
            <w:proofErr w:type="spellEnd"/>
            <w:r w:rsidRPr="00150966">
              <w:rPr>
                <w:rFonts w:ascii="Times New Roman" w:eastAsia="Times New Roman" w:hAnsi="Times New Roman" w:cs="Times New Roman"/>
                <w:b/>
                <w:bCs/>
                <w:color w:val="000000"/>
                <w:sz w:val="20"/>
                <w:szCs w:val="20"/>
                <w:lang w:eastAsia="sk-SK"/>
              </w:rPr>
              <w:t>.</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C7C79C6"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 xml:space="preserve">Zrozumiteľný a stručný opis regulácie </w:t>
            </w:r>
            <w:r w:rsidRPr="00150966">
              <w:rPr>
                <w:rFonts w:ascii="Times New Roman" w:eastAsia="Times New Roman" w:hAnsi="Times New Roman" w:cs="Times New Roman"/>
                <w:b/>
                <w:bCs/>
                <w:color w:val="000000"/>
                <w:sz w:val="20"/>
                <w:szCs w:val="20"/>
                <w:lang w:eastAsia="sk-SK"/>
              </w:rPr>
              <w:br/>
              <w:t xml:space="preserve">(dôvod zvýšenia/zníženia nákladov na PP a dôvod ponechania nákladov na PP, ktoré </w:t>
            </w:r>
            <w:proofErr w:type="spellStart"/>
            <w:r w:rsidRPr="00150966">
              <w:rPr>
                <w:rFonts w:ascii="Times New Roman" w:eastAsia="Times New Roman" w:hAnsi="Times New Roman" w:cs="Times New Roman"/>
                <w:b/>
                <w:bCs/>
                <w:color w:val="000000"/>
                <w:sz w:val="20"/>
                <w:szCs w:val="20"/>
                <w:lang w:eastAsia="sk-SK"/>
              </w:rPr>
              <w:t>su</w:t>
            </w:r>
            <w:proofErr w:type="spellEnd"/>
            <w:r w:rsidRPr="00150966">
              <w:rPr>
                <w:rFonts w:ascii="Times New Roman" w:eastAsia="Times New Roman" w:hAnsi="Times New Roman" w:cs="Times New Roman"/>
                <w:b/>
                <w:bCs/>
                <w:color w:val="000000"/>
                <w:sz w:val="20"/>
                <w:szCs w:val="20"/>
                <w:lang w:eastAsia="sk-SK"/>
              </w:rPr>
              <w:t xml:space="preserve"> </w:t>
            </w:r>
            <w:proofErr w:type="spellStart"/>
            <w:r w:rsidRPr="00150966">
              <w:rPr>
                <w:rFonts w:ascii="Times New Roman" w:eastAsia="Times New Roman" w:hAnsi="Times New Roman" w:cs="Times New Roman"/>
                <w:b/>
                <w:bCs/>
                <w:color w:val="000000"/>
                <w:sz w:val="20"/>
                <w:szCs w:val="20"/>
                <w:lang w:eastAsia="sk-SK"/>
              </w:rPr>
              <w:t>goldplatingom</w:t>
            </w:r>
            <w:proofErr w:type="spellEnd"/>
            <w:r w:rsidRPr="00150966">
              <w:rPr>
                <w:rFonts w:ascii="Times New Roman" w:eastAsia="Times New Roman" w:hAnsi="Times New Roman" w:cs="Times New Roman"/>
                <w:b/>
                <w:bCs/>
                <w:color w:val="000000"/>
                <w:sz w:val="20"/>
                <w:szCs w:val="20"/>
                <w:lang w:eastAsia="sk-SK"/>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E587FF0"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Číslo normy</w:t>
            </w:r>
            <w:r w:rsidRPr="00150966">
              <w:rPr>
                <w:rFonts w:ascii="Times New Roman" w:eastAsia="Times New Roman" w:hAnsi="Times New Roman" w:cs="Times New Roman"/>
                <w:b/>
                <w:bCs/>
                <w:color w:val="000000"/>
                <w:sz w:val="20"/>
                <w:szCs w:val="20"/>
                <w:lang w:eastAsia="sk-SK"/>
              </w:rPr>
              <w:br/>
            </w:r>
            <w:r w:rsidRPr="00150966">
              <w:rPr>
                <w:rFonts w:ascii="Times New Roman" w:eastAsia="Times New Roman" w:hAnsi="Times New Roman" w:cs="Times New Roman"/>
                <w:color w:val="000000"/>
                <w:sz w:val="20"/>
                <w:szCs w:val="20"/>
                <w:lang w:eastAsia="sk-SK"/>
              </w:rPr>
              <w:t>(zákona, vyhlášky a pod.)</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4310052"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Lokalizácia</w:t>
            </w:r>
            <w:r w:rsidRPr="00150966">
              <w:rPr>
                <w:rFonts w:ascii="Times New Roman" w:eastAsia="Times New Roman" w:hAnsi="Times New Roman" w:cs="Times New Roman"/>
                <w:b/>
                <w:bCs/>
                <w:color w:val="000000"/>
                <w:sz w:val="20"/>
                <w:szCs w:val="20"/>
                <w:lang w:eastAsia="sk-SK"/>
              </w:rPr>
              <w:br/>
              <w:t>(§, ods., čl.,...)</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E5ED01"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 xml:space="preserve">Pôvod regulácie: </w:t>
            </w:r>
            <w:r w:rsidRPr="00150966">
              <w:rPr>
                <w:rFonts w:ascii="Times New Roman" w:eastAsia="Times New Roman" w:hAnsi="Times New Roman" w:cs="Times New Roman"/>
                <w:b/>
                <w:bCs/>
                <w:color w:val="000000"/>
                <w:sz w:val="20"/>
                <w:szCs w:val="20"/>
                <w:lang w:eastAsia="sk-SK"/>
              </w:rPr>
              <w:br/>
            </w:r>
            <w:r w:rsidRPr="00150966">
              <w:rPr>
                <w:rFonts w:ascii="Times New Roman" w:eastAsia="Times New Roman" w:hAnsi="Times New Roman" w:cs="Times New Roman"/>
                <w:color w:val="000000"/>
                <w:sz w:val="20"/>
                <w:szCs w:val="20"/>
                <w:lang w:eastAsia="sk-SK"/>
              </w:rPr>
              <w:t xml:space="preserve">SK/EÚ úplná </w:t>
            </w:r>
            <w:proofErr w:type="spellStart"/>
            <w:r w:rsidRPr="00150966">
              <w:rPr>
                <w:rFonts w:ascii="Times New Roman" w:eastAsia="Times New Roman" w:hAnsi="Times New Roman" w:cs="Times New Roman"/>
                <w:color w:val="000000"/>
                <w:sz w:val="20"/>
                <w:szCs w:val="20"/>
                <w:lang w:eastAsia="sk-SK"/>
              </w:rPr>
              <w:t>harm</w:t>
            </w:r>
            <w:proofErr w:type="spellEnd"/>
            <w:r w:rsidRPr="00150966">
              <w:rPr>
                <w:rFonts w:ascii="Times New Roman" w:eastAsia="Times New Roman" w:hAnsi="Times New Roman" w:cs="Times New Roman"/>
                <w:color w:val="000000"/>
                <w:sz w:val="20"/>
                <w:szCs w:val="20"/>
                <w:lang w:eastAsia="sk-SK"/>
              </w:rPr>
              <w:t>./</w:t>
            </w:r>
            <w:r w:rsidRPr="00150966">
              <w:rPr>
                <w:rFonts w:ascii="Times New Roman" w:eastAsia="Times New Roman" w:hAnsi="Times New Roman" w:cs="Times New Roman"/>
                <w:color w:val="000000"/>
                <w:sz w:val="20"/>
                <w:szCs w:val="20"/>
                <w:lang w:eastAsia="sk-SK"/>
              </w:rPr>
              <w:br/>
            </w:r>
            <w:proofErr w:type="spellStart"/>
            <w:r w:rsidRPr="00150966">
              <w:rPr>
                <w:rFonts w:ascii="Times New Roman" w:eastAsia="Times New Roman" w:hAnsi="Times New Roman" w:cs="Times New Roman"/>
                <w:color w:val="000000"/>
                <w:sz w:val="20"/>
                <w:szCs w:val="20"/>
                <w:lang w:eastAsia="sk-SK"/>
              </w:rPr>
              <w:t>goldplating</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DC22771"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Účinnosť regulácie</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6FD8FE"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 xml:space="preserve">Kategória </w:t>
            </w:r>
            <w:proofErr w:type="spellStart"/>
            <w:r w:rsidRPr="00150966">
              <w:rPr>
                <w:rFonts w:ascii="Times New Roman" w:eastAsia="Times New Roman" w:hAnsi="Times New Roman" w:cs="Times New Roman"/>
                <w:b/>
                <w:bCs/>
                <w:color w:val="000000"/>
                <w:sz w:val="20"/>
                <w:szCs w:val="20"/>
                <w:lang w:eastAsia="sk-SK"/>
              </w:rPr>
              <w:t>dotk</w:t>
            </w:r>
            <w:proofErr w:type="spellEnd"/>
            <w:r w:rsidRPr="00150966">
              <w:rPr>
                <w:rFonts w:ascii="Times New Roman" w:eastAsia="Times New Roman" w:hAnsi="Times New Roman" w:cs="Times New Roman"/>
                <w:b/>
                <w:bCs/>
                <w:color w:val="000000"/>
                <w:sz w:val="20"/>
                <w:szCs w:val="20"/>
                <w:lang w:eastAsia="sk-SK"/>
              </w:rPr>
              <w:t>. subjektov</w:t>
            </w:r>
          </w:p>
        </w:tc>
        <w:tc>
          <w:tcPr>
            <w:tcW w:w="7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9E451EE"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 xml:space="preserve">Počet </w:t>
            </w:r>
            <w:proofErr w:type="spellStart"/>
            <w:r w:rsidRPr="00150966">
              <w:rPr>
                <w:rFonts w:ascii="Times New Roman" w:eastAsia="Times New Roman" w:hAnsi="Times New Roman" w:cs="Times New Roman"/>
                <w:b/>
                <w:bCs/>
                <w:color w:val="000000"/>
                <w:sz w:val="20"/>
                <w:szCs w:val="20"/>
                <w:lang w:eastAsia="sk-SK"/>
              </w:rPr>
              <w:t>dotk</w:t>
            </w:r>
            <w:proofErr w:type="spellEnd"/>
            <w:r w:rsidRPr="00150966">
              <w:rPr>
                <w:rFonts w:ascii="Times New Roman" w:eastAsia="Times New Roman" w:hAnsi="Times New Roman" w:cs="Times New Roman"/>
                <w:b/>
                <w:bCs/>
                <w:color w:val="000000"/>
                <w:sz w:val="20"/>
                <w:szCs w:val="20"/>
                <w:lang w:eastAsia="sk-SK"/>
              </w:rPr>
              <w:t xml:space="preserve">. subjektov spolu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27E024"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Vplyv na 1 podnik. v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FCEA643"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 xml:space="preserve">Vplyv na kategóriu </w:t>
            </w:r>
            <w:proofErr w:type="spellStart"/>
            <w:r w:rsidRPr="00150966">
              <w:rPr>
                <w:rFonts w:ascii="Times New Roman" w:eastAsia="Times New Roman" w:hAnsi="Times New Roman" w:cs="Times New Roman"/>
                <w:b/>
                <w:bCs/>
                <w:color w:val="000000"/>
                <w:sz w:val="20"/>
                <w:szCs w:val="20"/>
                <w:lang w:eastAsia="sk-SK"/>
              </w:rPr>
              <w:t>dotk</w:t>
            </w:r>
            <w:proofErr w:type="spellEnd"/>
            <w:r w:rsidRPr="00150966">
              <w:rPr>
                <w:rFonts w:ascii="Times New Roman" w:eastAsia="Times New Roman" w:hAnsi="Times New Roman" w:cs="Times New Roman"/>
                <w:b/>
                <w:bCs/>
                <w:color w:val="000000"/>
                <w:sz w:val="20"/>
                <w:szCs w:val="20"/>
                <w:lang w:eastAsia="sk-SK"/>
              </w:rPr>
              <w:t>. subjektov v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CD225F"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Druh vplyvu</w:t>
            </w:r>
            <w:r w:rsidRPr="00150966">
              <w:rPr>
                <w:rFonts w:ascii="Times New Roman" w:eastAsia="Times New Roman" w:hAnsi="Times New Roman" w:cs="Times New Roman"/>
                <w:b/>
                <w:bCs/>
                <w:color w:val="000000"/>
                <w:sz w:val="20"/>
                <w:szCs w:val="20"/>
                <w:lang w:eastAsia="sk-SK"/>
              </w:rPr>
              <w:br/>
            </w:r>
            <w:r w:rsidRPr="00150966">
              <w:rPr>
                <w:rFonts w:ascii="Times New Roman" w:eastAsia="Times New Roman" w:hAnsi="Times New Roman" w:cs="Times New Roman"/>
                <w:color w:val="000000"/>
                <w:sz w:val="20"/>
                <w:szCs w:val="20"/>
                <w:lang w:eastAsia="sk-SK"/>
              </w:rPr>
              <w:t xml:space="preserve">In (zvyšuje náklady) / </w:t>
            </w:r>
            <w:r w:rsidRPr="00150966">
              <w:rPr>
                <w:rFonts w:ascii="Times New Roman" w:eastAsia="Times New Roman" w:hAnsi="Times New Roman" w:cs="Times New Roman"/>
                <w:color w:val="000000"/>
                <w:sz w:val="20"/>
                <w:szCs w:val="20"/>
                <w:lang w:eastAsia="sk-SK"/>
              </w:rPr>
              <w:br/>
            </w:r>
            <w:proofErr w:type="spellStart"/>
            <w:r w:rsidRPr="00150966">
              <w:rPr>
                <w:rFonts w:ascii="Times New Roman" w:eastAsia="Times New Roman" w:hAnsi="Times New Roman" w:cs="Times New Roman"/>
                <w:color w:val="000000"/>
                <w:sz w:val="20"/>
                <w:szCs w:val="20"/>
                <w:lang w:eastAsia="sk-SK"/>
              </w:rPr>
              <w:t>Out</w:t>
            </w:r>
            <w:proofErr w:type="spellEnd"/>
            <w:r w:rsidRPr="00150966">
              <w:rPr>
                <w:rFonts w:ascii="Times New Roman" w:eastAsia="Times New Roman" w:hAnsi="Times New Roman" w:cs="Times New Roman"/>
                <w:color w:val="000000"/>
                <w:sz w:val="20"/>
                <w:szCs w:val="20"/>
                <w:lang w:eastAsia="sk-SK"/>
              </w:rPr>
              <w:t xml:space="preserve"> (znižuje náklady) / Nemení sa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C5BAC"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r w:rsidRPr="00150966">
              <w:rPr>
                <w:rFonts w:ascii="Times New Roman" w:eastAsia="Times New Roman" w:hAnsi="Times New Roman" w:cs="Times New Roman"/>
                <w:b/>
                <w:bCs/>
                <w:color w:val="000000"/>
                <w:sz w:val="20"/>
                <w:szCs w:val="20"/>
                <w:lang w:eastAsia="sk-SK"/>
              </w:rPr>
              <w:t xml:space="preserve">1in2out </w:t>
            </w:r>
            <w:r w:rsidRPr="00150966">
              <w:rPr>
                <w:rFonts w:ascii="Times New Roman" w:eastAsia="Times New Roman" w:hAnsi="Times New Roman" w:cs="Times New Roman"/>
                <w:b/>
                <w:bCs/>
                <w:color w:val="000000"/>
                <w:sz w:val="20"/>
                <w:szCs w:val="20"/>
                <w:lang w:eastAsia="sk-SK"/>
              </w:rPr>
              <w:br/>
              <w:t>celkom</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5A20F" w14:textId="77777777" w:rsidR="00150966" w:rsidRPr="00150966" w:rsidRDefault="00150966" w:rsidP="0015096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50966">
              <w:rPr>
                <w:rFonts w:ascii="Times New Roman" w:eastAsia="Times New Roman" w:hAnsi="Times New Roman" w:cs="Times New Roman"/>
                <w:b/>
                <w:bCs/>
                <w:color w:val="000000"/>
                <w:sz w:val="20"/>
                <w:szCs w:val="20"/>
                <w:lang w:eastAsia="sk-SK"/>
              </w:rPr>
              <w:t>Goldplating</w:t>
            </w:r>
            <w:proofErr w:type="spellEnd"/>
            <w:r w:rsidRPr="00150966">
              <w:rPr>
                <w:rFonts w:ascii="Times New Roman" w:eastAsia="Times New Roman" w:hAnsi="Times New Roman" w:cs="Times New Roman"/>
                <w:b/>
                <w:bCs/>
                <w:color w:val="000000"/>
                <w:sz w:val="20"/>
                <w:szCs w:val="20"/>
                <w:lang w:eastAsia="sk-SK"/>
              </w:rPr>
              <w:t xml:space="preserve"> celkom</w:t>
            </w:r>
          </w:p>
        </w:tc>
      </w:tr>
      <w:tr w:rsidR="00150966" w:rsidRPr="00150966" w14:paraId="1D5B6F98" w14:textId="77777777" w:rsidTr="00150966">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2239456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A280C5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D6DEE2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D55F66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DABC04"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B9CD3"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26C2D6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6B16D80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6B72CA"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1FAA31"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D0E87A"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735F85"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A244AE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r>
      <w:tr w:rsidR="00150966" w:rsidRPr="00150966" w14:paraId="48B26601" w14:textId="77777777" w:rsidTr="00150966">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57D4D99B"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BAD02C7"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7503C3F"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242051"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F89EB0"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ECA8EA"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E191730"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339B61C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030B39"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D2742D"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BFE6E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9C57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4E9641C"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r>
      <w:tr w:rsidR="00150966" w:rsidRPr="00150966" w14:paraId="799B31EB" w14:textId="77777777" w:rsidTr="00150966">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7F001A69"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2023D7C"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FD83F4"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ABC138A"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465E30"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8351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439DBD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4AB4C11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618434"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196C60"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5F5C2B"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5FA76D"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6A6D73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r>
      <w:tr w:rsidR="00150966" w:rsidRPr="00150966" w14:paraId="6138282E" w14:textId="77777777" w:rsidTr="00150966">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51D6F59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E986704"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7B4D107"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C3EBC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3A3E30"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70971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0625873"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07E82C0A"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EE43A3"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A5B36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E08BE7"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63DEC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1666B8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r>
      <w:tr w:rsidR="00150966" w:rsidRPr="00150966" w14:paraId="1F3580BC" w14:textId="77777777" w:rsidTr="00150966">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426A5C81"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56B9B02"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263C8C"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ED8FC4"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B121EE"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6F6522"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3876946"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14:paraId="5CDE7B70"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326827"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D292A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5125D9"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5E878"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454405A" w14:textId="77777777" w:rsidR="00150966" w:rsidRPr="00150966" w:rsidRDefault="00150966" w:rsidP="00150966">
            <w:pPr>
              <w:spacing w:after="0" w:line="240" w:lineRule="auto"/>
              <w:rPr>
                <w:rFonts w:ascii="Times New Roman" w:eastAsia="Times New Roman" w:hAnsi="Times New Roman" w:cs="Times New Roman"/>
                <w:b/>
                <w:bCs/>
                <w:color w:val="000000"/>
                <w:sz w:val="20"/>
                <w:szCs w:val="20"/>
                <w:lang w:eastAsia="sk-SK"/>
              </w:rPr>
            </w:pPr>
          </w:p>
        </w:tc>
      </w:tr>
      <w:tr w:rsidR="00150966" w:rsidRPr="00150966" w14:paraId="04D1688D" w14:textId="77777777" w:rsidTr="00150966">
        <w:trPr>
          <w:trHeight w:val="127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FCBC16D" w14:textId="75133921"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2409" w:type="dxa"/>
            <w:tcBorders>
              <w:top w:val="nil"/>
              <w:left w:val="nil"/>
              <w:bottom w:val="single" w:sz="4" w:space="0" w:color="auto"/>
              <w:right w:val="single" w:sz="4" w:space="0" w:color="auto"/>
            </w:tcBorders>
            <w:shd w:val="clear" w:color="auto" w:fill="auto"/>
            <w:vAlign w:val="center"/>
            <w:hideMark/>
          </w:tcPr>
          <w:p w14:paraId="36C83177" w14:textId="694767D2" w:rsidR="00150966" w:rsidRPr="00150966" w:rsidRDefault="0083218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w:t>
            </w:r>
            <w:r w:rsidR="00150966" w:rsidRPr="00150966">
              <w:rPr>
                <w:rFonts w:ascii="Times New Roman" w:eastAsia="Times New Roman" w:hAnsi="Times New Roman" w:cs="Times New Roman"/>
                <w:color w:val="000000"/>
                <w:sz w:val="20"/>
                <w:szCs w:val="20"/>
                <w:lang w:eastAsia="sk-SK"/>
              </w:rPr>
              <w:t>platňovanie základnej staros</w:t>
            </w:r>
            <w:r>
              <w:rPr>
                <w:rFonts w:ascii="Times New Roman" w:eastAsia="Times New Roman" w:hAnsi="Times New Roman" w:cs="Times New Roman"/>
                <w:color w:val="000000"/>
                <w:sz w:val="20"/>
                <w:szCs w:val="20"/>
                <w:lang w:eastAsia="sk-SK"/>
              </w:rPr>
              <w:t>t</w:t>
            </w:r>
            <w:r w:rsidR="00150966" w:rsidRPr="00150966">
              <w:rPr>
                <w:rFonts w:ascii="Times New Roman" w:eastAsia="Times New Roman" w:hAnsi="Times New Roman" w:cs="Times New Roman"/>
                <w:color w:val="000000"/>
                <w:sz w:val="20"/>
                <w:szCs w:val="20"/>
                <w:lang w:eastAsia="sk-SK"/>
              </w:rPr>
              <w:t xml:space="preserve">livosti v celom rozsahu pri vykonaní príležitostných prevodov finančných prostriedkov alebo </w:t>
            </w:r>
            <w:proofErr w:type="spellStart"/>
            <w:r w:rsidR="00150966" w:rsidRPr="00150966">
              <w:rPr>
                <w:rFonts w:ascii="Times New Roman" w:eastAsia="Times New Roman" w:hAnsi="Times New Roman" w:cs="Times New Roman"/>
                <w:color w:val="000000"/>
                <w:sz w:val="20"/>
                <w:szCs w:val="20"/>
                <w:lang w:eastAsia="sk-SK"/>
              </w:rPr>
              <w:t>kryptoaktív</w:t>
            </w:r>
            <w:proofErr w:type="spellEnd"/>
            <w:r w:rsidR="00150966" w:rsidRPr="00150966">
              <w:rPr>
                <w:rFonts w:ascii="Times New Roman" w:eastAsia="Times New Roman" w:hAnsi="Times New Roman" w:cs="Times New Roman"/>
                <w:color w:val="000000"/>
                <w:sz w:val="20"/>
                <w:szCs w:val="20"/>
                <w:lang w:eastAsia="sk-SK"/>
              </w:rPr>
              <w:t xml:space="preserve"> v hodnote najmenej 1000 eur</w:t>
            </w:r>
          </w:p>
        </w:tc>
        <w:tc>
          <w:tcPr>
            <w:tcW w:w="851" w:type="dxa"/>
            <w:tcBorders>
              <w:top w:val="nil"/>
              <w:left w:val="nil"/>
              <w:bottom w:val="single" w:sz="4" w:space="0" w:color="auto"/>
              <w:right w:val="single" w:sz="4" w:space="0" w:color="auto"/>
            </w:tcBorders>
            <w:shd w:val="clear" w:color="auto" w:fill="auto"/>
            <w:vAlign w:val="center"/>
            <w:hideMark/>
          </w:tcPr>
          <w:p w14:paraId="391E64EB"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.../2024</w:t>
            </w:r>
          </w:p>
        </w:tc>
        <w:tc>
          <w:tcPr>
            <w:tcW w:w="1134" w:type="dxa"/>
            <w:tcBorders>
              <w:top w:val="nil"/>
              <w:left w:val="nil"/>
              <w:bottom w:val="single" w:sz="4" w:space="0" w:color="auto"/>
              <w:right w:val="single" w:sz="4" w:space="0" w:color="auto"/>
            </w:tcBorders>
            <w:shd w:val="clear" w:color="auto" w:fill="auto"/>
            <w:vAlign w:val="center"/>
            <w:hideMark/>
          </w:tcPr>
          <w:p w14:paraId="5E12582C"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§10 ods. 2 písm. g)</w:t>
            </w:r>
          </w:p>
        </w:tc>
        <w:tc>
          <w:tcPr>
            <w:tcW w:w="1276" w:type="dxa"/>
            <w:tcBorders>
              <w:top w:val="nil"/>
              <w:left w:val="nil"/>
              <w:bottom w:val="single" w:sz="4" w:space="0" w:color="auto"/>
              <w:right w:val="single" w:sz="4" w:space="0" w:color="auto"/>
            </w:tcBorders>
            <w:shd w:val="clear" w:color="auto" w:fill="auto"/>
            <w:vAlign w:val="center"/>
            <w:hideMark/>
          </w:tcPr>
          <w:p w14:paraId="00CD70CC"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 EÚ úplná harmonizácia</w:t>
            </w:r>
          </w:p>
        </w:tc>
        <w:tc>
          <w:tcPr>
            <w:tcW w:w="992" w:type="dxa"/>
            <w:tcBorders>
              <w:top w:val="nil"/>
              <w:left w:val="nil"/>
              <w:bottom w:val="single" w:sz="4" w:space="0" w:color="auto"/>
              <w:right w:val="single" w:sz="4" w:space="0" w:color="auto"/>
            </w:tcBorders>
            <w:shd w:val="clear" w:color="auto" w:fill="auto"/>
            <w:vAlign w:val="center"/>
            <w:hideMark/>
          </w:tcPr>
          <w:p w14:paraId="646CE94C"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01.12.24</w:t>
            </w:r>
          </w:p>
        </w:tc>
        <w:tc>
          <w:tcPr>
            <w:tcW w:w="1400" w:type="dxa"/>
            <w:tcBorders>
              <w:top w:val="nil"/>
              <w:left w:val="nil"/>
              <w:bottom w:val="single" w:sz="4" w:space="0" w:color="auto"/>
              <w:right w:val="single" w:sz="4" w:space="0" w:color="auto"/>
            </w:tcBorders>
            <w:shd w:val="clear" w:color="auto" w:fill="auto"/>
            <w:vAlign w:val="center"/>
            <w:hideMark/>
          </w:tcPr>
          <w:p w14:paraId="413EE260"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 xml:space="preserve">poskytovatelia platobných služieb a služieb </w:t>
            </w:r>
            <w:proofErr w:type="spellStart"/>
            <w:r w:rsidRPr="00150966">
              <w:rPr>
                <w:rFonts w:ascii="Times New Roman" w:eastAsia="Times New Roman" w:hAnsi="Times New Roman" w:cs="Times New Roman"/>
                <w:color w:val="000000"/>
                <w:sz w:val="20"/>
                <w:szCs w:val="20"/>
                <w:lang w:eastAsia="sk-SK"/>
              </w:rPr>
              <w:t>kryptoaktív</w:t>
            </w:r>
            <w:proofErr w:type="spellEnd"/>
          </w:p>
        </w:tc>
        <w:tc>
          <w:tcPr>
            <w:tcW w:w="726" w:type="dxa"/>
            <w:tcBorders>
              <w:top w:val="nil"/>
              <w:left w:val="nil"/>
              <w:bottom w:val="single" w:sz="4" w:space="0" w:color="auto"/>
              <w:right w:val="single" w:sz="4" w:space="0" w:color="auto"/>
            </w:tcBorders>
            <w:shd w:val="clear" w:color="auto" w:fill="auto"/>
            <w:vAlign w:val="center"/>
            <w:hideMark/>
          </w:tcPr>
          <w:p w14:paraId="247F530B" w14:textId="090D7F34" w:rsidR="00150966" w:rsidRPr="00150966" w:rsidRDefault="005D7221" w:rsidP="00150966">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1</w:t>
            </w:r>
            <w:r w:rsidR="00396443">
              <w:rPr>
                <w:rFonts w:ascii="Times New Roman" w:eastAsia="Times New Roman" w:hAnsi="Times New Roman" w:cs="Times New Roman"/>
                <w:color w:val="000000"/>
                <w:sz w:val="20"/>
                <w:szCs w:val="20"/>
                <w:lang w:eastAsia="sk-SK"/>
              </w:rPr>
              <w:t>116</w:t>
            </w:r>
          </w:p>
        </w:tc>
        <w:tc>
          <w:tcPr>
            <w:tcW w:w="709" w:type="dxa"/>
            <w:tcBorders>
              <w:top w:val="nil"/>
              <w:left w:val="nil"/>
              <w:bottom w:val="single" w:sz="4" w:space="0" w:color="auto"/>
              <w:right w:val="single" w:sz="4" w:space="0" w:color="auto"/>
            </w:tcBorders>
            <w:shd w:val="clear" w:color="auto" w:fill="auto"/>
            <w:vAlign w:val="center"/>
            <w:hideMark/>
          </w:tcPr>
          <w:p w14:paraId="43A1A27D" w14:textId="3D02A7F2"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850" w:type="dxa"/>
            <w:tcBorders>
              <w:top w:val="nil"/>
              <w:left w:val="nil"/>
              <w:bottom w:val="single" w:sz="4" w:space="0" w:color="auto"/>
              <w:right w:val="single" w:sz="4" w:space="0" w:color="auto"/>
            </w:tcBorders>
            <w:shd w:val="clear" w:color="auto" w:fill="auto"/>
            <w:vAlign w:val="center"/>
            <w:hideMark/>
          </w:tcPr>
          <w:p w14:paraId="2AE378EB" w14:textId="3D5312E7"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418" w:type="dxa"/>
            <w:tcBorders>
              <w:top w:val="nil"/>
              <w:left w:val="nil"/>
              <w:bottom w:val="single" w:sz="4" w:space="0" w:color="auto"/>
              <w:right w:val="single" w:sz="4" w:space="0" w:color="auto"/>
            </w:tcBorders>
            <w:shd w:val="clear" w:color="auto" w:fill="auto"/>
            <w:vAlign w:val="center"/>
            <w:hideMark/>
          </w:tcPr>
          <w:p w14:paraId="73A28B3C"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In (zvyšuje náklady)</w:t>
            </w:r>
          </w:p>
        </w:tc>
        <w:tc>
          <w:tcPr>
            <w:tcW w:w="992" w:type="dxa"/>
            <w:tcBorders>
              <w:top w:val="nil"/>
              <w:left w:val="nil"/>
              <w:bottom w:val="single" w:sz="4" w:space="0" w:color="auto"/>
              <w:right w:val="single" w:sz="4" w:space="0" w:color="auto"/>
            </w:tcBorders>
            <w:shd w:val="clear" w:color="auto" w:fill="auto"/>
            <w:vAlign w:val="center"/>
            <w:hideMark/>
          </w:tcPr>
          <w:p w14:paraId="3DC48205" w14:textId="77777777" w:rsidR="00150966" w:rsidRPr="00150966" w:rsidRDefault="00150966" w:rsidP="00150966">
            <w:pPr>
              <w:spacing w:after="0" w:line="240" w:lineRule="auto"/>
              <w:jc w:val="center"/>
              <w:rPr>
                <w:rFonts w:ascii="Times New Roman" w:eastAsia="Times New Roman" w:hAnsi="Times New Roman" w:cs="Times New Roman"/>
                <w:sz w:val="20"/>
                <w:szCs w:val="20"/>
                <w:lang w:eastAsia="sk-SK"/>
              </w:rPr>
            </w:pPr>
            <w:r w:rsidRPr="00150966">
              <w:rPr>
                <w:rFonts w:ascii="Times New Roman" w:eastAsia="Times New Roman" w:hAnsi="Times New Roman" w:cs="Times New Roman"/>
                <w:sz w:val="20"/>
                <w:szCs w:val="20"/>
                <w:lang w:eastAsia="sk-SK"/>
              </w:rPr>
              <w:t>0</w:t>
            </w:r>
          </w:p>
        </w:tc>
        <w:tc>
          <w:tcPr>
            <w:tcW w:w="1400" w:type="dxa"/>
            <w:tcBorders>
              <w:top w:val="nil"/>
              <w:left w:val="nil"/>
              <w:bottom w:val="single" w:sz="4" w:space="0" w:color="auto"/>
              <w:right w:val="single" w:sz="4" w:space="0" w:color="auto"/>
            </w:tcBorders>
            <w:shd w:val="clear" w:color="auto" w:fill="auto"/>
            <w:vAlign w:val="center"/>
            <w:hideMark/>
          </w:tcPr>
          <w:p w14:paraId="36BCD202"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0</w:t>
            </w:r>
          </w:p>
        </w:tc>
      </w:tr>
      <w:tr w:rsidR="00150966" w:rsidRPr="00150966" w14:paraId="152A9F64" w14:textId="77777777" w:rsidTr="00150966">
        <w:trPr>
          <w:trHeight w:val="102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1DB69E1" w14:textId="7155ACF9"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2409" w:type="dxa"/>
            <w:tcBorders>
              <w:top w:val="nil"/>
              <w:left w:val="nil"/>
              <w:bottom w:val="single" w:sz="4" w:space="0" w:color="auto"/>
              <w:right w:val="single" w:sz="4" w:space="0" w:color="auto"/>
            </w:tcBorders>
            <w:shd w:val="clear" w:color="auto" w:fill="auto"/>
            <w:vAlign w:val="center"/>
            <w:hideMark/>
          </w:tcPr>
          <w:p w14:paraId="797994DB" w14:textId="14410C07" w:rsidR="00150966" w:rsidRPr="00150966" w:rsidRDefault="005E3433"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w:t>
            </w:r>
            <w:r w:rsidR="00150966" w:rsidRPr="00150966">
              <w:rPr>
                <w:rFonts w:ascii="Times New Roman" w:eastAsia="Times New Roman" w:hAnsi="Times New Roman" w:cs="Times New Roman"/>
                <w:color w:val="000000"/>
                <w:sz w:val="20"/>
                <w:szCs w:val="20"/>
                <w:lang w:eastAsia="sk-SK"/>
              </w:rPr>
              <w:t>platňovanie zvýšenej starostlivosti pri cezhraničnom korešpondenčnom bankovníctve bez ohľadu na krajinu pôvodu partnerskej inštitúcie</w:t>
            </w:r>
          </w:p>
        </w:tc>
        <w:tc>
          <w:tcPr>
            <w:tcW w:w="851" w:type="dxa"/>
            <w:tcBorders>
              <w:top w:val="nil"/>
              <w:left w:val="nil"/>
              <w:bottom w:val="single" w:sz="4" w:space="0" w:color="auto"/>
              <w:right w:val="single" w:sz="4" w:space="0" w:color="auto"/>
            </w:tcBorders>
            <w:shd w:val="clear" w:color="auto" w:fill="auto"/>
            <w:vAlign w:val="center"/>
            <w:hideMark/>
          </w:tcPr>
          <w:p w14:paraId="485097A2"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.../2024</w:t>
            </w:r>
          </w:p>
        </w:tc>
        <w:tc>
          <w:tcPr>
            <w:tcW w:w="1134" w:type="dxa"/>
            <w:tcBorders>
              <w:top w:val="nil"/>
              <w:left w:val="nil"/>
              <w:bottom w:val="single" w:sz="4" w:space="0" w:color="auto"/>
              <w:right w:val="single" w:sz="4" w:space="0" w:color="auto"/>
            </w:tcBorders>
            <w:shd w:val="clear" w:color="auto" w:fill="auto"/>
            <w:vAlign w:val="center"/>
            <w:hideMark/>
          </w:tcPr>
          <w:p w14:paraId="56D60847"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 12 ods.1</w:t>
            </w:r>
          </w:p>
        </w:tc>
        <w:tc>
          <w:tcPr>
            <w:tcW w:w="1276" w:type="dxa"/>
            <w:tcBorders>
              <w:top w:val="nil"/>
              <w:left w:val="nil"/>
              <w:bottom w:val="single" w:sz="4" w:space="0" w:color="auto"/>
              <w:right w:val="single" w:sz="4" w:space="0" w:color="auto"/>
            </w:tcBorders>
            <w:shd w:val="clear" w:color="auto" w:fill="auto"/>
            <w:vAlign w:val="center"/>
            <w:hideMark/>
          </w:tcPr>
          <w:p w14:paraId="6C08713E"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 xml:space="preserve">3b)  Navýšenie  požiadaviek nad rámec minimálnych požiadaviek smernice EÚ, </w:t>
            </w:r>
          </w:p>
        </w:tc>
        <w:tc>
          <w:tcPr>
            <w:tcW w:w="992" w:type="dxa"/>
            <w:tcBorders>
              <w:top w:val="nil"/>
              <w:left w:val="nil"/>
              <w:bottom w:val="single" w:sz="4" w:space="0" w:color="auto"/>
              <w:right w:val="single" w:sz="4" w:space="0" w:color="auto"/>
            </w:tcBorders>
            <w:shd w:val="clear" w:color="auto" w:fill="auto"/>
            <w:vAlign w:val="center"/>
            <w:hideMark/>
          </w:tcPr>
          <w:p w14:paraId="1AED557B"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01.12.24</w:t>
            </w:r>
          </w:p>
        </w:tc>
        <w:tc>
          <w:tcPr>
            <w:tcW w:w="1400" w:type="dxa"/>
            <w:tcBorders>
              <w:top w:val="nil"/>
              <w:left w:val="nil"/>
              <w:bottom w:val="single" w:sz="4" w:space="0" w:color="auto"/>
              <w:right w:val="single" w:sz="4" w:space="0" w:color="auto"/>
            </w:tcBorders>
            <w:shd w:val="clear" w:color="auto" w:fill="auto"/>
            <w:vAlign w:val="center"/>
            <w:hideMark/>
          </w:tcPr>
          <w:p w14:paraId="1DF51033"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banky a pobočky zahraničných bánk</w:t>
            </w:r>
          </w:p>
        </w:tc>
        <w:tc>
          <w:tcPr>
            <w:tcW w:w="726" w:type="dxa"/>
            <w:tcBorders>
              <w:top w:val="nil"/>
              <w:left w:val="nil"/>
              <w:bottom w:val="single" w:sz="4" w:space="0" w:color="auto"/>
              <w:right w:val="single" w:sz="4" w:space="0" w:color="auto"/>
            </w:tcBorders>
            <w:shd w:val="clear" w:color="auto" w:fill="auto"/>
            <w:vAlign w:val="center"/>
            <w:hideMark/>
          </w:tcPr>
          <w:p w14:paraId="5D7B3710" w14:textId="77777777" w:rsidR="00150966" w:rsidRPr="00150966" w:rsidRDefault="00150966" w:rsidP="00150966">
            <w:pPr>
              <w:spacing w:after="0" w:line="240" w:lineRule="auto"/>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 xml:space="preserve">                 24 </w:t>
            </w:r>
          </w:p>
        </w:tc>
        <w:tc>
          <w:tcPr>
            <w:tcW w:w="709" w:type="dxa"/>
            <w:tcBorders>
              <w:top w:val="nil"/>
              <w:left w:val="nil"/>
              <w:bottom w:val="single" w:sz="4" w:space="0" w:color="auto"/>
              <w:right w:val="single" w:sz="4" w:space="0" w:color="auto"/>
            </w:tcBorders>
            <w:shd w:val="clear" w:color="auto" w:fill="auto"/>
            <w:vAlign w:val="center"/>
            <w:hideMark/>
          </w:tcPr>
          <w:p w14:paraId="5AFC460A" w14:textId="0020B41A"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97</w:t>
            </w:r>
          </w:p>
        </w:tc>
        <w:tc>
          <w:tcPr>
            <w:tcW w:w="850" w:type="dxa"/>
            <w:tcBorders>
              <w:top w:val="nil"/>
              <w:left w:val="nil"/>
              <w:bottom w:val="single" w:sz="4" w:space="0" w:color="auto"/>
              <w:right w:val="single" w:sz="4" w:space="0" w:color="auto"/>
            </w:tcBorders>
            <w:shd w:val="clear" w:color="auto" w:fill="auto"/>
            <w:vAlign w:val="center"/>
            <w:hideMark/>
          </w:tcPr>
          <w:p w14:paraId="1B17D6AF" w14:textId="3892A5DE"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2 337</w:t>
            </w:r>
          </w:p>
        </w:tc>
        <w:tc>
          <w:tcPr>
            <w:tcW w:w="1418" w:type="dxa"/>
            <w:tcBorders>
              <w:top w:val="nil"/>
              <w:left w:val="nil"/>
              <w:bottom w:val="single" w:sz="4" w:space="0" w:color="auto"/>
              <w:right w:val="single" w:sz="4" w:space="0" w:color="auto"/>
            </w:tcBorders>
            <w:shd w:val="clear" w:color="auto" w:fill="auto"/>
            <w:vAlign w:val="center"/>
            <w:hideMark/>
          </w:tcPr>
          <w:p w14:paraId="7C93C45F"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In (zvyšuje náklady)</w:t>
            </w:r>
          </w:p>
        </w:tc>
        <w:tc>
          <w:tcPr>
            <w:tcW w:w="992" w:type="dxa"/>
            <w:tcBorders>
              <w:top w:val="nil"/>
              <w:left w:val="nil"/>
              <w:bottom w:val="single" w:sz="4" w:space="0" w:color="auto"/>
              <w:right w:val="single" w:sz="4" w:space="0" w:color="auto"/>
            </w:tcBorders>
            <w:shd w:val="clear" w:color="auto" w:fill="auto"/>
            <w:vAlign w:val="center"/>
            <w:hideMark/>
          </w:tcPr>
          <w:p w14:paraId="4BE177AF" w14:textId="61DA20A9"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2337</w:t>
            </w:r>
          </w:p>
        </w:tc>
        <w:tc>
          <w:tcPr>
            <w:tcW w:w="1400" w:type="dxa"/>
            <w:tcBorders>
              <w:top w:val="nil"/>
              <w:left w:val="nil"/>
              <w:bottom w:val="single" w:sz="4" w:space="0" w:color="auto"/>
              <w:right w:val="single" w:sz="4" w:space="0" w:color="auto"/>
            </w:tcBorders>
            <w:shd w:val="clear" w:color="auto" w:fill="auto"/>
            <w:vAlign w:val="center"/>
            <w:hideMark/>
          </w:tcPr>
          <w:p w14:paraId="23B94221"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2 337</w:t>
            </w:r>
          </w:p>
        </w:tc>
      </w:tr>
      <w:tr w:rsidR="00150966" w:rsidRPr="00150966" w14:paraId="3A35321E" w14:textId="77777777" w:rsidTr="00150966">
        <w:trPr>
          <w:trHeight w:val="278"/>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4646F1CF" w14:textId="62095702"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2409" w:type="dxa"/>
            <w:tcBorders>
              <w:top w:val="nil"/>
              <w:left w:val="nil"/>
              <w:bottom w:val="single" w:sz="4" w:space="0" w:color="auto"/>
              <w:right w:val="single" w:sz="4" w:space="0" w:color="auto"/>
            </w:tcBorders>
            <w:shd w:val="clear" w:color="auto" w:fill="auto"/>
            <w:vAlign w:val="center"/>
            <w:hideMark/>
          </w:tcPr>
          <w:p w14:paraId="2AB76B71" w14:textId="5BC54E9D" w:rsidR="00150966" w:rsidRPr="00150966" w:rsidRDefault="005E3433"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150966" w:rsidRPr="00150966">
              <w:rPr>
                <w:rFonts w:ascii="Times New Roman" w:eastAsia="Times New Roman" w:hAnsi="Times New Roman" w:cs="Times New Roman"/>
                <w:color w:val="000000"/>
                <w:sz w:val="20"/>
                <w:szCs w:val="20"/>
                <w:lang w:eastAsia="sk-SK"/>
              </w:rPr>
              <w:t xml:space="preserve">yhotovenie písomného záznamu pri ukončení obchodného vzťahu s partnerskou inštitúciou </w:t>
            </w:r>
          </w:p>
        </w:tc>
        <w:tc>
          <w:tcPr>
            <w:tcW w:w="851" w:type="dxa"/>
            <w:tcBorders>
              <w:top w:val="nil"/>
              <w:left w:val="nil"/>
              <w:bottom w:val="single" w:sz="4" w:space="0" w:color="auto"/>
              <w:right w:val="single" w:sz="4" w:space="0" w:color="auto"/>
            </w:tcBorders>
            <w:shd w:val="clear" w:color="auto" w:fill="auto"/>
            <w:vAlign w:val="center"/>
            <w:hideMark/>
          </w:tcPr>
          <w:p w14:paraId="59A18E57"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.../2024</w:t>
            </w:r>
          </w:p>
        </w:tc>
        <w:tc>
          <w:tcPr>
            <w:tcW w:w="1134" w:type="dxa"/>
            <w:tcBorders>
              <w:top w:val="nil"/>
              <w:left w:val="nil"/>
              <w:bottom w:val="single" w:sz="4" w:space="0" w:color="auto"/>
              <w:right w:val="single" w:sz="4" w:space="0" w:color="auto"/>
            </w:tcBorders>
            <w:shd w:val="clear" w:color="auto" w:fill="auto"/>
            <w:vAlign w:val="center"/>
            <w:hideMark/>
          </w:tcPr>
          <w:p w14:paraId="25DE739A"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§24a</w:t>
            </w:r>
          </w:p>
        </w:tc>
        <w:tc>
          <w:tcPr>
            <w:tcW w:w="1276" w:type="dxa"/>
            <w:tcBorders>
              <w:top w:val="nil"/>
              <w:left w:val="nil"/>
              <w:bottom w:val="single" w:sz="4" w:space="0" w:color="auto"/>
              <w:right w:val="single" w:sz="4" w:space="0" w:color="auto"/>
            </w:tcBorders>
            <w:shd w:val="clear" w:color="auto" w:fill="auto"/>
            <w:vAlign w:val="center"/>
            <w:hideMark/>
          </w:tcPr>
          <w:p w14:paraId="6205A62C"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2. EÚ úplná harmonizácia</w:t>
            </w:r>
          </w:p>
        </w:tc>
        <w:tc>
          <w:tcPr>
            <w:tcW w:w="992" w:type="dxa"/>
            <w:tcBorders>
              <w:top w:val="nil"/>
              <w:left w:val="nil"/>
              <w:bottom w:val="single" w:sz="4" w:space="0" w:color="auto"/>
              <w:right w:val="single" w:sz="4" w:space="0" w:color="auto"/>
            </w:tcBorders>
            <w:shd w:val="clear" w:color="auto" w:fill="auto"/>
            <w:vAlign w:val="center"/>
            <w:hideMark/>
          </w:tcPr>
          <w:p w14:paraId="0DC4CDEA"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01.12.24</w:t>
            </w:r>
          </w:p>
        </w:tc>
        <w:tc>
          <w:tcPr>
            <w:tcW w:w="1400" w:type="dxa"/>
            <w:tcBorders>
              <w:top w:val="nil"/>
              <w:left w:val="nil"/>
              <w:bottom w:val="single" w:sz="4" w:space="0" w:color="auto"/>
              <w:right w:val="single" w:sz="4" w:space="0" w:color="auto"/>
            </w:tcBorders>
            <w:shd w:val="clear" w:color="auto" w:fill="auto"/>
            <w:vAlign w:val="center"/>
            <w:hideMark/>
          </w:tcPr>
          <w:p w14:paraId="521C3B03"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 xml:space="preserve">poskytovatelia služieb </w:t>
            </w:r>
            <w:proofErr w:type="spellStart"/>
            <w:r w:rsidRPr="00150966">
              <w:rPr>
                <w:rFonts w:ascii="Times New Roman" w:eastAsia="Times New Roman" w:hAnsi="Times New Roman" w:cs="Times New Roman"/>
                <w:color w:val="000000"/>
                <w:sz w:val="20"/>
                <w:szCs w:val="20"/>
                <w:lang w:eastAsia="sk-SK"/>
              </w:rPr>
              <w:t>kryptoaktív</w:t>
            </w:r>
            <w:proofErr w:type="spellEnd"/>
          </w:p>
        </w:tc>
        <w:tc>
          <w:tcPr>
            <w:tcW w:w="726" w:type="dxa"/>
            <w:tcBorders>
              <w:top w:val="nil"/>
              <w:left w:val="nil"/>
              <w:bottom w:val="single" w:sz="4" w:space="0" w:color="auto"/>
              <w:right w:val="single" w:sz="4" w:space="0" w:color="auto"/>
            </w:tcBorders>
            <w:shd w:val="clear" w:color="auto" w:fill="auto"/>
            <w:vAlign w:val="center"/>
            <w:hideMark/>
          </w:tcPr>
          <w:p w14:paraId="2010B3FD" w14:textId="2CE96926" w:rsidR="00150966" w:rsidRPr="00150966" w:rsidRDefault="002C2642" w:rsidP="00150966">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285211">
              <w:rPr>
                <w:rFonts w:ascii="Times New Roman" w:eastAsia="Times New Roman" w:hAnsi="Times New Roman" w:cs="Times New Roman"/>
                <w:color w:val="000000"/>
                <w:sz w:val="20"/>
                <w:szCs w:val="20"/>
                <w:lang w:eastAsia="sk-SK"/>
              </w:rPr>
              <w:t>1080</w:t>
            </w:r>
          </w:p>
        </w:tc>
        <w:tc>
          <w:tcPr>
            <w:tcW w:w="709" w:type="dxa"/>
            <w:tcBorders>
              <w:top w:val="nil"/>
              <w:left w:val="nil"/>
              <w:bottom w:val="single" w:sz="4" w:space="0" w:color="auto"/>
              <w:right w:val="single" w:sz="4" w:space="0" w:color="auto"/>
            </w:tcBorders>
            <w:shd w:val="clear" w:color="auto" w:fill="auto"/>
            <w:vAlign w:val="center"/>
            <w:hideMark/>
          </w:tcPr>
          <w:p w14:paraId="3BD5B8D8" w14:textId="19EE4DEC" w:rsidR="00150966" w:rsidRPr="00150966" w:rsidRDefault="00285211" w:rsidP="00475318">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24</w:t>
            </w:r>
          </w:p>
        </w:tc>
        <w:tc>
          <w:tcPr>
            <w:tcW w:w="850" w:type="dxa"/>
            <w:tcBorders>
              <w:top w:val="nil"/>
              <w:left w:val="nil"/>
              <w:bottom w:val="single" w:sz="4" w:space="0" w:color="auto"/>
              <w:right w:val="single" w:sz="4" w:space="0" w:color="auto"/>
            </w:tcBorders>
            <w:shd w:val="clear" w:color="auto" w:fill="auto"/>
            <w:vAlign w:val="center"/>
            <w:hideMark/>
          </w:tcPr>
          <w:p w14:paraId="1120F855" w14:textId="6079B7F2" w:rsidR="00150966" w:rsidRPr="00150966" w:rsidRDefault="00285211" w:rsidP="00150966">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26 293</w:t>
            </w:r>
          </w:p>
        </w:tc>
        <w:tc>
          <w:tcPr>
            <w:tcW w:w="1418" w:type="dxa"/>
            <w:tcBorders>
              <w:top w:val="nil"/>
              <w:left w:val="nil"/>
              <w:bottom w:val="single" w:sz="4" w:space="0" w:color="auto"/>
              <w:right w:val="single" w:sz="4" w:space="0" w:color="auto"/>
            </w:tcBorders>
            <w:shd w:val="clear" w:color="auto" w:fill="auto"/>
            <w:vAlign w:val="center"/>
            <w:hideMark/>
          </w:tcPr>
          <w:p w14:paraId="38E3A1C2"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In (zvyšuje náklady)</w:t>
            </w:r>
          </w:p>
        </w:tc>
        <w:tc>
          <w:tcPr>
            <w:tcW w:w="992" w:type="dxa"/>
            <w:tcBorders>
              <w:top w:val="nil"/>
              <w:left w:val="nil"/>
              <w:bottom w:val="single" w:sz="4" w:space="0" w:color="auto"/>
              <w:right w:val="single" w:sz="4" w:space="0" w:color="auto"/>
            </w:tcBorders>
            <w:shd w:val="clear" w:color="auto" w:fill="auto"/>
            <w:vAlign w:val="center"/>
            <w:hideMark/>
          </w:tcPr>
          <w:p w14:paraId="0FC150E4" w14:textId="77777777" w:rsidR="00150966" w:rsidRPr="00150966" w:rsidRDefault="00150966" w:rsidP="00150966">
            <w:pPr>
              <w:spacing w:after="0" w:line="240" w:lineRule="auto"/>
              <w:jc w:val="center"/>
              <w:rPr>
                <w:rFonts w:ascii="Times New Roman" w:eastAsia="Times New Roman" w:hAnsi="Times New Roman" w:cs="Times New Roman"/>
                <w:sz w:val="20"/>
                <w:szCs w:val="20"/>
                <w:lang w:eastAsia="sk-SK"/>
              </w:rPr>
            </w:pPr>
            <w:r w:rsidRPr="00150966">
              <w:rPr>
                <w:rFonts w:ascii="Times New Roman" w:eastAsia="Times New Roman" w:hAnsi="Times New Roman" w:cs="Times New Roman"/>
                <w:sz w:val="20"/>
                <w:szCs w:val="20"/>
                <w:lang w:eastAsia="sk-SK"/>
              </w:rPr>
              <w:t>0</w:t>
            </w:r>
          </w:p>
        </w:tc>
        <w:tc>
          <w:tcPr>
            <w:tcW w:w="1400" w:type="dxa"/>
            <w:tcBorders>
              <w:top w:val="nil"/>
              <w:left w:val="nil"/>
              <w:bottom w:val="single" w:sz="4" w:space="0" w:color="auto"/>
              <w:right w:val="single" w:sz="4" w:space="0" w:color="auto"/>
            </w:tcBorders>
            <w:shd w:val="clear" w:color="auto" w:fill="auto"/>
            <w:vAlign w:val="center"/>
            <w:hideMark/>
          </w:tcPr>
          <w:p w14:paraId="06490443" w14:textId="77777777" w:rsidR="00150966" w:rsidRPr="00150966" w:rsidRDefault="00150966" w:rsidP="00150966">
            <w:pPr>
              <w:spacing w:after="0" w:line="240" w:lineRule="auto"/>
              <w:jc w:val="center"/>
              <w:rPr>
                <w:rFonts w:ascii="Times New Roman" w:eastAsia="Times New Roman" w:hAnsi="Times New Roman" w:cs="Times New Roman"/>
                <w:color w:val="000000"/>
                <w:sz w:val="20"/>
                <w:szCs w:val="20"/>
                <w:lang w:eastAsia="sk-SK"/>
              </w:rPr>
            </w:pPr>
            <w:r w:rsidRPr="00150966">
              <w:rPr>
                <w:rFonts w:ascii="Times New Roman" w:eastAsia="Times New Roman" w:hAnsi="Times New Roman" w:cs="Times New Roman"/>
                <w:color w:val="000000"/>
                <w:sz w:val="20"/>
                <w:szCs w:val="20"/>
                <w:lang w:eastAsia="sk-SK"/>
              </w:rPr>
              <w:t>0</w:t>
            </w:r>
          </w:p>
        </w:tc>
      </w:tr>
    </w:tbl>
    <w:p w14:paraId="180397C4" w14:textId="7BB0BFC9" w:rsidR="006F61EB" w:rsidRDefault="006F61EB"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Pr="0076370B" w:rsidRDefault="00054C41" w:rsidP="00054C41">
      <w:pPr>
        <w:jc w:val="both"/>
        <w:rPr>
          <w:rFonts w:ascii="Times New Roman" w:eastAsia="Calibri" w:hAnsi="Times New Roman" w:cs="Times New Roman"/>
          <w:bCs/>
          <w:i/>
          <w:iCs/>
          <w:color w:val="000000"/>
          <w:sz w:val="20"/>
          <w:szCs w:val="20"/>
        </w:rPr>
      </w:pPr>
      <w:r w:rsidRPr="0076370B">
        <w:rPr>
          <w:rFonts w:ascii="Times New Roman" w:eastAsia="Calibri" w:hAnsi="Times New Roman" w:cs="Times New Roman"/>
          <w:bCs/>
          <w:i/>
          <w:iCs/>
          <w:color w:val="000000"/>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6370B">
        <w:rPr>
          <w:rFonts w:ascii="Times New Roman" w:eastAsia="Calibri" w:hAnsi="Times New Roman" w:cs="Times New Roman"/>
          <w:bCs/>
          <w:i/>
          <w:iCs/>
          <w:color w:val="000000"/>
          <w:sz w:val="20"/>
          <w:szCs w:val="20"/>
        </w:rPr>
        <w:t>link</w:t>
      </w:r>
      <w:proofErr w:type="spellEnd"/>
      <w:r w:rsidRPr="0076370B">
        <w:rPr>
          <w:rFonts w:ascii="Times New Roman" w:eastAsia="Calibri" w:hAnsi="Times New Roman" w:cs="Times New Roman"/>
          <w:bCs/>
          <w:i/>
          <w:iCs/>
          <w:color w:val="000000"/>
          <w:sz w:val="20"/>
          <w:szCs w:val="20"/>
        </w:rPr>
        <w:t xml:space="preserve"> na konkrétne štatistiky, ak sú dostupné na internete). Jednotlivé regulácie môžu mať jeden alebo viac typov nákladov (A. Dane, odvody, clá</w:t>
      </w:r>
      <w:r w:rsidR="00A000DA" w:rsidRPr="0076370B">
        <w:rPr>
          <w:rFonts w:ascii="Times New Roman" w:eastAsia="Calibri" w:hAnsi="Times New Roman" w:cs="Times New Roman"/>
          <w:bCs/>
          <w:i/>
          <w:iCs/>
          <w:color w:val="000000"/>
          <w:sz w:val="20"/>
          <w:szCs w:val="20"/>
        </w:rPr>
        <w:t xml:space="preserve"> a poplatky, ktorých cieľom je znižovať negatívne </w:t>
      </w:r>
      <w:proofErr w:type="spellStart"/>
      <w:r w:rsidR="00A000DA" w:rsidRPr="0076370B">
        <w:rPr>
          <w:rFonts w:ascii="Times New Roman" w:eastAsia="Calibri" w:hAnsi="Times New Roman" w:cs="Times New Roman"/>
          <w:bCs/>
          <w:i/>
          <w:iCs/>
          <w:color w:val="000000"/>
          <w:sz w:val="20"/>
          <w:szCs w:val="20"/>
        </w:rPr>
        <w:t>externality</w:t>
      </w:r>
      <w:proofErr w:type="spellEnd"/>
      <w:r w:rsidRPr="0076370B">
        <w:rPr>
          <w:rFonts w:ascii="Times New Roman" w:eastAsia="Calibri" w:hAnsi="Times New Roman" w:cs="Times New Roman"/>
          <w:bCs/>
          <w:i/>
          <w:iCs/>
          <w:color w:val="000000"/>
          <w:sz w:val="20"/>
          <w:szCs w:val="20"/>
        </w:rPr>
        <w:t xml:space="preserve">, B. </w:t>
      </w:r>
      <w:r w:rsidR="00A000DA" w:rsidRPr="0076370B">
        <w:rPr>
          <w:rFonts w:ascii="Times New Roman" w:eastAsia="Calibri" w:hAnsi="Times New Roman" w:cs="Times New Roman"/>
          <w:bCs/>
          <w:i/>
          <w:iCs/>
          <w:color w:val="000000"/>
          <w:sz w:val="20"/>
          <w:szCs w:val="20"/>
        </w:rPr>
        <w:t>Iné p</w:t>
      </w:r>
      <w:r w:rsidRPr="0076370B">
        <w:rPr>
          <w:rFonts w:ascii="Times New Roman" w:eastAsia="Calibri" w:hAnsi="Times New Roman" w:cs="Times New Roman"/>
          <w:bCs/>
          <w:i/>
          <w:iCs/>
          <w:color w:val="000000"/>
          <w:sz w:val="20"/>
          <w:szCs w:val="20"/>
        </w:rPr>
        <w:t xml:space="preserve">oplatky, C. </w:t>
      </w:r>
      <w:r w:rsidR="00024EE4" w:rsidRPr="0076370B">
        <w:rPr>
          <w:rFonts w:ascii="Times New Roman" w:eastAsia="Calibri" w:hAnsi="Times New Roman" w:cs="Times New Roman"/>
          <w:bCs/>
          <w:i/>
          <w:iCs/>
          <w:color w:val="000000"/>
          <w:sz w:val="20"/>
          <w:szCs w:val="20"/>
        </w:rPr>
        <w:t>Sankcie</w:t>
      </w:r>
      <w:r w:rsidRPr="0076370B">
        <w:rPr>
          <w:rFonts w:ascii="Times New Roman" w:eastAsia="Calibri" w:hAnsi="Times New Roman" w:cs="Times New Roman"/>
          <w:bCs/>
          <w:i/>
          <w:iCs/>
          <w:color w:val="000000"/>
          <w:sz w:val="20"/>
          <w:szCs w:val="20"/>
        </w:rPr>
        <w:t xml:space="preserve">, D. </w:t>
      </w:r>
      <w:r w:rsidR="00024EE4" w:rsidRPr="0076370B">
        <w:rPr>
          <w:rFonts w:ascii="Times New Roman" w:eastAsia="Calibri" w:hAnsi="Times New Roman" w:cs="Times New Roman"/>
          <w:bCs/>
          <w:i/>
          <w:iCs/>
          <w:color w:val="000000"/>
          <w:sz w:val="20"/>
          <w:szCs w:val="20"/>
        </w:rPr>
        <w:t>Nepriame finančné náklady</w:t>
      </w:r>
      <w:r w:rsidR="00A94A0F" w:rsidRPr="0076370B">
        <w:rPr>
          <w:rFonts w:ascii="Times New Roman" w:eastAsia="Calibri" w:hAnsi="Times New Roman" w:cs="Times New Roman"/>
          <w:bCs/>
          <w:i/>
          <w:iCs/>
          <w:color w:val="000000"/>
          <w:sz w:val="20"/>
          <w:szCs w:val="20"/>
        </w:rPr>
        <w:t xml:space="preserve">, E. </w:t>
      </w:r>
      <w:r w:rsidRPr="0076370B">
        <w:rPr>
          <w:rFonts w:ascii="Times New Roman" w:eastAsia="Calibri" w:hAnsi="Times New Roman" w:cs="Times New Roman"/>
          <w:bCs/>
          <w:i/>
          <w:iCs/>
          <w:color w:val="000000"/>
          <w:sz w:val="20"/>
          <w:szCs w:val="20"/>
        </w:rPr>
        <w:t xml:space="preserve">Administratívne náklady). Rozčleňte ich a vypočítajte v súlade s metodickým postupom. </w:t>
      </w:r>
    </w:p>
    <w:p w14:paraId="1AABC353" w14:textId="44D1E9EA" w:rsidR="00A87D69" w:rsidRDefault="0076370B" w:rsidP="00054C41">
      <w:pPr>
        <w:jc w:val="both"/>
        <w:rPr>
          <w:rFonts w:ascii="Times New Roman" w:eastAsia="Calibri" w:hAnsi="Times New Roman" w:cs="Times New Roman"/>
          <w:bCs/>
          <w:iCs/>
          <w:color w:val="000000"/>
          <w:sz w:val="24"/>
          <w:szCs w:val="24"/>
        </w:rPr>
      </w:pPr>
      <w:r w:rsidRPr="00281786">
        <w:rPr>
          <w:rFonts w:ascii="Times New Roman" w:eastAsia="Calibri" w:hAnsi="Times New Roman" w:cs="Times New Roman"/>
          <w:bCs/>
          <w:iCs/>
          <w:color w:val="000000"/>
          <w:sz w:val="24"/>
          <w:szCs w:val="24"/>
        </w:rPr>
        <w:t xml:space="preserve">V predkladanom návrhu zákona bolo identifikovaných </w:t>
      </w:r>
      <w:r w:rsidR="00A87D69">
        <w:rPr>
          <w:rFonts w:ascii="Times New Roman" w:eastAsia="Calibri" w:hAnsi="Times New Roman" w:cs="Times New Roman"/>
          <w:bCs/>
          <w:iCs/>
          <w:color w:val="000000"/>
          <w:sz w:val="24"/>
          <w:szCs w:val="24"/>
        </w:rPr>
        <w:t>spolu 9</w:t>
      </w:r>
      <w:r w:rsidRPr="00281786">
        <w:rPr>
          <w:rFonts w:ascii="Times New Roman" w:eastAsia="Calibri" w:hAnsi="Times New Roman" w:cs="Times New Roman"/>
          <w:bCs/>
          <w:iCs/>
          <w:color w:val="000000"/>
          <w:sz w:val="24"/>
          <w:szCs w:val="24"/>
        </w:rPr>
        <w:t xml:space="preserve"> regulácií s vplyvom na podnikateľské prostredie. Predmetom kalkulačky nákladov sú </w:t>
      </w:r>
      <w:r w:rsidR="00A87D69">
        <w:rPr>
          <w:rFonts w:ascii="Times New Roman" w:eastAsia="Calibri" w:hAnsi="Times New Roman" w:cs="Times New Roman"/>
          <w:bCs/>
          <w:iCs/>
          <w:color w:val="000000"/>
          <w:sz w:val="24"/>
          <w:szCs w:val="24"/>
        </w:rPr>
        <w:t>však iba regulácie, pri ktorých bolo možné určiť počet dotknutých subjektov príslušnou reguláciou. Zvyšné regulácie sú uvedené v časti 3.1.4 a 3.4.</w:t>
      </w:r>
    </w:p>
    <w:p w14:paraId="40F74F3E" w14:textId="77777777" w:rsidR="007E4B98" w:rsidRPr="007E4B98" w:rsidRDefault="007E4B98" w:rsidP="007E4B98">
      <w:pPr>
        <w:jc w:val="both"/>
        <w:rPr>
          <w:rFonts w:ascii="Times New Roman" w:eastAsia="Calibri" w:hAnsi="Times New Roman" w:cs="Times New Roman"/>
          <w:bCs/>
          <w:iCs/>
          <w:color w:val="000000"/>
          <w:sz w:val="24"/>
          <w:szCs w:val="24"/>
        </w:rPr>
      </w:pPr>
      <w:r w:rsidRPr="007E4B98">
        <w:rPr>
          <w:rFonts w:ascii="Times New Roman" w:eastAsia="Calibri" w:hAnsi="Times New Roman" w:cs="Times New Roman"/>
          <w:bCs/>
          <w:iCs/>
          <w:color w:val="000000"/>
          <w:sz w:val="24"/>
          <w:szCs w:val="24"/>
        </w:rPr>
        <w:t xml:space="preserve">Okruh povinných subjektov sa s ohľadom na poskytovateľov služieb </w:t>
      </w:r>
      <w:proofErr w:type="spellStart"/>
      <w:r w:rsidRPr="007E4B98">
        <w:rPr>
          <w:rFonts w:ascii="Times New Roman" w:eastAsia="Calibri" w:hAnsi="Times New Roman" w:cs="Times New Roman"/>
          <w:bCs/>
          <w:iCs/>
          <w:color w:val="000000"/>
          <w:sz w:val="24"/>
          <w:szCs w:val="24"/>
        </w:rPr>
        <w:t>kryptoaktív</w:t>
      </w:r>
      <w:proofErr w:type="spellEnd"/>
      <w:r w:rsidRPr="007E4B98">
        <w:rPr>
          <w:rFonts w:ascii="Times New Roman" w:eastAsia="Calibri" w:hAnsi="Times New Roman" w:cs="Times New Roman"/>
          <w:bCs/>
          <w:iCs/>
          <w:color w:val="000000"/>
          <w:sz w:val="24"/>
          <w:szCs w:val="24"/>
        </w:rPr>
        <w:t xml:space="preserve"> nemení a to vzhľadom na skutočnosť, že poskytovatelia služieb </w:t>
      </w:r>
      <w:proofErr w:type="spellStart"/>
      <w:r w:rsidRPr="007E4B98">
        <w:rPr>
          <w:rFonts w:ascii="Times New Roman" w:eastAsia="Calibri" w:hAnsi="Times New Roman" w:cs="Times New Roman"/>
          <w:bCs/>
          <w:iCs/>
          <w:color w:val="000000"/>
          <w:sz w:val="24"/>
          <w:szCs w:val="24"/>
        </w:rPr>
        <w:t>kryptoaktív</w:t>
      </w:r>
      <w:proofErr w:type="spellEnd"/>
      <w:r w:rsidRPr="007E4B98">
        <w:rPr>
          <w:rFonts w:ascii="Times New Roman" w:eastAsia="Calibri" w:hAnsi="Times New Roman" w:cs="Times New Roman"/>
          <w:bCs/>
          <w:iCs/>
          <w:color w:val="000000"/>
          <w:sz w:val="24"/>
          <w:szCs w:val="24"/>
        </w:rPr>
        <w:t xml:space="preserve"> iba nahradia doposiaľ existujúce povinné subjekty poskytovateľ služieb zmenárne virtuálnej meny a poskytovateľ služieb peňaženky virtuálnej meny. </w:t>
      </w:r>
    </w:p>
    <w:p w14:paraId="439C20DB" w14:textId="77777777" w:rsidR="007E4B98" w:rsidRDefault="007E4B98" w:rsidP="00054C41">
      <w:pPr>
        <w:jc w:val="both"/>
        <w:rPr>
          <w:rFonts w:ascii="Times New Roman" w:eastAsia="Calibri" w:hAnsi="Times New Roman" w:cs="Times New Roman"/>
          <w:bCs/>
          <w:iCs/>
          <w:color w:val="000000"/>
          <w:sz w:val="24"/>
          <w:szCs w:val="24"/>
          <w:u w:val="single"/>
        </w:rPr>
      </w:pPr>
    </w:p>
    <w:p w14:paraId="0104AA47" w14:textId="56153C44" w:rsidR="00331B20" w:rsidRPr="00281786" w:rsidRDefault="00C8324B" w:rsidP="00054C41">
      <w:pPr>
        <w:jc w:val="both"/>
        <w:rPr>
          <w:rFonts w:ascii="Times New Roman" w:eastAsia="Calibri" w:hAnsi="Times New Roman" w:cs="Times New Roman"/>
          <w:bCs/>
          <w:iCs/>
          <w:color w:val="000000"/>
          <w:sz w:val="24"/>
          <w:szCs w:val="24"/>
          <w:u w:val="single"/>
        </w:rPr>
      </w:pPr>
      <w:r w:rsidRPr="00281786">
        <w:rPr>
          <w:rFonts w:ascii="Times New Roman" w:eastAsia="Calibri" w:hAnsi="Times New Roman" w:cs="Times New Roman"/>
          <w:bCs/>
          <w:iCs/>
          <w:color w:val="000000"/>
          <w:sz w:val="24"/>
          <w:szCs w:val="24"/>
          <w:u w:val="single"/>
        </w:rPr>
        <w:t>Opa</w:t>
      </w:r>
      <w:r w:rsidR="00737F9E">
        <w:rPr>
          <w:rFonts w:ascii="Times New Roman" w:eastAsia="Calibri" w:hAnsi="Times New Roman" w:cs="Times New Roman"/>
          <w:bCs/>
          <w:iCs/>
          <w:color w:val="000000"/>
          <w:sz w:val="24"/>
          <w:szCs w:val="24"/>
          <w:u w:val="single"/>
        </w:rPr>
        <w:t>trenia (opis regulácií) č. 1 – 3</w:t>
      </w:r>
      <w:r w:rsidRPr="00281786">
        <w:rPr>
          <w:rFonts w:ascii="Times New Roman" w:eastAsia="Calibri" w:hAnsi="Times New Roman" w:cs="Times New Roman"/>
          <w:bCs/>
          <w:iCs/>
          <w:color w:val="000000"/>
          <w:sz w:val="24"/>
          <w:szCs w:val="24"/>
          <w:u w:val="single"/>
        </w:rPr>
        <w:t>:</w:t>
      </w:r>
    </w:p>
    <w:p w14:paraId="141046DB" w14:textId="0F278604" w:rsidR="00BF5067" w:rsidRDefault="00BF5067" w:rsidP="00BF5067">
      <w:pPr>
        <w:pStyle w:val="Odsekzoznamu"/>
        <w:ind w:left="0"/>
        <w:jc w:val="both"/>
        <w:rPr>
          <w:rFonts w:ascii="Times New Roman" w:eastAsia="Calibri" w:hAnsi="Times New Roman" w:cs="Times New Roman"/>
          <w:bCs/>
          <w:iCs/>
          <w:color w:val="000000"/>
          <w:sz w:val="24"/>
          <w:szCs w:val="24"/>
        </w:rPr>
      </w:pPr>
    </w:p>
    <w:p w14:paraId="1C3A40C2" w14:textId="6F37A949" w:rsidR="00186414" w:rsidRPr="00281786" w:rsidRDefault="008D5CCF" w:rsidP="00186414">
      <w:pPr>
        <w:pStyle w:val="Odsekzoznamu"/>
        <w:numPr>
          <w:ilvl w:val="0"/>
          <w:numId w:val="15"/>
        </w:numPr>
        <w:ind w:left="426" w:hanging="426"/>
        <w:jc w:val="both"/>
        <w:rPr>
          <w:rFonts w:ascii="Times New Roman" w:eastAsia="Calibri" w:hAnsi="Times New Roman" w:cs="Times New Roman"/>
          <w:bCs/>
          <w:i/>
          <w:iCs/>
          <w:color w:val="000000"/>
          <w:sz w:val="24"/>
          <w:szCs w:val="24"/>
        </w:rPr>
      </w:pPr>
      <w:r w:rsidRPr="008D5CCF">
        <w:rPr>
          <w:rFonts w:ascii="Times New Roman" w:eastAsia="Calibri" w:hAnsi="Times New Roman" w:cs="Times New Roman"/>
          <w:bCs/>
          <w:i/>
          <w:iCs/>
          <w:color w:val="000000"/>
          <w:sz w:val="24"/>
          <w:szCs w:val="24"/>
        </w:rPr>
        <w:t xml:space="preserve">Uplatňovanie základnej starostlivosti pri vykonaní príležitostných prevodov finančných prostriedkov alebo </w:t>
      </w:r>
      <w:proofErr w:type="spellStart"/>
      <w:r w:rsidRPr="008D5CCF">
        <w:rPr>
          <w:rFonts w:ascii="Times New Roman" w:eastAsia="Calibri" w:hAnsi="Times New Roman" w:cs="Times New Roman"/>
          <w:bCs/>
          <w:i/>
          <w:iCs/>
          <w:color w:val="000000"/>
          <w:sz w:val="24"/>
          <w:szCs w:val="24"/>
        </w:rPr>
        <w:t>kryptoaktív</w:t>
      </w:r>
      <w:proofErr w:type="spellEnd"/>
      <w:r w:rsidRPr="008D5CCF">
        <w:rPr>
          <w:rFonts w:ascii="Times New Roman" w:eastAsia="Calibri" w:hAnsi="Times New Roman" w:cs="Times New Roman"/>
          <w:bCs/>
          <w:i/>
          <w:iCs/>
          <w:color w:val="000000"/>
          <w:sz w:val="24"/>
          <w:szCs w:val="24"/>
        </w:rPr>
        <w:t xml:space="preserve"> v hodnote najmenej 1000 eur</w:t>
      </w:r>
    </w:p>
    <w:p w14:paraId="560604CE" w14:textId="53F62AB1" w:rsidR="0004216E" w:rsidRDefault="0004216E" w:rsidP="00F6060E">
      <w:pPr>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Výpočet vplyvu uvedenej regulácie na poskytovateľov služieb </w:t>
      </w:r>
      <w:proofErr w:type="spellStart"/>
      <w:r>
        <w:rPr>
          <w:rFonts w:ascii="Times New Roman" w:eastAsia="Times New Roman" w:hAnsi="Times New Roman" w:cs="Times New Roman"/>
          <w:bCs/>
          <w:color w:val="000000"/>
          <w:sz w:val="24"/>
          <w:szCs w:val="24"/>
          <w:lang w:eastAsia="sk-SK"/>
        </w:rPr>
        <w:t>kryptoaktív</w:t>
      </w:r>
      <w:proofErr w:type="spellEnd"/>
      <w:r>
        <w:rPr>
          <w:rFonts w:ascii="Times New Roman" w:eastAsia="Times New Roman" w:hAnsi="Times New Roman" w:cs="Times New Roman"/>
          <w:bCs/>
          <w:color w:val="000000"/>
          <w:sz w:val="24"/>
          <w:szCs w:val="24"/>
          <w:lang w:eastAsia="sk-SK"/>
        </w:rPr>
        <w:t xml:space="preserve"> a poskytovateľov platobných služieb vychádzal z údajov o počte dotknutých subjektov (zverejnený na stránke NBS</w:t>
      </w:r>
      <w:r w:rsidR="00B00EBE">
        <w:rPr>
          <w:rFonts w:ascii="Times New Roman" w:eastAsia="Times New Roman" w:hAnsi="Times New Roman" w:cs="Times New Roman"/>
          <w:bCs/>
          <w:color w:val="000000"/>
          <w:sz w:val="24"/>
          <w:szCs w:val="24"/>
          <w:lang w:eastAsia="sk-SK"/>
        </w:rPr>
        <w:t xml:space="preserve"> a </w:t>
      </w:r>
      <w:r w:rsidR="00985FCF">
        <w:rPr>
          <w:rFonts w:ascii="Times New Roman" w:eastAsia="Times New Roman" w:hAnsi="Times New Roman" w:cs="Times New Roman"/>
          <w:bCs/>
          <w:color w:val="000000"/>
          <w:sz w:val="24"/>
          <w:szCs w:val="24"/>
          <w:lang w:eastAsia="sk-SK"/>
        </w:rPr>
        <w:t>poskytnutý</w:t>
      </w:r>
      <w:r w:rsidR="00B00EBE">
        <w:rPr>
          <w:rFonts w:ascii="Times New Roman" w:eastAsia="Times New Roman" w:hAnsi="Times New Roman" w:cs="Times New Roman"/>
          <w:bCs/>
          <w:color w:val="000000"/>
          <w:sz w:val="24"/>
          <w:szCs w:val="24"/>
          <w:lang w:eastAsia="sk-SK"/>
        </w:rPr>
        <w:t xml:space="preserve"> odborom živnostenského podnikania MV SR</w:t>
      </w:r>
      <w:r>
        <w:rPr>
          <w:rFonts w:ascii="Times New Roman" w:eastAsia="Times New Roman" w:hAnsi="Times New Roman" w:cs="Times New Roman"/>
          <w:bCs/>
          <w:color w:val="000000"/>
          <w:sz w:val="24"/>
          <w:szCs w:val="24"/>
          <w:lang w:eastAsia="sk-SK"/>
        </w:rPr>
        <w:t xml:space="preserve">) a to konkrétne: banky a pobočky zahraničných bánk- 24, platobné inštitúcie a pobočky zahraničných platobných inštitúcií – 10, </w:t>
      </w:r>
      <w:r w:rsidR="00B00EBE">
        <w:rPr>
          <w:rFonts w:ascii="Times New Roman" w:eastAsia="Times New Roman" w:hAnsi="Times New Roman" w:cs="Times New Roman"/>
          <w:bCs/>
          <w:color w:val="000000"/>
          <w:sz w:val="24"/>
          <w:szCs w:val="24"/>
          <w:lang w:eastAsia="sk-SK"/>
        </w:rPr>
        <w:t>inštitúcie elektronických peňazí</w:t>
      </w:r>
      <w:r w:rsidR="00514467">
        <w:rPr>
          <w:rFonts w:ascii="Times New Roman" w:eastAsia="Times New Roman" w:hAnsi="Times New Roman" w:cs="Times New Roman"/>
          <w:bCs/>
          <w:color w:val="000000"/>
          <w:sz w:val="24"/>
          <w:szCs w:val="24"/>
          <w:lang w:eastAsia="sk-SK"/>
        </w:rPr>
        <w:t xml:space="preserve"> </w:t>
      </w:r>
      <w:r w:rsidR="00B00EBE">
        <w:rPr>
          <w:rFonts w:ascii="Times New Roman" w:eastAsia="Times New Roman" w:hAnsi="Times New Roman" w:cs="Times New Roman"/>
          <w:bCs/>
          <w:color w:val="000000"/>
          <w:sz w:val="24"/>
          <w:szCs w:val="24"/>
          <w:lang w:eastAsia="sk-SK"/>
        </w:rPr>
        <w:t xml:space="preserve">- 1, </w:t>
      </w:r>
      <w:r w:rsidR="00463621">
        <w:rPr>
          <w:rFonts w:ascii="Times New Roman" w:eastAsia="Times New Roman" w:hAnsi="Times New Roman" w:cs="Times New Roman"/>
          <w:bCs/>
          <w:color w:val="000000"/>
          <w:sz w:val="24"/>
          <w:szCs w:val="24"/>
          <w:lang w:eastAsia="sk-SK"/>
        </w:rPr>
        <w:t xml:space="preserve">pobočky zahraničných inštitúcií elektronických peňazí – 1, </w:t>
      </w:r>
      <w:r w:rsidR="00985FCF">
        <w:rPr>
          <w:rFonts w:ascii="Times New Roman" w:eastAsia="Times New Roman" w:hAnsi="Times New Roman" w:cs="Times New Roman"/>
          <w:bCs/>
          <w:color w:val="000000"/>
          <w:sz w:val="24"/>
          <w:szCs w:val="24"/>
          <w:lang w:eastAsia="sk-SK"/>
        </w:rPr>
        <w:t xml:space="preserve">poskytovatelia služieb peňaženky virtuálnej meny - </w:t>
      </w:r>
      <w:r w:rsidR="00334189">
        <w:rPr>
          <w:rFonts w:ascii="Times New Roman" w:eastAsia="Times New Roman" w:hAnsi="Times New Roman" w:cs="Times New Roman"/>
          <w:bCs/>
          <w:color w:val="000000"/>
          <w:sz w:val="24"/>
          <w:szCs w:val="24"/>
          <w:lang w:eastAsia="sk-SK"/>
        </w:rPr>
        <w:t>572</w:t>
      </w:r>
      <w:r w:rsidR="00985FCF">
        <w:rPr>
          <w:rFonts w:ascii="Times New Roman" w:eastAsia="Times New Roman" w:hAnsi="Times New Roman" w:cs="Times New Roman"/>
          <w:bCs/>
          <w:color w:val="000000"/>
          <w:sz w:val="24"/>
          <w:szCs w:val="24"/>
          <w:lang w:eastAsia="sk-SK"/>
        </w:rPr>
        <w:t xml:space="preserve">, poskytovatelia služieb zmenárne virtuálnej meny </w:t>
      </w:r>
      <w:r w:rsidR="00334189">
        <w:rPr>
          <w:rFonts w:ascii="Times New Roman" w:eastAsia="Times New Roman" w:hAnsi="Times New Roman" w:cs="Times New Roman"/>
          <w:bCs/>
          <w:color w:val="000000"/>
          <w:sz w:val="24"/>
          <w:szCs w:val="24"/>
          <w:lang w:eastAsia="sk-SK"/>
        </w:rPr>
        <w:t>–</w:t>
      </w:r>
      <w:r w:rsidR="00985FCF">
        <w:rPr>
          <w:rFonts w:ascii="Times New Roman" w:eastAsia="Times New Roman" w:hAnsi="Times New Roman" w:cs="Times New Roman"/>
          <w:bCs/>
          <w:color w:val="000000"/>
          <w:sz w:val="24"/>
          <w:szCs w:val="24"/>
          <w:lang w:eastAsia="sk-SK"/>
        </w:rPr>
        <w:t xml:space="preserve"> </w:t>
      </w:r>
      <w:r w:rsidR="00334189">
        <w:rPr>
          <w:rFonts w:ascii="Times New Roman" w:eastAsia="Times New Roman" w:hAnsi="Times New Roman" w:cs="Times New Roman"/>
          <w:bCs/>
          <w:color w:val="000000"/>
          <w:sz w:val="24"/>
          <w:szCs w:val="24"/>
          <w:lang w:eastAsia="sk-SK"/>
        </w:rPr>
        <w:t>508.</w:t>
      </w:r>
      <w:r w:rsidR="00A077C2">
        <w:rPr>
          <w:rFonts w:ascii="Times New Roman" w:eastAsia="Times New Roman" w:hAnsi="Times New Roman" w:cs="Times New Roman"/>
          <w:bCs/>
          <w:color w:val="000000"/>
          <w:sz w:val="24"/>
          <w:szCs w:val="24"/>
          <w:lang w:eastAsia="sk-SK"/>
        </w:rPr>
        <w:t xml:space="preserve"> Náklady spojené s reguláciou súvisia so zmenou vnútorných procesov štandardnej veľkosti a jednorazovou frekvenciou plnenia (t.j. jednorazovým nastavením vnútorných procesov). </w:t>
      </w:r>
    </w:p>
    <w:p w14:paraId="36585623" w14:textId="2F1B8A4D" w:rsidR="005E7C70" w:rsidRPr="00824DB6" w:rsidRDefault="000C798D" w:rsidP="00E041D5">
      <w:pPr>
        <w:pStyle w:val="Odsekzoznamu"/>
        <w:keepNext/>
        <w:numPr>
          <w:ilvl w:val="0"/>
          <w:numId w:val="15"/>
        </w:numPr>
        <w:ind w:left="426" w:hanging="426"/>
        <w:jc w:val="both"/>
        <w:rPr>
          <w:rFonts w:ascii="Times New Roman" w:eastAsia="Calibri" w:hAnsi="Times New Roman" w:cs="Times New Roman"/>
          <w:bCs/>
          <w:i/>
          <w:iCs/>
          <w:color w:val="000000"/>
          <w:sz w:val="24"/>
          <w:szCs w:val="24"/>
        </w:rPr>
      </w:pPr>
      <w:r w:rsidRPr="000C798D">
        <w:rPr>
          <w:rFonts w:ascii="Times New Roman" w:eastAsia="Calibri" w:hAnsi="Times New Roman" w:cs="Times New Roman"/>
          <w:bCs/>
          <w:i/>
          <w:iCs/>
          <w:color w:val="000000"/>
          <w:sz w:val="24"/>
          <w:szCs w:val="24"/>
        </w:rPr>
        <w:t>Uplatňovanie zvýšenej starostlivosti pri cezhraničnom korešpondenčnom bankovníctve bez ohľadu na krajinu pôvodu partnerskej inštitúcie</w:t>
      </w:r>
    </w:p>
    <w:p w14:paraId="3ECA3F33" w14:textId="5E5D191C" w:rsidR="00D30C7C" w:rsidRDefault="000C798D" w:rsidP="00FF7123">
      <w:pPr>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Náklady spojené s uvedenou </w:t>
      </w:r>
      <w:r w:rsidR="00610BEB">
        <w:rPr>
          <w:rFonts w:ascii="Times New Roman" w:eastAsia="Times New Roman" w:hAnsi="Times New Roman" w:cs="Times New Roman"/>
          <w:bCs/>
          <w:color w:val="000000"/>
          <w:sz w:val="24"/>
          <w:szCs w:val="24"/>
          <w:lang w:eastAsia="sk-SK"/>
        </w:rPr>
        <w:t xml:space="preserve">reguláciou súvisia </w:t>
      </w:r>
      <w:r>
        <w:rPr>
          <w:rFonts w:ascii="Times New Roman" w:eastAsia="Times New Roman" w:hAnsi="Times New Roman" w:cs="Times New Roman"/>
          <w:bCs/>
          <w:color w:val="000000"/>
          <w:sz w:val="24"/>
          <w:szCs w:val="24"/>
          <w:lang w:eastAsia="sk-SK"/>
        </w:rPr>
        <w:t xml:space="preserve">s evidenciou a vedením záznamov </w:t>
      </w:r>
      <w:r w:rsidR="00610BEB">
        <w:rPr>
          <w:rFonts w:ascii="Times New Roman" w:eastAsia="Times New Roman" w:hAnsi="Times New Roman" w:cs="Times New Roman"/>
          <w:bCs/>
          <w:color w:val="000000"/>
          <w:sz w:val="24"/>
          <w:szCs w:val="24"/>
          <w:lang w:eastAsia="sk-SK"/>
        </w:rPr>
        <w:t>bankami a pobočkami zahraničných bánk</w:t>
      </w:r>
      <w:r w:rsidR="000A1386">
        <w:rPr>
          <w:rFonts w:ascii="Times New Roman" w:eastAsia="Times New Roman" w:hAnsi="Times New Roman" w:cs="Times New Roman"/>
          <w:bCs/>
          <w:color w:val="000000"/>
          <w:sz w:val="24"/>
          <w:szCs w:val="24"/>
          <w:lang w:eastAsia="sk-SK"/>
        </w:rPr>
        <w:t>, ktorých počet bol stanovený na 24, a to</w:t>
      </w:r>
      <w:r w:rsidR="00610BEB">
        <w:rPr>
          <w:rFonts w:ascii="Times New Roman" w:eastAsia="Times New Roman" w:hAnsi="Times New Roman" w:cs="Times New Roman"/>
          <w:bCs/>
          <w:color w:val="000000"/>
          <w:sz w:val="24"/>
          <w:szCs w:val="24"/>
          <w:lang w:eastAsia="sk-SK"/>
        </w:rPr>
        <w:t xml:space="preserve"> pri korešpondenčnom bankovníctve s partnerskou inštitúciou sídliacou v rámci EÚ/EHS a v tretích krajinách</w:t>
      </w:r>
      <w:r w:rsidR="00056204">
        <w:rPr>
          <w:rFonts w:ascii="Times New Roman" w:eastAsia="Times New Roman" w:hAnsi="Times New Roman" w:cs="Times New Roman"/>
          <w:bCs/>
          <w:color w:val="000000"/>
          <w:sz w:val="24"/>
          <w:szCs w:val="24"/>
          <w:lang w:eastAsia="sk-SK"/>
        </w:rPr>
        <w:t>. Náklady na evidenciu a vedenie záznamov sa odhadom stanovili v štandardnej veľkosti s frekvenciou revízie získ</w:t>
      </w:r>
      <w:r w:rsidR="003D6F43">
        <w:rPr>
          <w:rFonts w:ascii="Times New Roman" w:eastAsia="Times New Roman" w:hAnsi="Times New Roman" w:cs="Times New Roman"/>
          <w:bCs/>
          <w:color w:val="000000"/>
          <w:sz w:val="24"/>
          <w:szCs w:val="24"/>
          <w:lang w:eastAsia="sk-SK"/>
        </w:rPr>
        <w:t>aných informácií dvakrát ročne (viac informácií k uvedenej regulácii uvádzame v časti 3.1.4).</w:t>
      </w:r>
    </w:p>
    <w:p w14:paraId="7DED655D" w14:textId="79397185" w:rsidR="00137A05" w:rsidRPr="00146A15" w:rsidRDefault="007E4B98" w:rsidP="00146A15">
      <w:pPr>
        <w:ind w:left="426" w:hanging="426"/>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3</w:t>
      </w:r>
      <w:r w:rsidR="00146A15" w:rsidRPr="001C08DE">
        <w:rPr>
          <w:rFonts w:ascii="Times New Roman" w:eastAsia="Calibri" w:hAnsi="Times New Roman" w:cs="Times New Roman"/>
          <w:bCs/>
          <w:i/>
          <w:iCs/>
          <w:color w:val="000000"/>
          <w:sz w:val="24"/>
          <w:szCs w:val="24"/>
        </w:rPr>
        <w:t>.</w:t>
      </w:r>
      <w:r w:rsidR="00146A15">
        <w:rPr>
          <w:rFonts w:ascii="Times New Roman" w:eastAsia="Calibri" w:hAnsi="Times New Roman" w:cs="Times New Roman"/>
          <w:bCs/>
          <w:iCs/>
          <w:color w:val="000000"/>
          <w:sz w:val="24"/>
          <w:szCs w:val="24"/>
        </w:rPr>
        <w:t xml:space="preserve"> </w:t>
      </w:r>
      <w:r w:rsidR="00146A15" w:rsidRPr="00146A15">
        <w:rPr>
          <w:rFonts w:ascii="Times New Roman" w:eastAsia="Calibri" w:hAnsi="Times New Roman" w:cs="Times New Roman"/>
          <w:bCs/>
          <w:i/>
          <w:iCs/>
          <w:color w:val="000000"/>
          <w:sz w:val="24"/>
          <w:szCs w:val="24"/>
        </w:rPr>
        <w:t xml:space="preserve">Vyhotovenie písomného záznamu pri ukončení </w:t>
      </w:r>
      <w:r w:rsidR="006F0FDC">
        <w:rPr>
          <w:rFonts w:ascii="Times New Roman" w:eastAsia="Calibri" w:hAnsi="Times New Roman" w:cs="Times New Roman"/>
          <w:bCs/>
          <w:i/>
          <w:iCs/>
          <w:color w:val="000000"/>
          <w:sz w:val="24"/>
          <w:szCs w:val="24"/>
        </w:rPr>
        <w:t xml:space="preserve">obchodného vzťahu s partnerskou </w:t>
      </w:r>
      <w:r w:rsidR="00146A15" w:rsidRPr="00146A15">
        <w:rPr>
          <w:rFonts w:ascii="Times New Roman" w:eastAsia="Calibri" w:hAnsi="Times New Roman" w:cs="Times New Roman"/>
          <w:bCs/>
          <w:i/>
          <w:iCs/>
          <w:color w:val="000000"/>
          <w:sz w:val="24"/>
          <w:szCs w:val="24"/>
        </w:rPr>
        <w:t>inštitúciou</w:t>
      </w:r>
    </w:p>
    <w:p w14:paraId="21331657" w14:textId="0EEC4BB2" w:rsidR="00662A43" w:rsidRPr="00662A43" w:rsidRDefault="001F1390" w:rsidP="00662A43">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Návrh zákona ukladá novú povinnosť </w:t>
      </w:r>
      <w:r w:rsidR="005121E6">
        <w:rPr>
          <w:rFonts w:ascii="Times New Roman" w:eastAsia="Calibri" w:hAnsi="Times New Roman" w:cs="Times New Roman"/>
          <w:bCs/>
          <w:iCs/>
          <w:color w:val="000000"/>
          <w:sz w:val="24"/>
          <w:szCs w:val="24"/>
        </w:rPr>
        <w:t xml:space="preserve">pre poskytovateľov služieb </w:t>
      </w:r>
      <w:proofErr w:type="spellStart"/>
      <w:r w:rsidR="005121E6">
        <w:rPr>
          <w:rFonts w:ascii="Times New Roman" w:eastAsia="Calibri" w:hAnsi="Times New Roman" w:cs="Times New Roman"/>
          <w:bCs/>
          <w:iCs/>
          <w:color w:val="000000"/>
          <w:sz w:val="24"/>
          <w:szCs w:val="24"/>
        </w:rPr>
        <w:t>kryptoaktív</w:t>
      </w:r>
      <w:proofErr w:type="spellEnd"/>
      <w:r w:rsidR="005121E6">
        <w:rPr>
          <w:rFonts w:ascii="Times New Roman" w:eastAsia="Calibri" w:hAnsi="Times New Roman" w:cs="Times New Roman"/>
          <w:bCs/>
          <w:iCs/>
          <w:color w:val="000000"/>
          <w:sz w:val="24"/>
          <w:szCs w:val="24"/>
        </w:rPr>
        <w:t xml:space="preserve">, a to </w:t>
      </w:r>
      <w:r>
        <w:rPr>
          <w:rFonts w:ascii="Times New Roman" w:eastAsia="Calibri" w:hAnsi="Times New Roman" w:cs="Times New Roman"/>
          <w:bCs/>
          <w:iCs/>
          <w:color w:val="000000"/>
          <w:sz w:val="24"/>
          <w:szCs w:val="24"/>
        </w:rPr>
        <w:t>vyhotoviť písomný záznam v</w:t>
      </w:r>
      <w:r w:rsidR="004C47C0">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prípade</w:t>
      </w:r>
      <w:r w:rsidR="004C47C0">
        <w:rPr>
          <w:rFonts w:ascii="Times New Roman" w:eastAsia="Calibri" w:hAnsi="Times New Roman" w:cs="Times New Roman"/>
          <w:bCs/>
          <w:iCs/>
          <w:color w:val="000000"/>
          <w:sz w:val="24"/>
          <w:szCs w:val="24"/>
        </w:rPr>
        <w:t>, ak ukončia</w:t>
      </w:r>
      <w:r>
        <w:rPr>
          <w:rFonts w:ascii="Times New Roman" w:eastAsia="Calibri" w:hAnsi="Times New Roman" w:cs="Times New Roman"/>
          <w:bCs/>
          <w:iCs/>
          <w:color w:val="000000"/>
          <w:sz w:val="24"/>
          <w:szCs w:val="24"/>
        </w:rPr>
        <w:t xml:space="preserve"> </w:t>
      </w:r>
      <w:r w:rsidR="004C47C0">
        <w:rPr>
          <w:rFonts w:ascii="Times New Roman" w:eastAsia="Calibri" w:hAnsi="Times New Roman" w:cs="Times New Roman"/>
          <w:bCs/>
          <w:iCs/>
          <w:color w:val="000000"/>
          <w:sz w:val="24"/>
          <w:szCs w:val="24"/>
        </w:rPr>
        <w:t>korešpondenčný</w:t>
      </w:r>
      <w:r w:rsidR="005121E6">
        <w:rPr>
          <w:rFonts w:ascii="Times New Roman" w:eastAsia="Calibri" w:hAnsi="Times New Roman" w:cs="Times New Roman"/>
          <w:bCs/>
          <w:iCs/>
          <w:color w:val="000000"/>
          <w:sz w:val="24"/>
          <w:szCs w:val="24"/>
        </w:rPr>
        <w:t xml:space="preserve"> vzťa</w:t>
      </w:r>
      <w:r w:rsidR="004C47C0">
        <w:rPr>
          <w:rFonts w:ascii="Times New Roman" w:eastAsia="Calibri" w:hAnsi="Times New Roman" w:cs="Times New Roman"/>
          <w:bCs/>
          <w:iCs/>
          <w:color w:val="000000"/>
          <w:sz w:val="24"/>
          <w:szCs w:val="24"/>
        </w:rPr>
        <w:t>h</w:t>
      </w:r>
      <w:r w:rsidR="005121E6">
        <w:rPr>
          <w:rFonts w:ascii="Times New Roman" w:eastAsia="Calibri" w:hAnsi="Times New Roman" w:cs="Times New Roman"/>
          <w:bCs/>
          <w:iCs/>
          <w:color w:val="000000"/>
          <w:sz w:val="24"/>
          <w:szCs w:val="24"/>
        </w:rPr>
        <w:t xml:space="preserve"> s partnerskou inštitúciou, ako </w:t>
      </w:r>
      <w:r w:rsidR="005121E6">
        <w:rPr>
          <w:rFonts w:ascii="Times New Roman" w:eastAsia="Calibri" w:hAnsi="Times New Roman" w:cs="Times New Roman"/>
          <w:bCs/>
          <w:iCs/>
          <w:color w:val="000000"/>
          <w:sz w:val="24"/>
          <w:szCs w:val="24"/>
        </w:rPr>
        <w:lastRenderedPageBreak/>
        <w:t>výsledok opatrenia na zmiernenie rizík.</w:t>
      </w:r>
      <w:r w:rsidR="007D6160">
        <w:rPr>
          <w:rFonts w:ascii="Times New Roman" w:eastAsia="Calibri" w:hAnsi="Times New Roman" w:cs="Times New Roman"/>
          <w:bCs/>
          <w:iCs/>
          <w:color w:val="000000"/>
          <w:sz w:val="24"/>
          <w:szCs w:val="24"/>
        </w:rPr>
        <w:t xml:space="preserve"> </w:t>
      </w:r>
      <w:r w:rsidR="00662A43" w:rsidRPr="00662A43">
        <w:rPr>
          <w:rFonts w:ascii="Times New Roman" w:eastAsia="Calibri" w:hAnsi="Times New Roman" w:cs="Times New Roman"/>
          <w:bCs/>
          <w:iCs/>
          <w:color w:val="000000"/>
          <w:sz w:val="24"/>
          <w:szCs w:val="24"/>
        </w:rPr>
        <w:t xml:space="preserve">Výpočet vplyvu uvedenej regulácie na poskytovateľov služieb </w:t>
      </w:r>
      <w:proofErr w:type="spellStart"/>
      <w:r w:rsidR="00662A43" w:rsidRPr="00662A43">
        <w:rPr>
          <w:rFonts w:ascii="Times New Roman" w:eastAsia="Calibri" w:hAnsi="Times New Roman" w:cs="Times New Roman"/>
          <w:bCs/>
          <w:iCs/>
          <w:color w:val="000000"/>
          <w:sz w:val="24"/>
          <w:szCs w:val="24"/>
        </w:rPr>
        <w:t>kryptoaktív</w:t>
      </w:r>
      <w:proofErr w:type="spellEnd"/>
      <w:r w:rsidR="001F4E53">
        <w:rPr>
          <w:rFonts w:ascii="Times New Roman" w:eastAsia="Calibri" w:hAnsi="Times New Roman" w:cs="Times New Roman"/>
          <w:bCs/>
          <w:iCs/>
          <w:color w:val="000000"/>
          <w:sz w:val="24"/>
          <w:szCs w:val="24"/>
        </w:rPr>
        <w:t xml:space="preserve"> bol stanovený ako vypracovanie dokume</w:t>
      </w:r>
      <w:r w:rsidR="00EF3B91">
        <w:rPr>
          <w:rFonts w:ascii="Times New Roman" w:eastAsia="Calibri" w:hAnsi="Times New Roman" w:cs="Times New Roman"/>
          <w:bCs/>
          <w:iCs/>
          <w:color w:val="000000"/>
          <w:sz w:val="24"/>
          <w:szCs w:val="24"/>
        </w:rPr>
        <w:t>ntu, veľkosť povinnosti bola</w:t>
      </w:r>
      <w:r w:rsidR="001F4E53">
        <w:rPr>
          <w:rFonts w:ascii="Times New Roman" w:eastAsia="Calibri" w:hAnsi="Times New Roman" w:cs="Times New Roman"/>
          <w:bCs/>
          <w:iCs/>
          <w:color w:val="000000"/>
          <w:sz w:val="24"/>
          <w:szCs w:val="24"/>
        </w:rPr>
        <w:t xml:space="preserve"> odhadom stanovená ako malá</w:t>
      </w:r>
      <w:r w:rsidR="00EF3B91">
        <w:rPr>
          <w:rFonts w:ascii="Times New Roman" w:eastAsia="Calibri" w:hAnsi="Times New Roman" w:cs="Times New Roman"/>
          <w:bCs/>
          <w:iCs/>
          <w:color w:val="000000"/>
          <w:sz w:val="24"/>
          <w:szCs w:val="24"/>
        </w:rPr>
        <w:t>,</w:t>
      </w:r>
      <w:r w:rsidR="001F4E53">
        <w:rPr>
          <w:rFonts w:ascii="Times New Roman" w:eastAsia="Calibri" w:hAnsi="Times New Roman" w:cs="Times New Roman"/>
          <w:bCs/>
          <w:iCs/>
          <w:color w:val="000000"/>
          <w:sz w:val="24"/>
          <w:szCs w:val="24"/>
        </w:rPr>
        <w:t xml:space="preserve"> s frekvenciou plnenia nepravidelne. Údaje</w:t>
      </w:r>
      <w:r w:rsidR="00662A43" w:rsidRPr="00662A43">
        <w:rPr>
          <w:rFonts w:ascii="Times New Roman" w:eastAsia="Calibri" w:hAnsi="Times New Roman" w:cs="Times New Roman"/>
          <w:bCs/>
          <w:iCs/>
          <w:color w:val="000000"/>
          <w:sz w:val="24"/>
          <w:szCs w:val="24"/>
        </w:rPr>
        <w:t xml:space="preserve"> o počte dotknutých subjektov </w:t>
      </w:r>
      <w:r w:rsidR="001F4E53">
        <w:rPr>
          <w:rFonts w:ascii="Times New Roman" w:eastAsia="Calibri" w:hAnsi="Times New Roman" w:cs="Times New Roman"/>
          <w:bCs/>
          <w:iCs/>
          <w:color w:val="000000"/>
          <w:sz w:val="24"/>
          <w:szCs w:val="24"/>
        </w:rPr>
        <w:t>boli poskytnuté</w:t>
      </w:r>
      <w:r w:rsidR="00662A43" w:rsidRPr="00662A43">
        <w:rPr>
          <w:rFonts w:ascii="Times New Roman" w:eastAsia="Calibri" w:hAnsi="Times New Roman" w:cs="Times New Roman"/>
          <w:bCs/>
          <w:iCs/>
          <w:color w:val="000000"/>
          <w:sz w:val="24"/>
          <w:szCs w:val="24"/>
        </w:rPr>
        <w:t xml:space="preserve"> odborom živnostenského podnikania MV SR a to konkrétne</w:t>
      </w:r>
      <w:r w:rsidR="00662A43">
        <w:rPr>
          <w:rFonts w:ascii="Times New Roman" w:eastAsia="Calibri" w:hAnsi="Times New Roman" w:cs="Times New Roman"/>
          <w:bCs/>
          <w:iCs/>
          <w:color w:val="000000"/>
          <w:sz w:val="24"/>
          <w:szCs w:val="24"/>
        </w:rPr>
        <w:t xml:space="preserve">: </w:t>
      </w:r>
      <w:r w:rsidR="00662A43" w:rsidRPr="00662A43">
        <w:rPr>
          <w:rFonts w:ascii="Times New Roman" w:eastAsia="Calibri" w:hAnsi="Times New Roman" w:cs="Times New Roman"/>
          <w:bCs/>
          <w:iCs/>
          <w:color w:val="000000"/>
          <w:sz w:val="24"/>
          <w:szCs w:val="24"/>
        </w:rPr>
        <w:t>poskytovatelia služieb peňaženky virtuálnej meny - 572, poskytovatelia služieb zmenárne virtuálnej meny – 508.</w:t>
      </w:r>
      <w:r w:rsidR="001F4E53">
        <w:rPr>
          <w:rFonts w:ascii="Times New Roman" w:eastAsia="Calibri" w:hAnsi="Times New Roman" w:cs="Times New Roman"/>
          <w:bCs/>
          <w:iCs/>
          <w:color w:val="000000"/>
          <w:sz w:val="24"/>
          <w:szCs w:val="24"/>
        </w:rPr>
        <w:t xml:space="preserve"> Náklady spojené s uvedenou reguláciou </w:t>
      </w:r>
    </w:p>
    <w:p w14:paraId="48D6BA38" w14:textId="7877A648" w:rsidR="00662A43" w:rsidRDefault="00662A43" w:rsidP="00D30C7C">
      <w:pPr>
        <w:jc w:val="both"/>
        <w:rPr>
          <w:rFonts w:ascii="Times New Roman" w:eastAsia="Calibri" w:hAnsi="Times New Roman" w:cs="Times New Roman"/>
          <w:bCs/>
          <w:iCs/>
          <w:color w:val="000000"/>
          <w:sz w:val="24"/>
          <w:szCs w:val="24"/>
        </w:rPr>
      </w:pPr>
    </w:p>
    <w:p w14:paraId="0EB298DB" w14:textId="77777777" w:rsidR="00512BA7" w:rsidRPr="001F1B43" w:rsidRDefault="00511F8F" w:rsidP="00B70F2E">
      <w:pPr>
        <w:keepNext/>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76370B" w:rsidRDefault="000C5419" w:rsidP="00B70F2E">
      <w:pPr>
        <w:keepNext/>
        <w:jc w:val="both"/>
        <w:rPr>
          <w:rFonts w:ascii="Times New Roman" w:eastAsia="Calibri" w:hAnsi="Times New Roman" w:cs="Times New Roman"/>
          <w:bCs/>
          <w:i/>
          <w:iCs/>
          <w:color w:val="000000"/>
          <w:sz w:val="20"/>
          <w:szCs w:val="20"/>
        </w:rPr>
      </w:pPr>
      <w:r w:rsidRPr="0076370B">
        <w:rPr>
          <w:rFonts w:ascii="Times New Roman" w:eastAsia="Calibri" w:hAnsi="Times New Roman" w:cs="Times New Roman"/>
          <w:bCs/>
          <w:i/>
          <w:iCs/>
          <w:color w:val="000000"/>
          <w:sz w:val="20"/>
          <w:szCs w:val="20"/>
        </w:rPr>
        <w:t xml:space="preserve">Požadované informácie </w:t>
      </w:r>
      <w:r w:rsidR="00F153D7" w:rsidRPr="0076370B">
        <w:rPr>
          <w:rFonts w:ascii="Times New Roman" w:eastAsia="Calibri" w:hAnsi="Times New Roman" w:cs="Times New Roman"/>
          <w:bCs/>
          <w:i/>
          <w:iCs/>
          <w:color w:val="000000"/>
          <w:sz w:val="20"/>
          <w:szCs w:val="20"/>
        </w:rPr>
        <w:t>uveďte</w:t>
      </w:r>
      <w:r w:rsidRPr="0076370B">
        <w:rPr>
          <w:rFonts w:ascii="Times New Roman" w:eastAsia="Calibri" w:hAnsi="Times New Roman" w:cs="Times New Roman"/>
          <w:bCs/>
          <w:i/>
          <w:iCs/>
          <w:color w:val="000000"/>
          <w:sz w:val="20"/>
          <w:szCs w:val="20"/>
        </w:rPr>
        <w:t xml:space="preserve"> osobitne ku každému identifikovanému </w:t>
      </w:r>
      <w:proofErr w:type="spellStart"/>
      <w:r w:rsidRPr="0076370B">
        <w:rPr>
          <w:rFonts w:ascii="Times New Roman" w:eastAsia="Calibri" w:hAnsi="Times New Roman" w:cs="Times New Roman"/>
          <w:bCs/>
          <w:i/>
          <w:iCs/>
          <w:color w:val="000000"/>
          <w:sz w:val="20"/>
          <w:szCs w:val="20"/>
        </w:rPr>
        <w:t>goldplatingu</w:t>
      </w:r>
      <w:proofErr w:type="spellEnd"/>
      <w:r w:rsidRPr="0076370B">
        <w:rPr>
          <w:rFonts w:ascii="Times New Roman" w:eastAsia="Calibri" w:hAnsi="Times New Roman" w:cs="Times New Roman"/>
          <w:bCs/>
          <w:i/>
          <w:iCs/>
          <w:color w:val="000000"/>
          <w:sz w:val="20"/>
          <w:szCs w:val="20"/>
        </w:rPr>
        <w:t xml:space="preserve"> (ku každej hodnotenej regulácii s </w:t>
      </w:r>
      <w:proofErr w:type="spellStart"/>
      <w:r w:rsidRPr="0076370B">
        <w:rPr>
          <w:rFonts w:ascii="Times New Roman" w:eastAsia="Calibri" w:hAnsi="Times New Roman" w:cs="Times New Roman"/>
          <w:bCs/>
          <w:i/>
          <w:iCs/>
          <w:color w:val="000000"/>
          <w:sz w:val="20"/>
          <w:szCs w:val="20"/>
        </w:rPr>
        <w:t>goldplatingom</w:t>
      </w:r>
      <w:proofErr w:type="spellEnd"/>
      <w:r w:rsidRPr="0076370B">
        <w:rPr>
          <w:rFonts w:ascii="Times New Roman" w:eastAsia="Calibri" w:hAnsi="Times New Roman" w:cs="Times New Roman"/>
          <w:bCs/>
          <w:i/>
          <w:iCs/>
          <w:color w:val="000000"/>
          <w:sz w:val="20"/>
          <w:szCs w:val="20"/>
        </w:rPr>
        <w:t xml:space="preserve"> osobitne). </w:t>
      </w:r>
    </w:p>
    <w:p w14:paraId="0A0E8534" w14:textId="77777777" w:rsidR="0016512E" w:rsidRPr="0076370B" w:rsidRDefault="0016512E" w:rsidP="0016512E">
      <w:pPr>
        <w:jc w:val="both"/>
        <w:rPr>
          <w:rFonts w:ascii="Times New Roman" w:eastAsia="Calibri" w:hAnsi="Times New Roman" w:cs="Times New Roman"/>
          <w:bCs/>
          <w:i/>
          <w:iCs/>
          <w:color w:val="000000"/>
          <w:sz w:val="20"/>
          <w:szCs w:val="20"/>
        </w:rPr>
      </w:pPr>
      <w:r w:rsidRPr="0076370B">
        <w:rPr>
          <w:rFonts w:ascii="Times New Roman" w:eastAsia="Calibri" w:hAnsi="Times New Roman" w:cs="Times New Roman"/>
          <w:bCs/>
          <w:i/>
          <w:iCs/>
          <w:color w:val="000000"/>
          <w:sz w:val="20"/>
          <w:szCs w:val="20"/>
        </w:rPr>
        <w:t>Uveďte</w:t>
      </w:r>
      <w:r w:rsidR="004239D1" w:rsidRPr="0076370B">
        <w:rPr>
          <w:rFonts w:ascii="Times New Roman" w:eastAsia="Calibri" w:hAnsi="Times New Roman" w:cs="Times New Roman"/>
          <w:bCs/>
          <w:i/>
          <w:iCs/>
          <w:color w:val="000000"/>
          <w:sz w:val="20"/>
          <w:szCs w:val="20"/>
        </w:rPr>
        <w:t xml:space="preserve"> odôvodnenie </w:t>
      </w:r>
      <w:proofErr w:type="spellStart"/>
      <w:r w:rsidR="004239D1" w:rsidRPr="0076370B">
        <w:rPr>
          <w:rFonts w:ascii="Times New Roman" w:eastAsia="Calibri" w:hAnsi="Times New Roman" w:cs="Times New Roman"/>
          <w:bCs/>
          <w:i/>
          <w:iCs/>
          <w:color w:val="000000"/>
          <w:sz w:val="20"/>
          <w:szCs w:val="20"/>
        </w:rPr>
        <w:t>goldplatingu</w:t>
      </w:r>
      <w:proofErr w:type="spellEnd"/>
      <w:r w:rsidR="004239D1" w:rsidRPr="0076370B">
        <w:rPr>
          <w:rFonts w:ascii="Times New Roman" w:eastAsia="Calibri" w:hAnsi="Times New Roman" w:cs="Times New Roman"/>
          <w:bCs/>
          <w:i/>
          <w:iCs/>
          <w:color w:val="000000"/>
          <w:sz w:val="20"/>
          <w:szCs w:val="20"/>
        </w:rPr>
        <w:t xml:space="preserve"> z hľadiska jeho nespochybniteľnej nevyhnutnosti.</w:t>
      </w:r>
      <w:r w:rsidRPr="0076370B">
        <w:rPr>
          <w:rFonts w:ascii="Times New Roman" w:eastAsia="Calibri" w:hAnsi="Times New Roman" w:cs="Times New Roman"/>
          <w:bCs/>
          <w:i/>
          <w:iCs/>
          <w:color w:val="000000"/>
          <w:sz w:val="20"/>
          <w:szCs w:val="20"/>
        </w:rPr>
        <w:t xml:space="preserve"> Odôvodnenie doložte dôkladným hodnotením prínosov a</w:t>
      </w:r>
      <w:r w:rsidR="005D39D8" w:rsidRPr="0076370B">
        <w:rPr>
          <w:rFonts w:ascii="Times New Roman" w:eastAsia="Calibri" w:hAnsi="Times New Roman" w:cs="Times New Roman"/>
          <w:bCs/>
          <w:i/>
          <w:iCs/>
          <w:color w:val="000000"/>
          <w:sz w:val="20"/>
          <w:szCs w:val="20"/>
        </w:rPr>
        <w:t> </w:t>
      </w:r>
      <w:r w:rsidRPr="0076370B">
        <w:rPr>
          <w:rFonts w:ascii="Times New Roman" w:eastAsia="Calibri" w:hAnsi="Times New Roman" w:cs="Times New Roman"/>
          <w:bCs/>
          <w:i/>
          <w:iCs/>
          <w:color w:val="000000"/>
          <w:sz w:val="20"/>
          <w:szCs w:val="20"/>
        </w:rPr>
        <w:t>nákladov</w:t>
      </w:r>
      <w:r w:rsidR="005D39D8" w:rsidRPr="0076370B">
        <w:rPr>
          <w:rFonts w:ascii="Times New Roman" w:eastAsia="Calibri" w:hAnsi="Times New Roman" w:cs="Times New Roman"/>
          <w:bCs/>
          <w:i/>
          <w:iCs/>
          <w:color w:val="000000"/>
          <w:sz w:val="20"/>
          <w:szCs w:val="20"/>
        </w:rPr>
        <w:t>. Uveďte zvážené alternatívne riešenia.</w:t>
      </w:r>
      <w:r w:rsidRPr="0076370B">
        <w:rPr>
          <w:rFonts w:ascii="Times New Roman" w:eastAsia="Calibri" w:hAnsi="Times New Roman" w:cs="Times New Roman"/>
          <w:bCs/>
          <w:i/>
          <w:iCs/>
          <w:color w:val="000000"/>
          <w:sz w:val="20"/>
          <w:szCs w:val="20"/>
        </w:rPr>
        <w:t>.</w:t>
      </w:r>
    </w:p>
    <w:p w14:paraId="6A18C579" w14:textId="0633763E" w:rsidR="000C5419" w:rsidRPr="0076370B" w:rsidRDefault="00990813" w:rsidP="000C5419">
      <w:pPr>
        <w:jc w:val="both"/>
        <w:rPr>
          <w:rFonts w:ascii="Times New Roman" w:eastAsia="Calibri" w:hAnsi="Times New Roman" w:cs="Times New Roman"/>
          <w:bCs/>
          <w:i/>
          <w:iCs/>
          <w:color w:val="000000"/>
          <w:sz w:val="20"/>
          <w:szCs w:val="20"/>
        </w:rPr>
      </w:pPr>
      <w:r w:rsidRPr="0076370B">
        <w:rPr>
          <w:rFonts w:ascii="Times New Roman" w:eastAsia="Calibri" w:hAnsi="Times New Roman" w:cs="Times New Roman"/>
          <w:bCs/>
          <w:i/>
          <w:iCs/>
          <w:color w:val="000000"/>
          <w:sz w:val="20"/>
          <w:szCs w:val="20"/>
        </w:rPr>
        <w:t xml:space="preserve">Zároveň </w:t>
      </w:r>
      <w:r w:rsidR="00D5309D" w:rsidRPr="0076370B">
        <w:rPr>
          <w:rFonts w:ascii="Times New Roman" w:eastAsia="Calibri" w:hAnsi="Times New Roman" w:cs="Times New Roman"/>
          <w:bCs/>
          <w:i/>
          <w:iCs/>
          <w:color w:val="000000"/>
          <w:sz w:val="20"/>
          <w:szCs w:val="20"/>
        </w:rPr>
        <w:t>uveďte</w:t>
      </w:r>
      <w:r w:rsidR="000C5419" w:rsidRPr="0076370B">
        <w:rPr>
          <w:rFonts w:ascii="Times New Roman" w:eastAsia="Calibri" w:hAnsi="Times New Roman" w:cs="Times New Roman"/>
          <w:bCs/>
          <w:i/>
          <w:iCs/>
          <w:color w:val="000000"/>
          <w:sz w:val="20"/>
          <w:szCs w:val="20"/>
        </w:rPr>
        <w:t xml:space="preserve"> konkrétne informácie súvisiace s </w:t>
      </w:r>
      <w:r w:rsidRPr="0076370B">
        <w:rPr>
          <w:rFonts w:ascii="Times New Roman" w:eastAsia="Calibri" w:hAnsi="Times New Roman" w:cs="Times New Roman"/>
          <w:bCs/>
          <w:i/>
          <w:iCs/>
          <w:color w:val="000000"/>
          <w:sz w:val="20"/>
          <w:szCs w:val="20"/>
        </w:rPr>
        <w:t xml:space="preserve">kategóriou </w:t>
      </w:r>
      <w:proofErr w:type="spellStart"/>
      <w:r w:rsidR="000C5419" w:rsidRPr="0076370B">
        <w:rPr>
          <w:rFonts w:ascii="Times New Roman" w:eastAsia="Calibri" w:hAnsi="Times New Roman" w:cs="Times New Roman"/>
          <w:bCs/>
          <w:i/>
          <w:iCs/>
          <w:color w:val="000000"/>
          <w:sz w:val="20"/>
          <w:szCs w:val="20"/>
        </w:rPr>
        <w:t>goldplatingu</w:t>
      </w:r>
      <w:proofErr w:type="spellEnd"/>
      <w:r w:rsidRPr="0076370B">
        <w:rPr>
          <w:rFonts w:ascii="Times New Roman" w:eastAsia="Calibri" w:hAnsi="Times New Roman" w:cs="Times New Roman"/>
          <w:bCs/>
          <w:i/>
          <w:iCs/>
          <w:color w:val="000000"/>
          <w:sz w:val="20"/>
          <w:szCs w:val="20"/>
        </w:rPr>
        <w:t xml:space="preserve"> podľa </w:t>
      </w:r>
      <w:r w:rsidR="00D114ED" w:rsidRPr="0076370B">
        <w:rPr>
          <w:rFonts w:ascii="Times New Roman" w:eastAsia="Calibri" w:hAnsi="Times New Roman" w:cs="Times New Roman"/>
          <w:bCs/>
          <w:i/>
          <w:iCs/>
          <w:color w:val="000000"/>
          <w:sz w:val="20"/>
          <w:szCs w:val="20"/>
        </w:rPr>
        <w:t>jednotnej metodiky</w:t>
      </w:r>
      <w:r w:rsidR="000C5419" w:rsidRPr="0076370B">
        <w:rPr>
          <w:rFonts w:ascii="Times New Roman" w:eastAsia="Calibri" w:hAnsi="Times New Roman" w:cs="Times New Roman"/>
          <w:bCs/>
          <w:i/>
          <w:iCs/>
          <w:color w:val="000000"/>
          <w:sz w:val="20"/>
          <w:szCs w:val="20"/>
        </w:rPr>
        <w:t xml:space="preserve">, najmä: na aké subjekty sa nad rámec navrhuje rozšíriť pôsobnosť smernice a z akého dôvodu; aké požiadavky sa </w:t>
      </w:r>
      <w:proofErr w:type="spellStart"/>
      <w:r w:rsidR="000C5419" w:rsidRPr="0076370B">
        <w:rPr>
          <w:rFonts w:ascii="Times New Roman" w:eastAsia="Calibri" w:hAnsi="Times New Roman" w:cs="Times New Roman"/>
          <w:bCs/>
          <w:i/>
          <w:iCs/>
          <w:color w:val="000000"/>
          <w:sz w:val="20"/>
          <w:szCs w:val="20"/>
        </w:rPr>
        <w:t>navyšujú</w:t>
      </w:r>
      <w:proofErr w:type="spellEnd"/>
      <w:r w:rsidR="000C5419" w:rsidRPr="0076370B">
        <w:rPr>
          <w:rFonts w:ascii="Times New Roman" w:eastAsia="Calibri" w:hAnsi="Times New Roman" w:cs="Times New Roman"/>
          <w:bCs/>
          <w:i/>
          <w:iCs/>
          <w:color w:val="000000"/>
          <w:sz w:val="20"/>
          <w:szCs w:val="20"/>
        </w:rPr>
        <w:t xml:space="preserve">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0A84FDA0" w14:textId="086A2A48" w:rsidR="00594ADD" w:rsidRDefault="00D114ED" w:rsidP="00054C41">
      <w:pPr>
        <w:jc w:val="both"/>
        <w:rPr>
          <w:rFonts w:ascii="Times New Roman" w:eastAsia="Calibri" w:hAnsi="Times New Roman" w:cs="Times New Roman"/>
          <w:b/>
          <w:sz w:val="24"/>
          <w:szCs w:val="24"/>
        </w:rPr>
      </w:pPr>
      <w:r w:rsidRPr="0076370B">
        <w:rPr>
          <w:rFonts w:ascii="Times New Roman" w:eastAsia="Calibri" w:hAnsi="Times New Roman" w:cs="Times New Roman"/>
          <w:bCs/>
          <w:i/>
          <w:iCs/>
          <w:sz w:val="20"/>
          <w:szCs w:val="20"/>
        </w:rPr>
        <w:t xml:space="preserve">Využitie </w:t>
      </w:r>
      <w:proofErr w:type="spellStart"/>
      <w:r w:rsidRPr="0076370B">
        <w:rPr>
          <w:rFonts w:ascii="Times New Roman" w:eastAsia="Calibri" w:hAnsi="Times New Roman" w:cs="Times New Roman"/>
          <w:bCs/>
          <w:i/>
          <w:iCs/>
          <w:sz w:val="20"/>
          <w:szCs w:val="20"/>
        </w:rPr>
        <w:t>goldplatingu</w:t>
      </w:r>
      <w:proofErr w:type="spellEnd"/>
      <w:r w:rsidRPr="0076370B">
        <w:rPr>
          <w:rFonts w:ascii="Times New Roman" w:eastAsia="Calibri" w:hAnsi="Times New Roman" w:cs="Times New Roman"/>
          <w:bCs/>
          <w:i/>
          <w:iCs/>
          <w:sz w:val="20"/>
          <w:szCs w:val="20"/>
        </w:rPr>
        <w:t xml:space="preserve"> pri transpozícii alebo implementácii legislatívy EÚ je v zásade </w:t>
      </w:r>
      <w:proofErr w:type="spellStart"/>
      <w:r w:rsidRPr="0076370B">
        <w:rPr>
          <w:rFonts w:ascii="Times New Roman" w:eastAsia="Calibri" w:hAnsi="Times New Roman" w:cs="Times New Roman"/>
          <w:bCs/>
          <w:i/>
          <w:iCs/>
          <w:sz w:val="20"/>
          <w:szCs w:val="20"/>
        </w:rPr>
        <w:t>nežiadúce</w:t>
      </w:r>
      <w:proofErr w:type="spellEnd"/>
      <w:r w:rsidRPr="0076370B">
        <w:rPr>
          <w:rFonts w:ascii="Times New Roman" w:eastAsia="Calibri" w:hAnsi="Times New Roman" w:cs="Times New Roman"/>
          <w:bCs/>
          <w:i/>
          <w:iCs/>
          <w:sz w:val="20"/>
          <w:szCs w:val="20"/>
        </w:rPr>
        <w:t xml:space="preserve">, keďže takýto postup môže viesť k zníženiu konkurencieschopnosti domácich podnikov v porovnaní s podnikmi z krajín, kde právne predpisy nie sú natoľko prísne. Využitie </w:t>
      </w:r>
      <w:proofErr w:type="spellStart"/>
      <w:r w:rsidRPr="0076370B">
        <w:rPr>
          <w:rFonts w:ascii="Times New Roman" w:eastAsia="Calibri" w:hAnsi="Times New Roman" w:cs="Times New Roman"/>
          <w:bCs/>
          <w:i/>
          <w:iCs/>
          <w:sz w:val="20"/>
          <w:szCs w:val="20"/>
        </w:rPr>
        <w:t>goldplatingu</w:t>
      </w:r>
      <w:proofErr w:type="spellEnd"/>
      <w:r w:rsidRPr="0076370B">
        <w:rPr>
          <w:rFonts w:ascii="Times New Roman" w:eastAsia="Calibri" w:hAnsi="Times New Roman" w:cs="Times New Roman"/>
          <w:bCs/>
          <w:i/>
          <w:iCs/>
          <w:sz w:val="20"/>
          <w:szCs w:val="20"/>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7711CE2C" w14:textId="77777777" w:rsidR="00861F39" w:rsidRDefault="00594ADD" w:rsidP="00237CF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návrhu zákona bol </w:t>
      </w:r>
      <w:proofErr w:type="spellStart"/>
      <w:r>
        <w:rPr>
          <w:rFonts w:ascii="Times New Roman" w:eastAsia="Calibri" w:hAnsi="Times New Roman" w:cs="Times New Roman"/>
          <w:sz w:val="24"/>
          <w:szCs w:val="24"/>
        </w:rPr>
        <w:t>goldplating</w:t>
      </w:r>
      <w:proofErr w:type="spellEnd"/>
      <w:r>
        <w:rPr>
          <w:rFonts w:ascii="Times New Roman" w:eastAsia="Calibri" w:hAnsi="Times New Roman" w:cs="Times New Roman"/>
          <w:sz w:val="24"/>
          <w:szCs w:val="24"/>
        </w:rPr>
        <w:t xml:space="preserve"> identifikovaný v dvoch prípadoch. </w:t>
      </w:r>
    </w:p>
    <w:p w14:paraId="2D05F7A4" w14:textId="69A3CBDF" w:rsidR="003D6F43" w:rsidRDefault="00594ADD" w:rsidP="00237CF5">
      <w:pPr>
        <w:jc w:val="both"/>
        <w:rPr>
          <w:rFonts w:ascii="Times New Roman" w:eastAsia="Calibri" w:hAnsi="Times New Roman" w:cs="Times New Roman"/>
          <w:sz w:val="24"/>
          <w:szCs w:val="24"/>
        </w:rPr>
      </w:pPr>
      <w:r>
        <w:rPr>
          <w:rFonts w:ascii="Times New Roman" w:eastAsia="Calibri" w:hAnsi="Times New Roman" w:cs="Times New Roman"/>
          <w:sz w:val="24"/>
          <w:szCs w:val="24"/>
        </w:rPr>
        <w:t>Prvý prípad</w:t>
      </w:r>
      <w:r w:rsidR="00BB268F">
        <w:rPr>
          <w:rFonts w:ascii="Times New Roman" w:eastAsia="Calibri" w:hAnsi="Times New Roman" w:cs="Times New Roman"/>
          <w:sz w:val="24"/>
          <w:szCs w:val="24"/>
        </w:rPr>
        <w:t xml:space="preserve"> je rozšírením rozsahu pôsobnosti smernice na subjekty nad rámec</w:t>
      </w:r>
      <w:r w:rsidR="006D0352">
        <w:rPr>
          <w:rFonts w:ascii="Times New Roman" w:eastAsia="Calibri" w:hAnsi="Times New Roman" w:cs="Times New Roman"/>
          <w:sz w:val="24"/>
          <w:szCs w:val="24"/>
        </w:rPr>
        <w:t xml:space="preserve"> minim</w:t>
      </w:r>
      <w:r w:rsidR="00BB268F">
        <w:rPr>
          <w:rFonts w:ascii="Times New Roman" w:eastAsia="Calibri" w:hAnsi="Times New Roman" w:cs="Times New Roman"/>
          <w:sz w:val="24"/>
          <w:szCs w:val="24"/>
        </w:rPr>
        <w:t>álnych požiadaviek smernice EÚ a </w:t>
      </w:r>
      <w:r>
        <w:rPr>
          <w:rFonts w:ascii="Times New Roman" w:eastAsia="Calibri" w:hAnsi="Times New Roman" w:cs="Times New Roman"/>
          <w:sz w:val="24"/>
          <w:szCs w:val="24"/>
        </w:rPr>
        <w:t>týka</w:t>
      </w:r>
      <w:r w:rsidR="00BB268F">
        <w:rPr>
          <w:rFonts w:ascii="Times New Roman" w:eastAsia="Calibri" w:hAnsi="Times New Roman" w:cs="Times New Roman"/>
          <w:sz w:val="24"/>
          <w:szCs w:val="24"/>
        </w:rPr>
        <w:t xml:space="preserve"> sa konkrétne</w:t>
      </w:r>
      <w:r>
        <w:rPr>
          <w:rFonts w:ascii="Times New Roman" w:eastAsia="Calibri" w:hAnsi="Times New Roman" w:cs="Times New Roman"/>
          <w:sz w:val="24"/>
          <w:szCs w:val="24"/>
        </w:rPr>
        <w:t xml:space="preserve"> rozšírenia okruhu politicky exponovaných osôb o súrodenca politicky exponovanej osoby.</w:t>
      </w:r>
      <w:r w:rsidR="00237CF5">
        <w:rPr>
          <w:rFonts w:ascii="Times New Roman" w:eastAsia="Calibri" w:hAnsi="Times New Roman" w:cs="Times New Roman"/>
          <w:sz w:val="24"/>
          <w:szCs w:val="24"/>
        </w:rPr>
        <w:t xml:space="preserve"> </w:t>
      </w:r>
      <w:r w:rsidR="003D6F43">
        <w:rPr>
          <w:rFonts w:ascii="Times New Roman" w:eastAsia="Calibri" w:hAnsi="Times New Roman" w:cs="Times New Roman"/>
          <w:sz w:val="24"/>
          <w:szCs w:val="24"/>
        </w:rPr>
        <w:t>Regulácia je uvedená v ustanovení § 6 ods. 3 písm. c) zákona č. 297/2008 Z. z.</w:t>
      </w:r>
      <w:r w:rsidR="002C6614">
        <w:rPr>
          <w:rFonts w:ascii="Times New Roman" w:eastAsia="Calibri" w:hAnsi="Times New Roman" w:cs="Times New Roman"/>
          <w:sz w:val="24"/>
          <w:szCs w:val="24"/>
        </w:rPr>
        <w:t xml:space="preserve"> a vzťahuje sa na všetky povinné osoby upravené v § 5 zákona č. 297/2008 Z. z.</w:t>
      </w:r>
    </w:p>
    <w:p w14:paraId="5A050351" w14:textId="58FA0ECA" w:rsidR="00237CF5" w:rsidRPr="001D476F" w:rsidRDefault="00237CF5" w:rsidP="00237CF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Dôvodom zaradenia súrodenca politicky exponovanej osoby medzi politicky exponované osoby, je odstránenie  nedostatku vytýkaného Výborom expertov Rady </w:t>
      </w:r>
      <w:r w:rsidRPr="00237CF5">
        <w:rPr>
          <w:rFonts w:ascii="Times New Roman" w:eastAsia="Calibri" w:hAnsi="Times New Roman" w:cs="Times New Roman"/>
          <w:sz w:val="24"/>
          <w:szCs w:val="24"/>
        </w:rPr>
        <w:t xml:space="preserve">Európy </w:t>
      </w:r>
      <w:proofErr w:type="spellStart"/>
      <w:r w:rsidRPr="00237CF5">
        <w:rPr>
          <w:rFonts w:ascii="Times New Roman" w:eastAsia="Calibri" w:hAnsi="Times New Roman" w:cs="Times New Roman"/>
          <w:sz w:val="24"/>
          <w:szCs w:val="24"/>
        </w:rPr>
        <w:t>Moneyval</w:t>
      </w:r>
      <w:proofErr w:type="spellEnd"/>
      <w:r w:rsidR="009726BD">
        <w:rPr>
          <w:rFonts w:ascii="Times New Roman" w:eastAsia="Calibri" w:hAnsi="Times New Roman" w:cs="Times New Roman"/>
          <w:sz w:val="24"/>
          <w:szCs w:val="24"/>
        </w:rPr>
        <w:t xml:space="preserve"> (ďalej len „Výbor </w:t>
      </w:r>
      <w:proofErr w:type="spellStart"/>
      <w:r w:rsidR="009726BD">
        <w:rPr>
          <w:rFonts w:ascii="Times New Roman" w:eastAsia="Calibri" w:hAnsi="Times New Roman" w:cs="Times New Roman"/>
          <w:sz w:val="24"/>
          <w:szCs w:val="24"/>
        </w:rPr>
        <w:t>Moneyval</w:t>
      </w:r>
      <w:proofErr w:type="spellEnd"/>
      <w:r w:rsidR="009726BD">
        <w:rPr>
          <w:rFonts w:ascii="Times New Roman" w:eastAsia="Calibri" w:hAnsi="Times New Roman" w:cs="Times New Roman"/>
          <w:sz w:val="24"/>
          <w:szCs w:val="24"/>
        </w:rPr>
        <w:t>“)</w:t>
      </w:r>
      <w:r>
        <w:rPr>
          <w:rFonts w:ascii="Times New Roman" w:eastAsia="Calibri" w:hAnsi="Times New Roman" w:cs="Times New Roman"/>
          <w:sz w:val="24"/>
          <w:szCs w:val="24"/>
        </w:rPr>
        <w:t xml:space="preserve"> v rámci piateho kola vzájomného hodnotenia v oblasti legalizácie príjmov z trestnej činnosti a financovania terori</w:t>
      </w:r>
      <w:r w:rsidR="00C75E20">
        <w:rPr>
          <w:rFonts w:ascii="Times New Roman" w:eastAsia="Calibri" w:hAnsi="Times New Roman" w:cs="Times New Roman"/>
          <w:sz w:val="24"/>
          <w:szCs w:val="24"/>
        </w:rPr>
        <w:t xml:space="preserve">zmu, nakoľko súrodenec je </w:t>
      </w:r>
      <w:r w:rsidR="00C75E20" w:rsidRPr="00C75E20">
        <w:rPr>
          <w:rFonts w:ascii="Times New Roman" w:eastAsia="Calibri" w:hAnsi="Times New Roman" w:cs="Times New Roman"/>
          <w:sz w:val="24"/>
          <w:szCs w:val="24"/>
        </w:rPr>
        <w:t>súčasťou minimálnej normy uvedenej v usmernení k odporúčaniu FATF č. 12.3.</w:t>
      </w:r>
      <w:r w:rsidR="001D476F">
        <w:rPr>
          <w:rFonts w:ascii="Times New Roman" w:eastAsia="Calibri" w:hAnsi="Times New Roman" w:cs="Times New Roman"/>
          <w:sz w:val="24"/>
          <w:szCs w:val="24"/>
        </w:rPr>
        <w:t xml:space="preserve"> </w:t>
      </w:r>
      <w:r w:rsidRPr="001D476F">
        <w:rPr>
          <w:rFonts w:ascii="Times New Roman" w:eastAsia="Calibri" w:hAnsi="Times New Roman" w:cs="Times New Roman"/>
          <w:bCs/>
          <w:iCs/>
          <w:sz w:val="24"/>
          <w:szCs w:val="24"/>
        </w:rPr>
        <w:t>Presná kvantifikácia negatívneho vplyvu nie je možná, pretože vopred nie je možné určiť počet povinných osôb, ktoré budú navrhovanou zmenou ovplyvnené</w:t>
      </w:r>
      <w:r w:rsidR="00675132">
        <w:rPr>
          <w:rFonts w:ascii="Times New Roman" w:eastAsia="Calibri" w:hAnsi="Times New Roman" w:cs="Times New Roman"/>
          <w:bCs/>
          <w:iCs/>
          <w:sz w:val="24"/>
          <w:szCs w:val="24"/>
        </w:rPr>
        <w:t xml:space="preserve">, nakoľko ani nie je možné určiť </w:t>
      </w:r>
      <w:r w:rsidRPr="001D476F">
        <w:rPr>
          <w:rFonts w:ascii="Times New Roman" w:eastAsia="Calibri" w:hAnsi="Times New Roman" w:cs="Times New Roman"/>
          <w:bCs/>
          <w:iCs/>
          <w:sz w:val="24"/>
          <w:szCs w:val="24"/>
        </w:rPr>
        <w:t>presný počet fyzických osôb, o ktorý sa rozšíri okruh politicky exponovaných osôb.</w:t>
      </w:r>
      <w:r w:rsidRPr="00237CF5">
        <w:rPr>
          <w:rFonts w:ascii="Times New Roman" w:eastAsia="Calibri" w:hAnsi="Times New Roman" w:cs="Times New Roman"/>
          <w:bCs/>
          <w:iCs/>
          <w:sz w:val="24"/>
          <w:szCs w:val="24"/>
        </w:rPr>
        <w:t xml:space="preserve"> </w:t>
      </w:r>
    </w:p>
    <w:p w14:paraId="7923B9AB" w14:textId="61AFB619" w:rsidR="00333C4D" w:rsidRPr="00333C4D" w:rsidRDefault="00675132" w:rsidP="00333C4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Nezaradenie súrodenca medzi politicky exponované osoby bude mať za následok nesplnenie kritéria č. 12.3 FATF odporúčania. Celkové hodnotenie kritéria č. 12, vzťahujúceho sa na politicky exponované osoby, má SR hodnotené ako „čiastočne vyhovujúce (PC)“. SR má celkovo 1</w:t>
      </w:r>
      <w:r w:rsidR="00333C4D">
        <w:rPr>
          <w:rFonts w:ascii="Times New Roman" w:eastAsia="Calibri" w:hAnsi="Times New Roman" w:cs="Times New Roman"/>
          <w:sz w:val="24"/>
          <w:szCs w:val="24"/>
        </w:rPr>
        <w:t>2 odporúčaní hodnotených ako PC. N</w:t>
      </w:r>
      <w:r>
        <w:rPr>
          <w:rFonts w:ascii="Times New Roman" w:eastAsia="Calibri" w:hAnsi="Times New Roman" w:cs="Times New Roman"/>
          <w:sz w:val="24"/>
          <w:szCs w:val="24"/>
        </w:rPr>
        <w:t xml:space="preserve">a plenárnom zasadnutí Výboru </w:t>
      </w:r>
      <w:proofErr w:type="spellStart"/>
      <w:r>
        <w:rPr>
          <w:rFonts w:ascii="Times New Roman" w:eastAsia="Calibri" w:hAnsi="Times New Roman" w:cs="Times New Roman"/>
          <w:sz w:val="24"/>
          <w:szCs w:val="24"/>
        </w:rPr>
        <w:t>Moneyval</w:t>
      </w:r>
      <w:proofErr w:type="spellEnd"/>
      <w:r>
        <w:rPr>
          <w:rFonts w:ascii="Times New Roman" w:eastAsia="Calibri" w:hAnsi="Times New Roman" w:cs="Times New Roman"/>
          <w:sz w:val="24"/>
          <w:szCs w:val="24"/>
        </w:rPr>
        <w:t xml:space="preserve">, ktoré sa bude konať v decembri 2024, </w:t>
      </w:r>
      <w:r w:rsidR="00333C4D">
        <w:rPr>
          <w:rFonts w:ascii="Times New Roman" w:eastAsia="Calibri" w:hAnsi="Times New Roman" w:cs="Times New Roman"/>
          <w:sz w:val="24"/>
          <w:szCs w:val="24"/>
        </w:rPr>
        <w:t xml:space="preserve">SR bude posudzovaná z hľadiska odstránenia nedostatkov a zosúladenia národnej legislatívy s odporúčaniami FATF. Z tohto dôvodu je nevyhnutné, aby odporúčania hodnotené ako PC, boli prehodnotené </w:t>
      </w:r>
      <w:r w:rsidR="00333C4D" w:rsidRPr="00333C4D">
        <w:rPr>
          <w:rFonts w:ascii="Times New Roman" w:eastAsia="Calibri" w:hAnsi="Times New Roman" w:cs="Times New Roman"/>
          <w:sz w:val="24"/>
          <w:szCs w:val="24"/>
        </w:rPr>
        <w:t>minimálne na úroveň „</w:t>
      </w:r>
      <w:proofErr w:type="spellStart"/>
      <w:r w:rsidR="00333C4D" w:rsidRPr="00333C4D">
        <w:rPr>
          <w:rFonts w:ascii="Times New Roman" w:eastAsia="Calibri" w:hAnsi="Times New Roman" w:cs="Times New Roman"/>
          <w:sz w:val="24"/>
          <w:szCs w:val="24"/>
        </w:rPr>
        <w:t>zväčšej</w:t>
      </w:r>
      <w:proofErr w:type="spellEnd"/>
      <w:r w:rsidR="00333C4D" w:rsidRPr="00333C4D">
        <w:rPr>
          <w:rFonts w:ascii="Times New Roman" w:eastAsia="Calibri" w:hAnsi="Times New Roman" w:cs="Times New Roman"/>
          <w:sz w:val="24"/>
          <w:szCs w:val="24"/>
        </w:rPr>
        <w:t xml:space="preserve"> miery vyhovujúce (LC)“, inak bude SR zaradená do tzv. sankčného režimu ICRG (viď. bližšie informácie v časti 5 doložky vybraných vplyvov).</w:t>
      </w:r>
    </w:p>
    <w:p w14:paraId="38B79342" w14:textId="4283C8BC" w:rsidR="00B20B40" w:rsidRPr="00B20B40" w:rsidRDefault="008C5F63" w:rsidP="00B20B4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Druhý prípad identifikovaného </w:t>
      </w:r>
      <w:proofErr w:type="spellStart"/>
      <w:r>
        <w:rPr>
          <w:rFonts w:ascii="Times New Roman" w:eastAsia="Calibri" w:hAnsi="Times New Roman" w:cs="Times New Roman"/>
          <w:sz w:val="24"/>
          <w:szCs w:val="24"/>
        </w:rPr>
        <w:t>goldplatingu</w:t>
      </w:r>
      <w:proofErr w:type="spellEnd"/>
      <w:r w:rsidR="000A1386">
        <w:rPr>
          <w:rFonts w:ascii="Times New Roman" w:eastAsia="Calibri" w:hAnsi="Times New Roman" w:cs="Times New Roman"/>
          <w:sz w:val="24"/>
          <w:szCs w:val="24"/>
        </w:rPr>
        <w:t xml:space="preserve"> (uvedený v tabuľke č. 2 ako regulácia č. 2)</w:t>
      </w:r>
      <w:r>
        <w:rPr>
          <w:rFonts w:ascii="Times New Roman" w:eastAsia="Calibri" w:hAnsi="Times New Roman" w:cs="Times New Roman"/>
          <w:sz w:val="24"/>
          <w:szCs w:val="24"/>
        </w:rPr>
        <w:t xml:space="preserve"> </w:t>
      </w:r>
      <w:r w:rsidR="006D0352">
        <w:rPr>
          <w:rFonts w:ascii="Times New Roman" w:eastAsia="Calibri" w:hAnsi="Times New Roman" w:cs="Times New Roman"/>
          <w:sz w:val="24"/>
          <w:szCs w:val="24"/>
        </w:rPr>
        <w:t xml:space="preserve">je navýšením požiadaviek nad rámec minimálnych požiadaviek smernice EÚ a </w:t>
      </w:r>
      <w:r>
        <w:rPr>
          <w:rFonts w:ascii="Times New Roman" w:eastAsia="Calibri" w:hAnsi="Times New Roman" w:cs="Times New Roman"/>
          <w:sz w:val="24"/>
          <w:szCs w:val="24"/>
        </w:rPr>
        <w:t>súvisí s </w:t>
      </w:r>
      <w:r w:rsidRPr="008C5F63">
        <w:rPr>
          <w:rFonts w:ascii="Times New Roman" w:eastAsia="Calibri" w:hAnsi="Times New Roman" w:cs="Times New Roman"/>
          <w:sz w:val="24"/>
          <w:szCs w:val="24"/>
        </w:rPr>
        <w:t>uplatňovaním zvýšenej starostlivosti pri cezhraničnom korešpondenčnom bankovníctve bez ohľadu na krajinu pôvodu partnerskej inštitúcie</w:t>
      </w:r>
      <w:r>
        <w:rPr>
          <w:rFonts w:ascii="Times New Roman" w:eastAsia="Calibri" w:hAnsi="Times New Roman" w:cs="Times New Roman"/>
          <w:sz w:val="24"/>
          <w:szCs w:val="24"/>
        </w:rPr>
        <w:t>.</w:t>
      </w:r>
      <w:r w:rsidR="007F4E19">
        <w:rPr>
          <w:rFonts w:ascii="Times New Roman" w:eastAsia="Calibri" w:hAnsi="Times New Roman" w:cs="Times New Roman"/>
          <w:sz w:val="24"/>
          <w:szCs w:val="24"/>
        </w:rPr>
        <w:t xml:space="preserve"> Regulácia má vplyv predovšetkým na banky a pobočky bánk, ktoré budú musieť vykonávať opatrenia podľa § 12 ods. 2 písm. b) zákona č. 297/2008 Z. z. aj vo vzťahu k partnerským inštitúciám z EÚ/EHP. </w:t>
      </w:r>
      <w:r w:rsidR="00B20B40">
        <w:rPr>
          <w:rFonts w:ascii="Times New Roman" w:eastAsia="Calibri" w:hAnsi="Times New Roman" w:cs="Times New Roman"/>
          <w:sz w:val="24"/>
          <w:szCs w:val="24"/>
        </w:rPr>
        <w:t>Vykonávanie zvýšenej starostlivosti pri cezhraničnom korešpondenčnom bankovníctve sa</w:t>
      </w:r>
      <w:r w:rsidR="007F4E19">
        <w:rPr>
          <w:rFonts w:ascii="Times New Roman" w:eastAsia="Calibri" w:hAnsi="Times New Roman" w:cs="Times New Roman"/>
          <w:sz w:val="24"/>
          <w:szCs w:val="24"/>
        </w:rPr>
        <w:t xml:space="preserve"> </w:t>
      </w:r>
      <w:r w:rsidR="00B20B40">
        <w:rPr>
          <w:rFonts w:ascii="Times New Roman" w:eastAsia="Calibri" w:hAnsi="Times New Roman" w:cs="Times New Roman"/>
          <w:sz w:val="24"/>
          <w:szCs w:val="24"/>
        </w:rPr>
        <w:t xml:space="preserve"> v predchádzajúcej právnej úprave</w:t>
      </w:r>
      <w:r w:rsidR="007F4E19">
        <w:rPr>
          <w:rFonts w:ascii="Times New Roman" w:eastAsia="Calibri" w:hAnsi="Times New Roman" w:cs="Times New Roman"/>
          <w:sz w:val="24"/>
          <w:szCs w:val="24"/>
        </w:rPr>
        <w:t xml:space="preserve"> totiž</w:t>
      </w:r>
      <w:r w:rsidR="00B20B40">
        <w:rPr>
          <w:rFonts w:ascii="Times New Roman" w:eastAsia="Calibri" w:hAnsi="Times New Roman" w:cs="Times New Roman"/>
          <w:sz w:val="24"/>
          <w:szCs w:val="24"/>
        </w:rPr>
        <w:t xml:space="preserve"> vzťahovalo iba na prípady, kedy partnerská inštitúcia pochádzala z tretieho štátu. Táto povinnosť sa teda nevzťahovala na krajiny EÚ/EHP. Nakoľko odporúčanie FATF č. 13.1 nerozlišuje krajinu pôvodu partnerskej inštitúcie pri cezhraničnom korešpondenčnom bankovníctve, zo strany Výboru expertov Rady Európy </w:t>
      </w:r>
      <w:proofErr w:type="spellStart"/>
      <w:r w:rsidR="00B20B40">
        <w:rPr>
          <w:rFonts w:ascii="Times New Roman" w:eastAsia="Calibri" w:hAnsi="Times New Roman" w:cs="Times New Roman"/>
          <w:sz w:val="24"/>
          <w:szCs w:val="24"/>
        </w:rPr>
        <w:t>Moneyval</w:t>
      </w:r>
      <w:proofErr w:type="spellEnd"/>
      <w:r w:rsidR="00B20B40">
        <w:rPr>
          <w:rFonts w:ascii="Times New Roman" w:eastAsia="Calibri" w:hAnsi="Times New Roman" w:cs="Times New Roman"/>
          <w:sz w:val="24"/>
          <w:szCs w:val="24"/>
        </w:rPr>
        <w:t xml:space="preserve"> bola predchádzajúca právna úprava vyhodnotená ako nevyhovujúca. Z tohto dôvodu bolo</w:t>
      </w:r>
      <w:r w:rsidR="00B20B40" w:rsidRPr="00B20B40">
        <w:rPr>
          <w:rFonts w:ascii="Times New Roman" w:eastAsia="Calibri" w:hAnsi="Times New Roman" w:cs="Times New Roman"/>
          <w:sz w:val="24"/>
          <w:szCs w:val="24"/>
        </w:rPr>
        <w:t xml:space="preserve"> potrebné upraviť zákonnú požiadavku na vykonávanie zvýšenej starostlivosti pri cezhraničných korešpondenčných vzťahoch tak, aby sa vzťahovala na partnerské inštitúcie bez rozdielu na krajinu ich pôvodu. </w:t>
      </w: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Uveďte formu konzultácií vrátane zdôvodnenia jej výberu a trvanie konzultácií, termíny stretnutí. Uveďte spôsob oslovenia dotknutých subjektov, zoznam konzultujúcich subjektov, tiež </w:t>
      </w:r>
      <w:proofErr w:type="spellStart"/>
      <w:r w:rsidRPr="0076370B">
        <w:rPr>
          <w:rFonts w:ascii="Times New Roman" w:eastAsia="Calibri" w:hAnsi="Times New Roman" w:cs="Times New Roman"/>
          <w:i/>
          <w:sz w:val="20"/>
          <w:szCs w:val="20"/>
        </w:rPr>
        <w:t>link</w:t>
      </w:r>
      <w:proofErr w:type="spellEnd"/>
      <w:r w:rsidRPr="0076370B">
        <w:rPr>
          <w:rFonts w:ascii="Times New Roman" w:eastAsia="Calibri" w:hAnsi="Times New Roman" w:cs="Times New Roman"/>
          <w:i/>
          <w:sz w:val="20"/>
          <w:szCs w:val="20"/>
        </w:rPr>
        <w:t xml:space="preserve"> na webovú stránku, na ktorej boli konzultácie zverejnené. </w:t>
      </w:r>
    </w:p>
    <w:p w14:paraId="5DDE9409"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Uveďte hlavné body konzultácií a ich závery. </w:t>
      </w:r>
    </w:p>
    <w:p w14:paraId="3EE20844"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Alternatívne namiesto vypĺňania bodu 3.2 môžete uviesť ako samostatnú prílohu tejto analýzy Záznam z konzultácií obsahujúci požadované informácie. </w:t>
      </w:r>
    </w:p>
    <w:p w14:paraId="178FF6D3" w14:textId="58565C46" w:rsidR="00054C41" w:rsidRDefault="00054C41" w:rsidP="00054C41">
      <w:pPr>
        <w:spacing w:after="0"/>
        <w:jc w:val="both"/>
        <w:rPr>
          <w:rFonts w:ascii="Times New Roman" w:eastAsia="Calibri" w:hAnsi="Times New Roman" w:cs="Times New Roman"/>
          <w:i/>
          <w:sz w:val="24"/>
          <w:szCs w:val="24"/>
        </w:rPr>
      </w:pPr>
    </w:p>
    <w:p w14:paraId="4F36635E" w14:textId="53499A33" w:rsidR="00723685" w:rsidRDefault="00723685" w:rsidP="00723685">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Dňa 18.01.2024 bola zverejnená </w:t>
      </w:r>
      <w:r w:rsidRPr="00723685">
        <w:rPr>
          <w:rFonts w:ascii="Times New Roman" w:eastAsia="Calibri" w:hAnsi="Times New Roman" w:cs="Times New Roman"/>
          <w:sz w:val="24"/>
          <w:szCs w:val="24"/>
        </w:rPr>
        <w:t>predbežná informácia podľa § 9 zákona č. 400/2015 Z. z. o tvorbe právnych predpisov a o Zbierke zákonov Slovenskej republiky a o zmene a doplnení nie</w:t>
      </w:r>
      <w:r w:rsidR="00B471EF">
        <w:rPr>
          <w:rFonts w:ascii="Times New Roman" w:eastAsia="Calibri" w:hAnsi="Times New Roman" w:cs="Times New Roman"/>
          <w:sz w:val="24"/>
          <w:szCs w:val="24"/>
        </w:rPr>
        <w:t>ktorých zákonov k 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w:t>
      </w:r>
      <w:r w:rsidR="008F6CDE">
        <w:rPr>
          <w:rFonts w:ascii="Times New Roman" w:eastAsia="Calibri" w:hAnsi="Times New Roman" w:cs="Times New Roman"/>
          <w:sz w:val="24"/>
          <w:szCs w:val="24"/>
        </w:rPr>
        <w:t>ré zákony</w:t>
      </w:r>
      <w:r w:rsidR="009A35DA">
        <w:rPr>
          <w:rFonts w:ascii="Times New Roman" w:eastAsia="Calibri" w:hAnsi="Times New Roman" w:cs="Times New Roman"/>
          <w:sz w:val="24"/>
          <w:szCs w:val="24"/>
        </w:rPr>
        <w:t xml:space="preserve"> </w:t>
      </w:r>
      <w:r w:rsidRPr="00723685">
        <w:rPr>
          <w:rFonts w:ascii="Times New Roman" w:eastAsia="Calibri" w:hAnsi="Times New Roman" w:cs="Times New Roman"/>
          <w:sz w:val="24"/>
          <w:szCs w:val="24"/>
        </w:rPr>
        <w:t>(</w:t>
      </w:r>
      <w:r w:rsidR="008F6CDE" w:rsidRPr="008F6CDE">
        <w:rPr>
          <w:rFonts w:ascii="Times New Roman" w:eastAsia="Calibri" w:hAnsi="Times New Roman" w:cs="Times New Roman"/>
          <w:sz w:val="24"/>
          <w:szCs w:val="24"/>
        </w:rPr>
        <w:t>https://www.slov-lex.sk/legislativne-procesy/SK/PI/2024</w:t>
      </w:r>
      <w:r w:rsidR="008F6CDE">
        <w:rPr>
          <w:rFonts w:ascii="Times New Roman" w:eastAsia="Calibri" w:hAnsi="Times New Roman" w:cs="Times New Roman"/>
          <w:sz w:val="24"/>
          <w:szCs w:val="24"/>
        </w:rPr>
        <w:t>/12</w:t>
      </w:r>
      <w:r w:rsidRPr="00723685">
        <w:rPr>
          <w:rFonts w:ascii="Times New Roman" w:eastAsia="Calibri" w:hAnsi="Times New Roman" w:cs="Times New Roman"/>
          <w:sz w:val="24"/>
          <w:szCs w:val="24"/>
        </w:rPr>
        <w:t>)</w:t>
      </w:r>
      <w:r w:rsidR="008F6CDE">
        <w:rPr>
          <w:rFonts w:ascii="Times New Roman" w:eastAsia="Calibri" w:hAnsi="Times New Roman" w:cs="Times New Roman"/>
          <w:sz w:val="24"/>
          <w:szCs w:val="24"/>
        </w:rPr>
        <w:t>.</w:t>
      </w:r>
      <w:r w:rsidRPr="00723685">
        <w:rPr>
          <w:rFonts w:ascii="Times New Roman" w:eastAsia="Calibri" w:hAnsi="Times New Roman" w:cs="Times New Roman"/>
          <w:sz w:val="24"/>
          <w:szCs w:val="24"/>
        </w:rPr>
        <w:t xml:space="preserve"> Pripomienkové konanie k predbežnej informácii trvalo od </w:t>
      </w:r>
      <w:r w:rsidR="008F6CDE">
        <w:rPr>
          <w:rFonts w:ascii="Times New Roman" w:eastAsia="Calibri" w:hAnsi="Times New Roman" w:cs="Times New Roman"/>
          <w:sz w:val="24"/>
          <w:szCs w:val="24"/>
        </w:rPr>
        <w:t>18.01.2024 do 31.01.</w:t>
      </w:r>
      <w:r w:rsidRPr="00723685">
        <w:rPr>
          <w:rFonts w:ascii="Times New Roman" w:eastAsia="Calibri" w:hAnsi="Times New Roman" w:cs="Times New Roman"/>
          <w:sz w:val="24"/>
          <w:szCs w:val="24"/>
        </w:rPr>
        <w:t>2024.</w:t>
      </w:r>
      <w:r w:rsidR="00C354F2">
        <w:rPr>
          <w:rFonts w:ascii="Times New Roman" w:eastAsia="Calibri" w:hAnsi="Times New Roman" w:cs="Times New Roman"/>
          <w:sz w:val="24"/>
          <w:szCs w:val="24"/>
        </w:rPr>
        <w:t xml:space="preserve"> </w:t>
      </w:r>
      <w:r w:rsidRPr="00723685">
        <w:rPr>
          <w:rFonts w:ascii="Times New Roman" w:eastAsia="Calibri" w:hAnsi="Times New Roman" w:cs="Times New Roman"/>
          <w:sz w:val="24"/>
          <w:szCs w:val="24"/>
        </w:rPr>
        <w:t xml:space="preserve">V lehote na podanie podnetov a návrhov zo strany verejnosti boli navrhovateľovi doručené 3 podnety a to od Republikovej únie zamestnávateľov, Klubu 500 a Asociácie zamestnávateľských zväzov a združení Slovenskej republiky, v ktorých žiadali </w:t>
      </w:r>
      <w:r w:rsidRPr="00723685">
        <w:rPr>
          <w:rFonts w:ascii="Times New Roman" w:eastAsia="Calibri" w:hAnsi="Times New Roman" w:cs="Times New Roman"/>
          <w:sz w:val="24"/>
          <w:szCs w:val="24"/>
        </w:rPr>
        <w:lastRenderedPageBreak/>
        <w:t xml:space="preserve">o zapojenie do prípravy návrhu zákona prostredníctvom konzultácií. </w:t>
      </w:r>
      <w:r w:rsidR="00544A25">
        <w:rPr>
          <w:rFonts w:ascii="Times New Roman" w:eastAsia="Calibri" w:hAnsi="Times New Roman" w:cs="Times New Roman"/>
          <w:sz w:val="24"/>
          <w:szCs w:val="24"/>
        </w:rPr>
        <w:t xml:space="preserve">Na základe ich požiadavky im bol zaslaný kompletný materiál, ku ktorému Republiková únia zamestnávateľov a Asociácia zamestnávateľských zväzov a združení SR nemala žiadne pripomienky. Klub 500 zaslal návrhy na zmeny, z ktorých časť bola zapracovaná do materiálu. </w:t>
      </w:r>
    </w:p>
    <w:p w14:paraId="1EEF9739" w14:textId="77777777" w:rsidR="00544A25" w:rsidRPr="00723685" w:rsidRDefault="00544A25" w:rsidP="00723685">
      <w:pPr>
        <w:spacing w:after="120"/>
        <w:jc w:val="both"/>
        <w:rPr>
          <w:rFonts w:ascii="Times New Roman" w:eastAsia="Calibri" w:hAnsi="Times New Roman" w:cs="Times New Roman"/>
          <w:sz w:val="24"/>
          <w:szCs w:val="24"/>
        </w:rPr>
      </w:pPr>
    </w:p>
    <w:p w14:paraId="190CC637" w14:textId="27AF4764" w:rsidR="009B1B70" w:rsidRDefault="00FA63CF" w:rsidP="0016754C">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Ešte v</w:t>
      </w:r>
      <w:r w:rsidR="009751A5" w:rsidRPr="009751A5">
        <w:rPr>
          <w:rFonts w:ascii="Times New Roman" w:eastAsia="Calibri" w:hAnsi="Times New Roman" w:cs="Times New Roman"/>
          <w:sz w:val="24"/>
          <w:szCs w:val="24"/>
        </w:rPr>
        <w:t xml:space="preserve"> súvislosti s prípravnými prácami na návrhu zákona, sa konalo dňa 06.02.2024 pod záštitou Národnej expertnej skupiny na prevenciu a boj proti legalizácii príjmov z trestnej činnosti a financovaniu terorizmu, stretnutie </w:t>
      </w:r>
      <w:r w:rsidR="009B1B70">
        <w:rPr>
          <w:rFonts w:ascii="Times New Roman" w:eastAsia="Calibri" w:hAnsi="Times New Roman" w:cs="Times New Roman"/>
          <w:sz w:val="24"/>
          <w:szCs w:val="24"/>
        </w:rPr>
        <w:t>so zástupcami Ministerstva financií SR, Ministerstva spravodlivosti SR</w:t>
      </w:r>
      <w:r w:rsidR="00CA3E2C">
        <w:rPr>
          <w:rFonts w:ascii="Times New Roman" w:eastAsia="Calibri" w:hAnsi="Times New Roman" w:cs="Times New Roman"/>
          <w:sz w:val="24"/>
          <w:szCs w:val="24"/>
        </w:rPr>
        <w:t>, G</w:t>
      </w:r>
      <w:r w:rsidR="003C78EE">
        <w:rPr>
          <w:rFonts w:ascii="Times New Roman" w:eastAsia="Calibri" w:hAnsi="Times New Roman" w:cs="Times New Roman"/>
          <w:sz w:val="24"/>
          <w:szCs w:val="24"/>
        </w:rPr>
        <w:t>enerálnej prokuratúry</w:t>
      </w:r>
      <w:r w:rsidR="00CA3E2C">
        <w:rPr>
          <w:rFonts w:ascii="Times New Roman" w:eastAsia="Calibri" w:hAnsi="Times New Roman" w:cs="Times New Roman"/>
          <w:sz w:val="24"/>
          <w:szCs w:val="24"/>
        </w:rPr>
        <w:t xml:space="preserve"> SR, </w:t>
      </w:r>
      <w:r w:rsidR="003C78EE">
        <w:rPr>
          <w:rFonts w:ascii="Times New Roman" w:eastAsia="Calibri" w:hAnsi="Times New Roman" w:cs="Times New Roman"/>
          <w:sz w:val="24"/>
          <w:szCs w:val="24"/>
        </w:rPr>
        <w:t xml:space="preserve">Národnej banky Slovenska, Ministerstva obrany SR, Slovenskej informačnej služby </w:t>
      </w:r>
      <w:r w:rsidR="005031B6">
        <w:rPr>
          <w:rFonts w:ascii="Times New Roman" w:eastAsia="Calibri" w:hAnsi="Times New Roman" w:cs="Times New Roman"/>
          <w:sz w:val="24"/>
          <w:szCs w:val="24"/>
        </w:rPr>
        <w:t xml:space="preserve">a Slovenskej bankovej asociácie, ktorá je členom Republikovej únie zamestnávateľov. </w:t>
      </w:r>
      <w:r w:rsidR="003C78EE">
        <w:rPr>
          <w:rFonts w:ascii="Times New Roman" w:eastAsia="Calibri" w:hAnsi="Times New Roman" w:cs="Times New Roman"/>
          <w:sz w:val="24"/>
          <w:szCs w:val="24"/>
        </w:rPr>
        <w:t xml:space="preserve"> </w:t>
      </w:r>
    </w:p>
    <w:p w14:paraId="7DB900C8" w14:textId="77777777" w:rsidR="00CB48A5" w:rsidRPr="00D8247C" w:rsidRDefault="00CB48A5"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Dochádza k vytvoreniu resp. k zmene bariér na trhu? </w:t>
      </w:r>
    </w:p>
    <w:p w14:paraId="4D049DE7"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Bude sa s niektorými podnikmi alebo produktmi zaobchádzať v porovnateľnej situácii rôzne (napr. špeciálne režimy pre </w:t>
      </w:r>
      <w:proofErr w:type="spellStart"/>
      <w:r w:rsidRPr="0076370B">
        <w:rPr>
          <w:rFonts w:ascii="Times New Roman" w:eastAsia="Calibri" w:hAnsi="Times New Roman" w:cs="Times New Roman"/>
          <w:i/>
          <w:sz w:val="20"/>
          <w:szCs w:val="20"/>
        </w:rPr>
        <w:t>mikro</w:t>
      </w:r>
      <w:proofErr w:type="spellEnd"/>
      <w:r w:rsidRPr="0076370B">
        <w:rPr>
          <w:rFonts w:ascii="Times New Roman" w:eastAsia="Calibri" w:hAnsi="Times New Roman" w:cs="Times New Roman"/>
          <w:i/>
          <w:sz w:val="20"/>
          <w:szCs w:val="20"/>
        </w:rPr>
        <w:t xml:space="preserve">, malé a stredné podniky tzv. MSP)? </w:t>
      </w:r>
    </w:p>
    <w:p w14:paraId="452A90F1"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Ovplyvňuje zmena regulácie cezhraničné investície (príliv/odliv zahraničných investícií resp. uplatnenie slovenských podnikov na zahraničných trhoch)? </w:t>
      </w:r>
    </w:p>
    <w:p w14:paraId="0D074838"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Ovplyvní dostupnosť základných zdrojov (financie, pracovná sila, suroviny, mechanizmy, energie atď.)? </w:t>
      </w:r>
    </w:p>
    <w:p w14:paraId="6B6A3793" w14:textId="77777777" w:rsidR="007259CB" w:rsidRPr="0076370B" w:rsidRDefault="007259CB"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Ovplyvňuje zmena regulácie inovácie, vedu a výskum?</w:t>
      </w:r>
    </w:p>
    <w:p w14:paraId="64E2FB2F" w14:textId="77777777" w:rsidR="00BA19B0" w:rsidRPr="0076370B" w:rsidRDefault="00BA19B0"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Ak bol identifikovaný </w:t>
      </w:r>
      <w:proofErr w:type="spellStart"/>
      <w:r w:rsidRPr="0076370B">
        <w:rPr>
          <w:rFonts w:ascii="Times New Roman" w:eastAsia="Calibri" w:hAnsi="Times New Roman" w:cs="Times New Roman"/>
          <w:i/>
          <w:sz w:val="20"/>
          <w:szCs w:val="20"/>
        </w:rPr>
        <w:t>goldplating</w:t>
      </w:r>
      <w:proofErr w:type="spellEnd"/>
      <w:r w:rsidR="00581EB9" w:rsidRPr="0076370B">
        <w:rPr>
          <w:rFonts w:ascii="Times New Roman" w:eastAsia="Calibri" w:hAnsi="Times New Roman" w:cs="Times New Roman"/>
          <w:i/>
          <w:sz w:val="20"/>
          <w:szCs w:val="20"/>
        </w:rPr>
        <w:t>,</w:t>
      </w:r>
      <w:r w:rsidR="00C14655" w:rsidRPr="0076370B">
        <w:rPr>
          <w:rFonts w:ascii="Times New Roman" w:eastAsia="Calibri" w:hAnsi="Times New Roman" w:cs="Times New Roman"/>
          <w:i/>
          <w:sz w:val="20"/>
          <w:szCs w:val="20"/>
        </w:rPr>
        <w:t xml:space="preserve"> prispieva k zníženiu konkurencieschopnosti a produktivity?</w:t>
      </w:r>
      <w:r w:rsidR="00581EB9" w:rsidRPr="0076370B">
        <w:rPr>
          <w:rFonts w:ascii="Times New Roman" w:eastAsia="Calibri" w:hAnsi="Times New Roman" w:cs="Times New Roman"/>
          <w:i/>
          <w:sz w:val="20"/>
          <w:szCs w:val="20"/>
        </w:rPr>
        <w:t xml:space="preserve"> Akým spôsobom?</w:t>
      </w:r>
    </w:p>
    <w:p w14:paraId="72CB32C8"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iCs/>
          <w:sz w:val="20"/>
          <w:szCs w:val="20"/>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Na základe uvedených odpovedí zaškrtnite a popíšte, či materiál konkurencieschopnosť:</w:t>
      </w:r>
    </w:p>
    <w:p w14:paraId="76CD0669" w14:textId="18158863" w:rsidR="00054C41" w:rsidRPr="00D8247C" w:rsidRDefault="0089778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b/>
            <w:i/>
            <w:sz w:val="24"/>
            <w:szCs w:val="24"/>
          </w:rPr>
          <w:id w:val="410579887"/>
        </w:sdtPr>
        <w:sdtEndPr/>
        <w:sdtContent>
          <w:sdt>
            <w:sdtPr>
              <w:rPr>
                <w:rFonts w:ascii="Times New Roman" w:eastAsia="Calibri" w:hAnsi="Times New Roman" w:cs="Times New Roman"/>
                <w:b/>
                <w:i/>
                <w:sz w:val="24"/>
                <w:szCs w:val="24"/>
              </w:rPr>
              <w:id w:val="-80300261"/>
            </w:sdtPr>
            <w:sdtEndPr/>
            <w:sdtContent>
              <w:r w:rsidR="0076370B" w:rsidRPr="0076370B">
                <w:rPr>
                  <w:rFonts w:ascii="Segoe UI Symbol" w:eastAsia="Calibri" w:hAnsi="Segoe UI Symbol" w:cs="Segoe UI Symbol"/>
                  <w:b/>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Aký má materiál vplyv na zmenu pomeru medzi produkciou podnikov a ich nákladmi? </w:t>
      </w:r>
    </w:p>
    <w:p w14:paraId="23DA5CCF" w14:textId="77777777" w:rsidR="00054C41" w:rsidRPr="0076370B" w:rsidRDefault="00054C41" w:rsidP="00054C41">
      <w:pPr>
        <w:spacing w:after="0"/>
        <w:jc w:val="both"/>
        <w:rPr>
          <w:rFonts w:ascii="Times New Roman" w:eastAsia="Calibri" w:hAnsi="Times New Roman" w:cs="Times New Roman"/>
          <w:i/>
          <w:sz w:val="20"/>
          <w:szCs w:val="20"/>
        </w:rPr>
      </w:pPr>
    </w:p>
    <w:p w14:paraId="0B272ABF" w14:textId="77777777" w:rsidR="00054C41" w:rsidRPr="0076370B" w:rsidRDefault="00054C41" w:rsidP="00054C41">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Na základe uvedenej odpovede zaškrtnite a popíšte, či materiál produktivitu:</w:t>
      </w:r>
    </w:p>
    <w:p w14:paraId="789FA80A" w14:textId="4E1EF3D6" w:rsidR="00054C41" w:rsidRPr="00D8247C" w:rsidRDefault="0089778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b/>
            <w:i/>
            <w:sz w:val="24"/>
            <w:szCs w:val="24"/>
          </w:rPr>
          <w:id w:val="-353966921"/>
        </w:sdtPr>
        <w:sdtEndPr/>
        <w:sdtContent>
          <w:sdt>
            <w:sdtPr>
              <w:rPr>
                <w:rFonts w:ascii="Times New Roman" w:eastAsia="Calibri" w:hAnsi="Times New Roman" w:cs="Times New Roman"/>
                <w:b/>
                <w:i/>
                <w:sz w:val="24"/>
                <w:szCs w:val="24"/>
              </w:rPr>
              <w:id w:val="-1222205104"/>
            </w:sdtPr>
            <w:sdtEndPr/>
            <w:sdtContent>
              <w:r w:rsidR="0076370B" w:rsidRPr="0076370B">
                <w:rPr>
                  <w:rFonts w:ascii="Times New Roman" w:eastAsia="Calibri" w:hAnsi="Times New Roman" w:cs="Times New Roman"/>
                  <w:b/>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Pr="0076370B" w:rsidRDefault="00FF414B" w:rsidP="00FF414B">
      <w:pPr>
        <w:spacing w:after="0"/>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Ak má materiál vplyvy na PP, ktoré nemožno zaradiť do predchádzajúcich častí, či už pozitívne alebo negatívne, tu ich uveďte.  Patria sem: </w:t>
      </w:r>
    </w:p>
    <w:p w14:paraId="312EF81C" w14:textId="77777777" w:rsidR="00FF414B" w:rsidRPr="0076370B" w:rsidRDefault="00FF414B" w:rsidP="00FF414B">
      <w:pPr>
        <w:pStyle w:val="Odsekzoznamu"/>
        <w:numPr>
          <w:ilvl w:val="0"/>
          <w:numId w:val="6"/>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vplyvy súvisiace so žiadosťami o alebo prijímaním dotácií, fondov, štátnej pomoci a čerpaním iných obdobných foriem podpory zo strany štátu, keďže sú sprievodným javom uchádzania sa či získania </w:t>
      </w:r>
      <w:proofErr w:type="spellStart"/>
      <w:r w:rsidRPr="0076370B">
        <w:rPr>
          <w:rFonts w:ascii="Times New Roman" w:eastAsia="Calibri" w:hAnsi="Times New Roman" w:cs="Times New Roman"/>
          <w:i/>
          <w:sz w:val="20"/>
          <w:szCs w:val="20"/>
        </w:rPr>
        <w:t>benefitov</w:t>
      </w:r>
      <w:proofErr w:type="spellEnd"/>
      <w:r w:rsidRPr="0076370B">
        <w:rPr>
          <w:rFonts w:ascii="Times New Roman" w:eastAsia="Calibri" w:hAnsi="Times New Roman" w:cs="Times New Roman"/>
          <w:i/>
          <w:sz w:val="20"/>
          <w:szCs w:val="20"/>
        </w:rPr>
        <w:t>, na ktoré nie je právny nárok priamo zo zákona, ale vzniká na základe prejavu vôle dotknutého subjektu;</w:t>
      </w:r>
    </w:p>
    <w:p w14:paraId="71F108BC" w14:textId="77777777" w:rsidR="00FF414B" w:rsidRPr="0076370B" w:rsidRDefault="00FF414B" w:rsidP="00FF414B">
      <w:pPr>
        <w:pStyle w:val="Odsekzoznamu"/>
        <w:numPr>
          <w:ilvl w:val="0"/>
          <w:numId w:val="6"/>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regulované ceny podľa zákona č. 18/1996 Z. z. o cenách;</w:t>
      </w:r>
    </w:p>
    <w:p w14:paraId="46E907D6" w14:textId="77777777" w:rsidR="00FF414B" w:rsidRPr="0076370B" w:rsidRDefault="00FF414B" w:rsidP="00FF414B">
      <w:pPr>
        <w:pStyle w:val="Odsekzoznamu"/>
        <w:numPr>
          <w:ilvl w:val="0"/>
          <w:numId w:val="6"/>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iné vplyvy, ktoré predpokladá materiál, ale nemožno ich zaradiť do častí 3.1 a 3.3.</w:t>
      </w:r>
      <w:r w:rsidR="00E214C0" w:rsidRPr="0076370B">
        <w:rPr>
          <w:rFonts w:ascii="Times New Roman" w:eastAsia="Calibri" w:hAnsi="Times New Roman" w:cs="Times New Roman"/>
          <w:i/>
          <w:sz w:val="20"/>
          <w:szCs w:val="20"/>
        </w:rPr>
        <w:t>,</w:t>
      </w:r>
    </w:p>
    <w:p w14:paraId="74DE7A2D" w14:textId="77777777"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 xml:space="preserve">iné vplyvy podľa písm. a) až c), ktoré sú </w:t>
      </w:r>
      <w:proofErr w:type="spellStart"/>
      <w:r w:rsidRPr="0076370B">
        <w:rPr>
          <w:rFonts w:ascii="Times New Roman" w:eastAsia="Calibri" w:hAnsi="Times New Roman" w:cs="Times New Roman"/>
          <w:i/>
          <w:sz w:val="20"/>
          <w:szCs w:val="20"/>
        </w:rPr>
        <w:t>goldplatingom</w:t>
      </w:r>
      <w:proofErr w:type="spellEnd"/>
      <w:r w:rsidRPr="0076370B">
        <w:rPr>
          <w:rFonts w:ascii="Times New Roman" w:eastAsia="Calibri" w:hAnsi="Times New Roman" w:cs="Times New Roman"/>
          <w:i/>
          <w:sz w:val="20"/>
          <w:szCs w:val="20"/>
        </w:rPr>
        <w:t>.</w:t>
      </w:r>
    </w:p>
    <w:p w14:paraId="412D4CD2" w14:textId="77777777" w:rsidR="00A87D69" w:rsidRDefault="00A87D69" w:rsidP="00A87D69">
      <w:pPr>
        <w:pStyle w:val="Odsekzoznamu"/>
        <w:spacing w:after="0" w:line="254" w:lineRule="auto"/>
        <w:jc w:val="both"/>
        <w:rPr>
          <w:rFonts w:ascii="Times New Roman" w:eastAsia="Calibri" w:hAnsi="Times New Roman" w:cs="Times New Roman"/>
          <w:i/>
          <w:sz w:val="20"/>
          <w:szCs w:val="20"/>
        </w:rPr>
      </w:pPr>
    </w:p>
    <w:p w14:paraId="34893C46" w14:textId="4B26515A" w:rsidR="00A87D69" w:rsidRDefault="00A87D69" w:rsidP="00A87D69">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Vo vzťahu k reguláciám, pri ktorých nebolo možné určiť konkrétny počet dotknutých subjektov, je potrebné uviesť nasledovné skutočnosti. Prvou skutočnosťou je, že mnohé </w:t>
      </w:r>
      <w:r w:rsidRPr="00F31B06">
        <w:rPr>
          <w:rFonts w:ascii="Times New Roman" w:eastAsia="Calibri" w:hAnsi="Times New Roman" w:cs="Times New Roman"/>
          <w:bCs/>
          <w:iCs/>
          <w:color w:val="000000"/>
          <w:sz w:val="24"/>
          <w:szCs w:val="24"/>
        </w:rPr>
        <w:lastRenderedPageBreak/>
        <w:t>povinné osoby nefinančného sektora sú zaradené medzi povinné osoby aj na základe viacerých predmetov činnosti</w:t>
      </w:r>
      <w:r>
        <w:rPr>
          <w:rFonts w:ascii="Times New Roman" w:eastAsia="Calibri" w:hAnsi="Times New Roman" w:cs="Times New Roman"/>
          <w:bCs/>
          <w:iCs/>
          <w:color w:val="000000"/>
          <w:sz w:val="24"/>
          <w:szCs w:val="24"/>
        </w:rPr>
        <w:t xml:space="preserve"> a ich jednoduchým sčítaním podľa predmetov činnosti by sa </w:t>
      </w:r>
      <w:r w:rsidRPr="00BF5067">
        <w:rPr>
          <w:rFonts w:ascii="Times New Roman" w:eastAsia="Calibri" w:hAnsi="Times New Roman" w:cs="Times New Roman"/>
          <w:b/>
          <w:bCs/>
          <w:i/>
          <w:iCs/>
          <w:color w:val="000000"/>
          <w:sz w:val="24"/>
          <w:szCs w:val="24"/>
        </w:rPr>
        <w:t>multiplikoval celkový počet povinných osôb.</w:t>
      </w:r>
      <w:r>
        <w:rPr>
          <w:rFonts w:ascii="Times New Roman" w:eastAsia="Calibri" w:hAnsi="Times New Roman" w:cs="Times New Roman"/>
          <w:bCs/>
          <w:iCs/>
          <w:color w:val="000000"/>
          <w:sz w:val="24"/>
          <w:szCs w:val="24"/>
        </w:rPr>
        <w:t xml:space="preserve"> Nemožnosť určiť presný počet subjektov ovplyvňuje aj skutočnosť, že v prípade prenájmu nehnuteľností a činností súvisiacich napr. s prevádzkou aukčnej siene, záložne, obchodovaním s drahými kovmi a kameňmi, umeleckými dielami, zberateľskými predmetmi, sa povinnými osobami v zmysle zákona č. 297/2008 Z. z. stávajú subjekty až v prípade, ak  hodnota obchodu, resp. nájomného je najmenej 10 000 eur. </w:t>
      </w:r>
    </w:p>
    <w:p w14:paraId="51E7B4B2" w14:textId="2F85DE0F" w:rsidR="00501CD8" w:rsidRDefault="00501CD8" w:rsidP="00A87D69">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Tretím faktorom majúcim na uvedenú skutočnosť vplyv je aj to, že povinné osoby ako notár, advokát, alebo právnická osoba alebo fyzická osoba oprávnená vykonávať činnosť organizačného a ekonomického poradcu, sú v zmysle zákona č. 297/2008 Z. z. povinnými osobami iba v prípade, ak vykonávajú konkrétne činnosti predpokladané zákonom. Inak povedané, ak tieto činnosti nevykonávajú, nie sú povinnými osobami podľa § 5 zákona č. 297/2008 Z. z.</w:t>
      </w:r>
    </w:p>
    <w:p w14:paraId="5ECC900C" w14:textId="77777777" w:rsidR="007E4B98" w:rsidRPr="007E4B98" w:rsidRDefault="00501CD8" w:rsidP="007E4B98">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Poslednou, avšak nemenej dôležitou skutočnosťou majúcou vplyv na nemožnosť určiť počet subjektov spadajúcich medzi povinné osoby</w:t>
      </w:r>
      <w:r w:rsidR="007E4B98">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je podmienka vyplývajúca z ustanovenia § 5 ods. 3 zákona č. 297/2008 Z. z., podľa ktorej povinnou osobou je tiež právnická osoba alebo fyzická osoba – podnikateľ, ak vykoná obchod v hotovosti v hodnote najmenej 10 000 eur.</w:t>
      </w:r>
      <w:r w:rsidR="007E4B98">
        <w:rPr>
          <w:rFonts w:ascii="Times New Roman" w:eastAsia="Calibri" w:hAnsi="Times New Roman" w:cs="Times New Roman"/>
          <w:bCs/>
          <w:iCs/>
          <w:color w:val="000000"/>
          <w:sz w:val="24"/>
          <w:szCs w:val="24"/>
        </w:rPr>
        <w:t xml:space="preserve"> </w:t>
      </w:r>
      <w:r w:rsidR="007E4B98" w:rsidRPr="007E4B98">
        <w:rPr>
          <w:rFonts w:ascii="Times New Roman" w:eastAsia="Calibri" w:hAnsi="Times New Roman" w:cs="Times New Roman"/>
          <w:bCs/>
          <w:iCs/>
          <w:color w:val="000000"/>
          <w:sz w:val="24"/>
          <w:szCs w:val="24"/>
        </w:rPr>
        <w:t xml:space="preserve">V zmysle uvedeného ustanovenia tak môže byť ktorýkoľvek podnikateľský subjekt povinnou osobou, za podmienky že vykoná obchod v hotovosti v hodnote najmenej 10 000 eur. </w:t>
      </w:r>
    </w:p>
    <w:p w14:paraId="1E0986CE" w14:textId="77777777" w:rsidR="00982D9D" w:rsidRDefault="00982D9D" w:rsidP="00982D9D">
      <w:pPr>
        <w:spacing w:after="0"/>
        <w:jc w:val="both"/>
        <w:rPr>
          <w:rFonts w:ascii="Times New Roman" w:eastAsia="Calibri" w:hAnsi="Times New Roman" w:cs="Times New Roman"/>
          <w:bCs/>
          <w:i/>
          <w:iCs/>
          <w:sz w:val="24"/>
          <w:szCs w:val="24"/>
        </w:rPr>
      </w:pPr>
    </w:p>
    <w:p w14:paraId="35622E3B" w14:textId="77777777" w:rsidR="0014130A" w:rsidRPr="0014130A" w:rsidRDefault="0014130A" w:rsidP="0014130A">
      <w:pPr>
        <w:spacing w:after="0"/>
        <w:jc w:val="both"/>
        <w:rPr>
          <w:rFonts w:ascii="Times New Roman" w:eastAsia="Calibri" w:hAnsi="Times New Roman" w:cs="Times New Roman"/>
          <w:bCs/>
          <w:i/>
          <w:iCs/>
          <w:sz w:val="24"/>
          <w:szCs w:val="24"/>
        </w:rPr>
      </w:pPr>
      <w:r w:rsidRPr="0014130A">
        <w:rPr>
          <w:rFonts w:ascii="Times New Roman" w:eastAsia="Calibri" w:hAnsi="Times New Roman" w:cs="Times New Roman"/>
          <w:bCs/>
          <w:i/>
          <w:iCs/>
          <w:sz w:val="24"/>
          <w:szCs w:val="24"/>
        </w:rPr>
        <w:t>1.</w:t>
      </w:r>
      <w:r w:rsidRPr="0014130A">
        <w:rPr>
          <w:rFonts w:ascii="Times New Roman" w:eastAsia="Calibri" w:hAnsi="Times New Roman" w:cs="Times New Roman"/>
          <w:bCs/>
          <w:i/>
          <w:iCs/>
          <w:sz w:val="24"/>
          <w:szCs w:val="24"/>
        </w:rPr>
        <w:tab/>
        <w:t xml:space="preserve">Oboznámenie sa s legislatívou </w:t>
      </w:r>
    </w:p>
    <w:p w14:paraId="12945E36" w14:textId="77777777" w:rsidR="0014130A" w:rsidRPr="0014130A" w:rsidRDefault="0014130A" w:rsidP="0014130A">
      <w:pPr>
        <w:spacing w:after="0"/>
        <w:jc w:val="both"/>
        <w:rPr>
          <w:rFonts w:ascii="Times New Roman" w:eastAsia="Calibri" w:hAnsi="Times New Roman" w:cs="Times New Roman"/>
          <w:bCs/>
          <w:i/>
          <w:iCs/>
          <w:sz w:val="24"/>
          <w:szCs w:val="24"/>
        </w:rPr>
      </w:pPr>
    </w:p>
    <w:p w14:paraId="6E8548B3" w14:textId="3A259B55" w:rsidR="00982D9D" w:rsidRPr="00A561CF" w:rsidRDefault="0014130A" w:rsidP="0014130A">
      <w:pPr>
        <w:spacing w:after="0"/>
        <w:jc w:val="both"/>
        <w:rPr>
          <w:rFonts w:ascii="Times New Roman" w:eastAsia="Calibri" w:hAnsi="Times New Roman" w:cs="Times New Roman"/>
          <w:bCs/>
          <w:iCs/>
          <w:sz w:val="24"/>
          <w:szCs w:val="24"/>
        </w:rPr>
      </w:pPr>
      <w:r w:rsidRPr="00A561CF">
        <w:rPr>
          <w:rFonts w:ascii="Times New Roman" w:eastAsia="Calibri" w:hAnsi="Times New Roman" w:cs="Times New Roman"/>
          <w:bCs/>
          <w:iCs/>
          <w:sz w:val="24"/>
          <w:szCs w:val="24"/>
        </w:rPr>
        <w:t xml:space="preserve">Návrh zákona precizuje už existujúcu legislatívu a v prípadoch negatívneho vplyvu na podnikateľské prostredie iba čiastočne rozširuje okruh subjektov aplikácie už existujúcich povinností, ako napr. v prípade rozšírenia okruhu politicky exponovaných osôb, alebo rozšírenia aplikácie zvýšenej starostlivosti pri korešpondenčnom bankovníctve na okruh subjektov aj v rámci Európskej únie. Samotný obsah povinností je teda povinným osobám už </w:t>
      </w:r>
      <w:r w:rsidR="00692B46">
        <w:rPr>
          <w:rFonts w:ascii="Times New Roman" w:eastAsia="Calibri" w:hAnsi="Times New Roman" w:cs="Times New Roman"/>
          <w:bCs/>
          <w:iCs/>
          <w:sz w:val="24"/>
          <w:szCs w:val="24"/>
        </w:rPr>
        <w:t xml:space="preserve">dobre </w:t>
      </w:r>
      <w:r w:rsidRPr="00A561CF">
        <w:rPr>
          <w:rFonts w:ascii="Times New Roman" w:eastAsia="Calibri" w:hAnsi="Times New Roman" w:cs="Times New Roman"/>
          <w:bCs/>
          <w:iCs/>
          <w:sz w:val="24"/>
          <w:szCs w:val="24"/>
        </w:rPr>
        <w:t>známy</w:t>
      </w:r>
      <w:r w:rsidR="00692B46">
        <w:rPr>
          <w:rFonts w:ascii="Times New Roman" w:eastAsia="Calibri" w:hAnsi="Times New Roman" w:cs="Times New Roman"/>
          <w:bCs/>
          <w:iCs/>
          <w:sz w:val="24"/>
          <w:szCs w:val="24"/>
        </w:rPr>
        <w:t>.</w:t>
      </w:r>
    </w:p>
    <w:p w14:paraId="2BA22B5F" w14:textId="77777777" w:rsidR="00A561CF" w:rsidRDefault="00A561CF" w:rsidP="0014130A">
      <w:pPr>
        <w:spacing w:after="0"/>
        <w:jc w:val="both"/>
        <w:rPr>
          <w:rFonts w:ascii="Times New Roman" w:eastAsia="Calibri" w:hAnsi="Times New Roman" w:cs="Times New Roman"/>
          <w:bCs/>
          <w:i/>
          <w:iCs/>
          <w:sz w:val="24"/>
          <w:szCs w:val="24"/>
        </w:rPr>
      </w:pPr>
    </w:p>
    <w:p w14:paraId="0BD6B74B" w14:textId="7245BEE3" w:rsidR="00A561CF" w:rsidRPr="00A561CF" w:rsidRDefault="00A561CF" w:rsidP="00A561CF">
      <w:pPr>
        <w:spacing w:after="0"/>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2</w:t>
      </w:r>
      <w:r w:rsidRPr="00A561CF">
        <w:rPr>
          <w:rFonts w:ascii="Times New Roman" w:eastAsia="Calibri" w:hAnsi="Times New Roman" w:cs="Times New Roman"/>
          <w:bCs/>
          <w:i/>
          <w:iCs/>
          <w:sz w:val="24"/>
          <w:szCs w:val="24"/>
        </w:rPr>
        <w:t>.</w:t>
      </w:r>
      <w:r w:rsidRPr="00A561CF">
        <w:rPr>
          <w:rFonts w:ascii="Times New Roman" w:eastAsia="Calibri" w:hAnsi="Times New Roman" w:cs="Times New Roman"/>
          <w:bCs/>
          <w:i/>
          <w:iCs/>
          <w:sz w:val="24"/>
          <w:szCs w:val="24"/>
        </w:rPr>
        <w:tab/>
        <w:t>Nevykonanie základnej starostlivosti v prípade zmarenia alebo ohrozenia spracovania NOO</w:t>
      </w:r>
    </w:p>
    <w:p w14:paraId="1A8321A7" w14:textId="77777777" w:rsidR="00A561CF" w:rsidRDefault="00A561CF" w:rsidP="00A561CF">
      <w:pPr>
        <w:spacing w:after="0"/>
        <w:jc w:val="both"/>
        <w:rPr>
          <w:rFonts w:ascii="Times New Roman" w:eastAsia="Calibri" w:hAnsi="Times New Roman" w:cs="Times New Roman"/>
          <w:bCs/>
          <w:i/>
          <w:iCs/>
          <w:sz w:val="24"/>
          <w:szCs w:val="24"/>
        </w:rPr>
      </w:pPr>
    </w:p>
    <w:p w14:paraId="47426E58" w14:textId="751A600C" w:rsidR="00A561CF" w:rsidRPr="00A561CF" w:rsidRDefault="00A561CF" w:rsidP="00A561CF">
      <w:pPr>
        <w:spacing w:after="0"/>
        <w:jc w:val="both"/>
        <w:rPr>
          <w:rFonts w:ascii="Times New Roman" w:eastAsia="Calibri" w:hAnsi="Times New Roman" w:cs="Times New Roman"/>
          <w:bCs/>
          <w:iCs/>
          <w:sz w:val="24"/>
          <w:szCs w:val="24"/>
        </w:rPr>
      </w:pPr>
      <w:r w:rsidRPr="00A561CF">
        <w:rPr>
          <w:rFonts w:ascii="Times New Roman" w:eastAsia="Calibri" w:hAnsi="Times New Roman" w:cs="Times New Roman"/>
          <w:bCs/>
          <w:iCs/>
          <w:sz w:val="24"/>
          <w:szCs w:val="24"/>
        </w:rPr>
        <w:t xml:space="preserve">Doteraz platná právna úprava vyžadovala od povinných osôb vykonanie základnej starostlivosti vo vzťahu ku klientovi v prípade, ak má povinná osoba podozrenie, že klient pripravuje alebo vykonáva neobvyklú obchodnú operáciu bez ohľadu na hodnotu obchodu. Nová právna úprava </w:t>
      </w:r>
      <w:r w:rsidR="00EA18A9">
        <w:rPr>
          <w:rFonts w:ascii="Times New Roman" w:eastAsia="Calibri" w:hAnsi="Times New Roman" w:cs="Times New Roman"/>
          <w:bCs/>
          <w:iCs/>
          <w:sz w:val="24"/>
          <w:szCs w:val="24"/>
        </w:rPr>
        <w:t xml:space="preserve">(ustanovenie § 10 ods. 9 zákona č. 297/2008 Z. z.) </w:t>
      </w:r>
      <w:r w:rsidRPr="00A561CF">
        <w:rPr>
          <w:rFonts w:ascii="Times New Roman" w:eastAsia="Calibri" w:hAnsi="Times New Roman" w:cs="Times New Roman"/>
          <w:bCs/>
          <w:iCs/>
          <w:sz w:val="24"/>
          <w:szCs w:val="24"/>
        </w:rPr>
        <w:t>umožňuje povinným osobám v prípadoch, ak by vykonaním základnej starostlivosti mohlo dôjsť k zmareniu alebo ohrozeniu spracovania neobvyklej obchodnej operácie, nevykonať základnú starostlivosť, ale túto skutočnosť ohlásiť finančnej spravodajskej jednotke. Povinným osobám touto úpravou klesnú náklady na, v mnohých prípadoch, komplikované zisťovanie údajov v rozsahu základnej starostlivosti podľa § 10 ods. 1 písm. a) až g) zákona č. 297/2008 Z. z. Uvedená regulácia je preto znížením administratívnej záťaže povinných osôb.</w:t>
      </w:r>
    </w:p>
    <w:p w14:paraId="078BD550" w14:textId="77777777" w:rsidR="00A561CF" w:rsidRDefault="00A561CF" w:rsidP="00A561CF">
      <w:pPr>
        <w:spacing w:after="0"/>
        <w:jc w:val="both"/>
        <w:rPr>
          <w:rFonts w:ascii="Times New Roman" w:eastAsia="Calibri" w:hAnsi="Times New Roman" w:cs="Times New Roman"/>
          <w:bCs/>
          <w:i/>
          <w:iCs/>
          <w:sz w:val="24"/>
          <w:szCs w:val="24"/>
        </w:rPr>
      </w:pPr>
    </w:p>
    <w:p w14:paraId="5A90055A" w14:textId="6D42BACB" w:rsidR="00A561CF" w:rsidRPr="00A561CF" w:rsidRDefault="00A561CF" w:rsidP="00A561CF">
      <w:pPr>
        <w:spacing w:after="0"/>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lastRenderedPageBreak/>
        <w:t>3</w:t>
      </w:r>
      <w:r w:rsidRPr="00A561CF">
        <w:rPr>
          <w:rFonts w:ascii="Times New Roman" w:eastAsia="Calibri" w:hAnsi="Times New Roman" w:cs="Times New Roman"/>
          <w:bCs/>
          <w:i/>
          <w:iCs/>
          <w:sz w:val="24"/>
          <w:szCs w:val="24"/>
        </w:rPr>
        <w:t>.</w:t>
      </w:r>
      <w:r w:rsidRPr="00A561CF">
        <w:rPr>
          <w:rFonts w:ascii="Times New Roman" w:eastAsia="Calibri" w:hAnsi="Times New Roman" w:cs="Times New Roman"/>
          <w:bCs/>
          <w:i/>
          <w:iCs/>
          <w:sz w:val="24"/>
          <w:szCs w:val="24"/>
        </w:rPr>
        <w:tab/>
        <w:t>Rozšírenie možnosti aplikácie zjednodušenej starostlivosti v prípade vyhodnotenia nízkeho rizika legalizácie</w:t>
      </w:r>
    </w:p>
    <w:p w14:paraId="33AEB100" w14:textId="77777777" w:rsidR="00A561CF" w:rsidRDefault="00A561CF" w:rsidP="00A561CF">
      <w:pPr>
        <w:spacing w:after="0"/>
        <w:jc w:val="both"/>
        <w:rPr>
          <w:rFonts w:ascii="Times New Roman" w:eastAsia="Calibri" w:hAnsi="Times New Roman" w:cs="Times New Roman"/>
          <w:bCs/>
          <w:i/>
          <w:iCs/>
          <w:sz w:val="24"/>
          <w:szCs w:val="24"/>
        </w:rPr>
      </w:pPr>
    </w:p>
    <w:p w14:paraId="07669F07" w14:textId="62BE637A" w:rsidR="00A561CF" w:rsidRDefault="00A561CF" w:rsidP="00A561CF">
      <w:pPr>
        <w:spacing w:after="0"/>
        <w:jc w:val="both"/>
        <w:rPr>
          <w:rFonts w:ascii="Times New Roman" w:eastAsia="Calibri" w:hAnsi="Times New Roman" w:cs="Times New Roman"/>
          <w:bCs/>
          <w:iCs/>
          <w:sz w:val="24"/>
          <w:szCs w:val="24"/>
        </w:rPr>
      </w:pPr>
      <w:r w:rsidRPr="00A561CF">
        <w:rPr>
          <w:rFonts w:ascii="Times New Roman" w:eastAsia="Calibri" w:hAnsi="Times New Roman" w:cs="Times New Roman"/>
          <w:bCs/>
          <w:iCs/>
          <w:sz w:val="24"/>
          <w:szCs w:val="24"/>
        </w:rPr>
        <w:t xml:space="preserve">Návrh zákona </w:t>
      </w:r>
      <w:r w:rsidR="00CF1917">
        <w:rPr>
          <w:rFonts w:ascii="Times New Roman" w:eastAsia="Calibri" w:hAnsi="Times New Roman" w:cs="Times New Roman"/>
          <w:bCs/>
          <w:iCs/>
          <w:sz w:val="24"/>
          <w:szCs w:val="24"/>
        </w:rPr>
        <w:t>(§ 11 ods. 1 písm. a) zákona č. 297/2008 Z </w:t>
      </w:r>
      <w:proofErr w:type="spellStart"/>
      <w:r w:rsidR="00CF1917">
        <w:rPr>
          <w:rFonts w:ascii="Times New Roman" w:eastAsia="Calibri" w:hAnsi="Times New Roman" w:cs="Times New Roman"/>
          <w:bCs/>
          <w:iCs/>
          <w:sz w:val="24"/>
          <w:szCs w:val="24"/>
        </w:rPr>
        <w:t>z</w:t>
      </w:r>
      <w:proofErr w:type="spellEnd"/>
      <w:r w:rsidR="00CF1917">
        <w:rPr>
          <w:rFonts w:ascii="Times New Roman" w:eastAsia="Calibri" w:hAnsi="Times New Roman" w:cs="Times New Roman"/>
          <w:bCs/>
          <w:iCs/>
          <w:sz w:val="24"/>
          <w:szCs w:val="24"/>
        </w:rPr>
        <w:t xml:space="preserve">.) </w:t>
      </w:r>
      <w:r w:rsidRPr="00A561CF">
        <w:rPr>
          <w:rFonts w:ascii="Times New Roman" w:eastAsia="Calibri" w:hAnsi="Times New Roman" w:cs="Times New Roman"/>
          <w:bCs/>
          <w:iCs/>
          <w:sz w:val="24"/>
          <w:szCs w:val="24"/>
        </w:rPr>
        <w:t>umožňuje povinným osobám vykonať vo vzťahu ku klientom s nízkym rizikom legalizácie a financovania terorizmu iba zjednodušenú starostlivosť za podmienok stanovených v návrhu zákona. Takéto rozšírenie možnosti aplikácie zjednodušenej starostlivosti zníži náklady povinných osôb, nakoľko budú povinné zisťovať iba identifikačné údaje klienta a osoby konajúcej za klienta a údaje potrebné k identifikácii konečného užívateľa výhod klienta a k zisteniu, či klient alebo konečný užívateľ klienta je politicky exponovanou osobou. Kvantifikácia zníženia nákladov však nie je možná, nakoľko sa nedá predpokladať, koľkých povinných osôb sa takáto zmena bude týkať, ani vo vzťahu ku koľkým klientom budú môcť nové ustanovenie zákona aplikovať .</w:t>
      </w:r>
    </w:p>
    <w:p w14:paraId="7B6BE2DE" w14:textId="77777777" w:rsidR="00CE2A4D" w:rsidRDefault="00CE2A4D" w:rsidP="00A561CF">
      <w:pPr>
        <w:spacing w:after="0"/>
        <w:jc w:val="both"/>
        <w:rPr>
          <w:rFonts w:ascii="Times New Roman" w:eastAsia="Calibri" w:hAnsi="Times New Roman" w:cs="Times New Roman"/>
          <w:bCs/>
          <w:iCs/>
          <w:sz w:val="24"/>
          <w:szCs w:val="24"/>
        </w:rPr>
      </w:pPr>
    </w:p>
    <w:p w14:paraId="757EC65E" w14:textId="58E4F840" w:rsidR="00CE2A4D" w:rsidRPr="00CE2A4D" w:rsidRDefault="00CE2A4D" w:rsidP="00CE2A4D">
      <w:pPr>
        <w:spacing w:after="0"/>
        <w:jc w:val="both"/>
        <w:rPr>
          <w:rFonts w:ascii="Times New Roman" w:eastAsia="Calibri" w:hAnsi="Times New Roman" w:cs="Times New Roman"/>
          <w:bCs/>
          <w:i/>
          <w:iCs/>
          <w:sz w:val="24"/>
          <w:szCs w:val="24"/>
        </w:rPr>
      </w:pPr>
      <w:r w:rsidRPr="00CE2A4D">
        <w:rPr>
          <w:rFonts w:ascii="Times New Roman" w:eastAsia="Calibri" w:hAnsi="Times New Roman" w:cs="Times New Roman"/>
          <w:bCs/>
          <w:i/>
          <w:iCs/>
          <w:sz w:val="24"/>
          <w:szCs w:val="24"/>
        </w:rPr>
        <w:t>4.</w:t>
      </w:r>
      <w:r w:rsidRPr="00CE2A4D">
        <w:rPr>
          <w:rFonts w:ascii="Times New Roman" w:eastAsia="Calibri" w:hAnsi="Times New Roman" w:cs="Times New Roman"/>
          <w:bCs/>
          <w:iCs/>
          <w:sz w:val="24"/>
          <w:szCs w:val="24"/>
        </w:rPr>
        <w:tab/>
      </w:r>
      <w:r w:rsidRPr="00CE2A4D">
        <w:rPr>
          <w:rFonts w:ascii="Times New Roman" w:eastAsia="Calibri" w:hAnsi="Times New Roman" w:cs="Times New Roman"/>
          <w:bCs/>
          <w:i/>
          <w:iCs/>
          <w:sz w:val="24"/>
          <w:szCs w:val="24"/>
        </w:rPr>
        <w:t>Doplnenie programu vlastnej činnosti povinnej osoby o postup na zavedenie systému riadenia rizík na určenie, či klient alebo konečný užívateľ klienta je politicky exponovanou osobou alebo sankcionovanou osobou</w:t>
      </w:r>
    </w:p>
    <w:p w14:paraId="4C0C04AF" w14:textId="77777777" w:rsidR="00CE2A4D" w:rsidRDefault="00CE2A4D" w:rsidP="00CE2A4D">
      <w:pPr>
        <w:spacing w:after="0"/>
        <w:jc w:val="both"/>
        <w:rPr>
          <w:rFonts w:ascii="Times New Roman" w:eastAsia="Calibri" w:hAnsi="Times New Roman" w:cs="Times New Roman"/>
          <w:bCs/>
          <w:iCs/>
          <w:sz w:val="24"/>
          <w:szCs w:val="24"/>
        </w:rPr>
      </w:pPr>
    </w:p>
    <w:p w14:paraId="1B8CEA47" w14:textId="3CFB19C2" w:rsidR="00CE2A4D" w:rsidRPr="00CE2A4D" w:rsidRDefault="00CE2A4D" w:rsidP="00CE2A4D">
      <w:pPr>
        <w:spacing w:after="0"/>
        <w:jc w:val="both"/>
        <w:rPr>
          <w:rFonts w:ascii="Times New Roman" w:eastAsia="Calibri" w:hAnsi="Times New Roman" w:cs="Times New Roman"/>
          <w:bCs/>
          <w:iCs/>
          <w:sz w:val="24"/>
          <w:szCs w:val="24"/>
        </w:rPr>
      </w:pPr>
      <w:r w:rsidRPr="00CE2A4D">
        <w:rPr>
          <w:rFonts w:ascii="Times New Roman" w:eastAsia="Calibri" w:hAnsi="Times New Roman" w:cs="Times New Roman"/>
          <w:bCs/>
          <w:iCs/>
          <w:sz w:val="24"/>
          <w:szCs w:val="24"/>
        </w:rPr>
        <w:t xml:space="preserve">Uvedená regulácia </w:t>
      </w:r>
      <w:r w:rsidR="00CF1917">
        <w:rPr>
          <w:rFonts w:ascii="Times New Roman" w:eastAsia="Calibri" w:hAnsi="Times New Roman" w:cs="Times New Roman"/>
          <w:bCs/>
          <w:iCs/>
          <w:sz w:val="24"/>
          <w:szCs w:val="24"/>
        </w:rPr>
        <w:t xml:space="preserve">(§ 20 ods. 2 písm. l) zákona č. 297/2008 Z. z.) </w:t>
      </w:r>
      <w:r w:rsidRPr="00CE2A4D">
        <w:rPr>
          <w:rFonts w:ascii="Times New Roman" w:eastAsia="Calibri" w:hAnsi="Times New Roman" w:cs="Times New Roman"/>
          <w:bCs/>
          <w:iCs/>
          <w:sz w:val="24"/>
          <w:szCs w:val="24"/>
        </w:rPr>
        <w:t xml:space="preserve">súvisí so zapracovaním postupu na identifikáciu politicky exponovaných osôb do programov vlastnej činnosti povinných osôb. Vo svojej podstate ide o formálne doplnenie, nakoľko samotná povinnosť určiť, či klient alebo konečný užívateľ klienta je politicky exponovanou osobou je súčasťou základnej starostlivosti vo vzťahu ku klientovi a túto povinnosť mali povinné osoby už v predchádzajúcej právnej úprave. Uvedená regulácia však bola potrebná z hľadiska zabezpečenia súladu so štandardami FATF. Nemožno však určiť, akého počtu povinných osôb sa táto zmena dotkne, nakoľko prevažná väčšina povinných osôb takéto postupy vo svojich programoch vlastnej činnosti už majú zapracované a to z dôvodu vykonávania tejto povinnosti pri základnej starostlivosti. </w:t>
      </w:r>
    </w:p>
    <w:p w14:paraId="6314A230" w14:textId="77777777" w:rsidR="00CE2A4D" w:rsidRDefault="00CE2A4D" w:rsidP="00CE2A4D">
      <w:pPr>
        <w:spacing w:after="0"/>
        <w:jc w:val="both"/>
        <w:rPr>
          <w:rFonts w:ascii="Times New Roman" w:eastAsia="Calibri" w:hAnsi="Times New Roman" w:cs="Times New Roman"/>
          <w:bCs/>
          <w:iCs/>
          <w:sz w:val="24"/>
          <w:szCs w:val="24"/>
        </w:rPr>
      </w:pPr>
    </w:p>
    <w:p w14:paraId="08046F74" w14:textId="337FD4FA" w:rsidR="00CE2A4D" w:rsidRPr="00CE2A4D" w:rsidRDefault="00CE2A4D" w:rsidP="00CE2A4D">
      <w:pPr>
        <w:spacing w:after="0"/>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5</w:t>
      </w:r>
      <w:r w:rsidRPr="00CE2A4D">
        <w:rPr>
          <w:rFonts w:ascii="Times New Roman" w:eastAsia="Calibri" w:hAnsi="Times New Roman" w:cs="Times New Roman"/>
          <w:bCs/>
          <w:i/>
          <w:iCs/>
          <w:sz w:val="24"/>
          <w:szCs w:val="24"/>
        </w:rPr>
        <w:t>.</w:t>
      </w:r>
      <w:r w:rsidRPr="00CE2A4D">
        <w:rPr>
          <w:rFonts w:ascii="Times New Roman" w:eastAsia="Calibri" w:hAnsi="Times New Roman" w:cs="Times New Roman"/>
          <w:bCs/>
          <w:i/>
          <w:iCs/>
          <w:sz w:val="24"/>
          <w:szCs w:val="24"/>
        </w:rPr>
        <w:tab/>
        <w:t>Rozšírenie okruhu orgánov o NBS a URHH, ktorým sa na vyžiadanie poskytuje hodnotenie rizík</w:t>
      </w:r>
    </w:p>
    <w:p w14:paraId="299EFDB4" w14:textId="77777777" w:rsidR="00CE2A4D" w:rsidRPr="00CE2A4D" w:rsidRDefault="00CE2A4D" w:rsidP="00CE2A4D">
      <w:pPr>
        <w:spacing w:after="0"/>
        <w:jc w:val="both"/>
        <w:rPr>
          <w:rFonts w:ascii="Times New Roman" w:eastAsia="Calibri" w:hAnsi="Times New Roman" w:cs="Times New Roman"/>
          <w:bCs/>
          <w:i/>
          <w:iCs/>
          <w:sz w:val="24"/>
          <w:szCs w:val="24"/>
        </w:rPr>
      </w:pPr>
    </w:p>
    <w:p w14:paraId="74EB62F8" w14:textId="2575DB24" w:rsidR="00CE2A4D" w:rsidRPr="00A561CF" w:rsidRDefault="00CE2A4D" w:rsidP="00CE2A4D">
      <w:pPr>
        <w:spacing w:after="0"/>
        <w:jc w:val="both"/>
        <w:rPr>
          <w:rFonts w:ascii="Times New Roman" w:eastAsia="Calibri" w:hAnsi="Times New Roman" w:cs="Times New Roman"/>
          <w:bCs/>
          <w:iCs/>
          <w:sz w:val="24"/>
          <w:szCs w:val="24"/>
        </w:rPr>
      </w:pPr>
      <w:r w:rsidRPr="00CE2A4D">
        <w:rPr>
          <w:rFonts w:ascii="Times New Roman" w:eastAsia="Calibri" w:hAnsi="Times New Roman" w:cs="Times New Roman"/>
          <w:bCs/>
          <w:iCs/>
          <w:sz w:val="24"/>
          <w:szCs w:val="24"/>
        </w:rPr>
        <w:t xml:space="preserve">Uvedená regulácia </w:t>
      </w:r>
      <w:r w:rsidR="003D0F85">
        <w:rPr>
          <w:rFonts w:ascii="Times New Roman" w:eastAsia="Calibri" w:hAnsi="Times New Roman" w:cs="Times New Roman"/>
          <w:bCs/>
          <w:iCs/>
          <w:sz w:val="24"/>
          <w:szCs w:val="24"/>
        </w:rPr>
        <w:t xml:space="preserve">(§ 20a ods. 2 zákona č. 297/2008 Z. z.) </w:t>
      </w:r>
      <w:r w:rsidRPr="00CE2A4D">
        <w:rPr>
          <w:rFonts w:ascii="Times New Roman" w:eastAsia="Calibri" w:hAnsi="Times New Roman" w:cs="Times New Roman"/>
          <w:bCs/>
          <w:iCs/>
          <w:sz w:val="24"/>
          <w:szCs w:val="24"/>
        </w:rPr>
        <w:t>sa dotkne povinných osôb, vo vzťahu ku ktorým vykonáva kontrolu podľa § 29 Národná banka Slovenska a Úrad pre reguláciu hazardných hier. Počet subjektov, vo vzťahu ku ktorým bude uvedená regulácia aplikovateľná nie je možné vopred určiť. Samotné vypracovanie hodnotenia rizík mali povinné osoby v už predchádzajúcej právnej úprave, v ktorej mali zároveň aj povinnosť na vyžiadanie poskytnúť hodnotenie rizík FSJ. Nová právna úprava iba rozširuje okruh orgánov o Národnú banku Slovenska a Úrad pre reguláciu hazardných hier, pričom závisí od samotných orgánov, či a vo vzťahu ku ktorým povinným osobám si hodnotenie rizík vyžiadajú. Z doterajšej praxe možno uviesť, že FSJ si vyžiadala hodnotenie rizík za predchádzajúce obdobie dvoch rokov, od kedy takéto oprávnenie bolo upravené zákonom,  iba v jednom prípade.</w:t>
      </w:r>
    </w:p>
    <w:p w14:paraId="0A430041" w14:textId="77777777" w:rsidR="00982D9D" w:rsidRDefault="00982D9D" w:rsidP="00982D9D">
      <w:pPr>
        <w:spacing w:after="0"/>
        <w:jc w:val="both"/>
        <w:rPr>
          <w:rFonts w:ascii="Times New Roman" w:eastAsia="Calibri" w:hAnsi="Times New Roman" w:cs="Times New Roman"/>
          <w:bCs/>
          <w:i/>
          <w:iCs/>
          <w:sz w:val="24"/>
          <w:szCs w:val="24"/>
        </w:rPr>
      </w:pPr>
    </w:p>
    <w:p w14:paraId="476D6F97" w14:textId="77777777" w:rsidR="00982D9D" w:rsidRDefault="00982D9D" w:rsidP="00982D9D">
      <w:pPr>
        <w:spacing w:after="0"/>
        <w:jc w:val="both"/>
        <w:rPr>
          <w:rFonts w:ascii="Times New Roman" w:eastAsia="Calibri" w:hAnsi="Times New Roman" w:cs="Times New Roman"/>
          <w:bCs/>
          <w:i/>
          <w:iCs/>
          <w:sz w:val="24"/>
          <w:szCs w:val="24"/>
        </w:rPr>
      </w:pPr>
    </w:p>
    <w:p w14:paraId="6DB66883" w14:textId="4B266BEC" w:rsidR="00982D9D" w:rsidRPr="00982D9D" w:rsidRDefault="00405886" w:rsidP="00982D9D">
      <w:pPr>
        <w:spacing w:after="0"/>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6.      </w:t>
      </w:r>
      <w:r w:rsidR="00982D9D" w:rsidRPr="00982D9D">
        <w:rPr>
          <w:rFonts w:ascii="Times New Roman" w:eastAsia="Calibri" w:hAnsi="Times New Roman" w:cs="Times New Roman"/>
          <w:bCs/>
          <w:i/>
          <w:iCs/>
          <w:sz w:val="24"/>
          <w:szCs w:val="24"/>
        </w:rPr>
        <w:t>Poskytnutie súčinnosti povinným osobám  správcom zahraničného fondu</w:t>
      </w:r>
    </w:p>
    <w:p w14:paraId="4C5ED39D" w14:textId="77777777" w:rsidR="00982D9D" w:rsidRDefault="00982D9D" w:rsidP="00982D9D">
      <w:pPr>
        <w:spacing w:after="0"/>
        <w:jc w:val="both"/>
        <w:rPr>
          <w:rFonts w:ascii="Times New Roman" w:eastAsia="Calibri" w:hAnsi="Times New Roman" w:cs="Times New Roman"/>
          <w:bCs/>
          <w:iCs/>
          <w:sz w:val="24"/>
          <w:szCs w:val="24"/>
        </w:rPr>
      </w:pPr>
    </w:p>
    <w:p w14:paraId="76AEF74E" w14:textId="166DCBB8" w:rsidR="00982D9D" w:rsidRPr="00982D9D" w:rsidRDefault="00982D9D" w:rsidP="00982D9D">
      <w:pPr>
        <w:spacing w:after="0"/>
        <w:jc w:val="both"/>
        <w:rPr>
          <w:rFonts w:ascii="Times New Roman" w:eastAsia="Times New Roman" w:hAnsi="Times New Roman" w:cs="Times New Roman"/>
          <w:sz w:val="24"/>
          <w:szCs w:val="24"/>
          <w:lang w:eastAsia="sk-SK"/>
        </w:rPr>
      </w:pPr>
      <w:r>
        <w:rPr>
          <w:rFonts w:ascii="Times New Roman" w:eastAsia="Calibri" w:hAnsi="Times New Roman" w:cs="Times New Roman"/>
          <w:bCs/>
          <w:iCs/>
          <w:sz w:val="24"/>
          <w:szCs w:val="24"/>
        </w:rPr>
        <w:lastRenderedPageBreak/>
        <w:t xml:space="preserve">Novela zákona č. 297/2008 Z. z. zavádza </w:t>
      </w:r>
      <w:r w:rsidR="003D0F85">
        <w:rPr>
          <w:rFonts w:ascii="Times New Roman" w:eastAsia="Calibri" w:hAnsi="Times New Roman" w:cs="Times New Roman"/>
          <w:bCs/>
          <w:iCs/>
          <w:sz w:val="24"/>
          <w:szCs w:val="24"/>
        </w:rPr>
        <w:t xml:space="preserve">v ustanovení § 24b </w:t>
      </w:r>
      <w:r>
        <w:rPr>
          <w:rFonts w:ascii="Times New Roman" w:eastAsia="Calibri" w:hAnsi="Times New Roman" w:cs="Times New Roman"/>
          <w:bCs/>
          <w:iCs/>
          <w:sz w:val="24"/>
          <w:szCs w:val="24"/>
        </w:rPr>
        <w:t>nový pojem „správca zvereneckého</w:t>
      </w:r>
      <w:r w:rsidRPr="00982D9D">
        <w:rPr>
          <w:rFonts w:ascii="Times New Roman" w:eastAsia="Calibri" w:hAnsi="Times New Roman" w:cs="Times New Roman"/>
          <w:bCs/>
          <w:iCs/>
          <w:sz w:val="24"/>
          <w:szCs w:val="24"/>
        </w:rPr>
        <w:t xml:space="preserve"> fond</w:t>
      </w:r>
      <w:r>
        <w:rPr>
          <w:rFonts w:ascii="Times New Roman" w:eastAsia="Calibri" w:hAnsi="Times New Roman" w:cs="Times New Roman"/>
          <w:bCs/>
          <w:iCs/>
          <w:sz w:val="24"/>
          <w:szCs w:val="24"/>
        </w:rPr>
        <w:t>u zriadeného</w:t>
      </w:r>
      <w:r w:rsidRPr="00982D9D">
        <w:rPr>
          <w:rFonts w:ascii="Times New Roman" w:eastAsia="Calibri" w:hAnsi="Times New Roman" w:cs="Times New Roman"/>
          <w:bCs/>
          <w:iCs/>
          <w:sz w:val="24"/>
          <w:szCs w:val="24"/>
        </w:rPr>
        <w:t xml:space="preserve"> podľa</w:t>
      </w:r>
      <w:r>
        <w:rPr>
          <w:rFonts w:ascii="Times New Roman" w:eastAsia="Calibri" w:hAnsi="Times New Roman" w:cs="Times New Roman"/>
          <w:bCs/>
          <w:iCs/>
          <w:sz w:val="24"/>
          <w:szCs w:val="24"/>
        </w:rPr>
        <w:t xml:space="preserve"> práva iného štátu alebo obdobnej právnej štruktúry založenej</w:t>
      </w:r>
      <w:r w:rsidRPr="00982D9D">
        <w:rPr>
          <w:rFonts w:ascii="Times New Roman" w:eastAsia="Calibri" w:hAnsi="Times New Roman" w:cs="Times New Roman"/>
          <w:bCs/>
          <w:iCs/>
          <w:sz w:val="24"/>
          <w:szCs w:val="24"/>
        </w:rPr>
        <w:t xml:space="preserve"> podľa práva iného štátu (ďalej len „</w:t>
      </w:r>
      <w:r>
        <w:rPr>
          <w:rFonts w:ascii="Times New Roman" w:eastAsia="Calibri" w:hAnsi="Times New Roman" w:cs="Times New Roman"/>
          <w:bCs/>
          <w:iCs/>
          <w:sz w:val="24"/>
          <w:szCs w:val="24"/>
        </w:rPr>
        <w:t>správca zahraničného</w:t>
      </w:r>
      <w:r w:rsidRPr="00982D9D">
        <w:rPr>
          <w:rFonts w:ascii="Times New Roman" w:eastAsia="Calibri" w:hAnsi="Times New Roman" w:cs="Times New Roman"/>
          <w:bCs/>
          <w:iCs/>
          <w:sz w:val="24"/>
          <w:szCs w:val="24"/>
        </w:rPr>
        <w:t xml:space="preserve"> fond</w:t>
      </w:r>
      <w:r>
        <w:rPr>
          <w:rFonts w:ascii="Times New Roman" w:eastAsia="Calibri" w:hAnsi="Times New Roman" w:cs="Times New Roman"/>
          <w:bCs/>
          <w:iCs/>
          <w:sz w:val="24"/>
          <w:szCs w:val="24"/>
        </w:rPr>
        <w:t>u</w:t>
      </w:r>
      <w:r w:rsidRPr="00982D9D">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Pr="00982D9D">
        <w:rPr>
          <w:rFonts w:ascii="Times New Roman" w:eastAsia="Times New Roman" w:hAnsi="Times New Roman" w:cs="Times New Roman"/>
          <w:sz w:val="24"/>
          <w:szCs w:val="24"/>
        </w:rPr>
        <w:t>Doplnenie nového ustanovenia o správcoch vyplynulo zo stanoviska Európskej komisie, ktorá SR vyčítala nedostatočnú transpozíciu ustanovení o správe zvereného majetku resp. zvereneckých fondoch. N</w:t>
      </w:r>
      <w:r w:rsidRPr="00982D9D">
        <w:rPr>
          <w:rFonts w:ascii="Times New Roman" w:eastAsia="Times New Roman" w:hAnsi="Times New Roman" w:cs="Times New Roman"/>
          <w:sz w:val="24"/>
          <w:szCs w:val="24"/>
          <w:lang w:eastAsia="sk-SK"/>
        </w:rPr>
        <w:t xml:space="preserve">apriek tomu, že uvedená právna štruktúra </w:t>
      </w:r>
      <w:r w:rsidRPr="00982D9D">
        <w:rPr>
          <w:rFonts w:ascii="Times New Roman" w:eastAsia="Times New Roman" w:hAnsi="Times New Roman" w:cs="Times New Roman"/>
          <w:b/>
          <w:i/>
          <w:sz w:val="24"/>
          <w:szCs w:val="24"/>
          <w:lang w:eastAsia="sk-SK"/>
        </w:rPr>
        <w:t>nie je v slovenskom právnom poriadku vymedzená</w:t>
      </w:r>
      <w:r w:rsidRPr="00982D9D">
        <w:rPr>
          <w:rFonts w:ascii="Times New Roman" w:eastAsia="Times New Roman" w:hAnsi="Times New Roman" w:cs="Times New Roman"/>
          <w:sz w:val="24"/>
          <w:szCs w:val="24"/>
          <w:lang w:eastAsia="sk-SK"/>
        </w:rPr>
        <w:t xml:space="preserve"> (pojem zverenecký fond sa v súčasnosti používa v zákone č. 359/2015 Z. z. o automatickej výmene informácií o finančných účtoch na účely správy daní a o zmene a doplnení niektorých zákonov a v zákone č. 507/2023 Z. z. o </w:t>
      </w:r>
      <w:proofErr w:type="spellStart"/>
      <w:r w:rsidRPr="00982D9D">
        <w:rPr>
          <w:rFonts w:ascii="Times New Roman" w:eastAsia="Times New Roman" w:hAnsi="Times New Roman" w:cs="Times New Roman"/>
          <w:sz w:val="24"/>
          <w:szCs w:val="24"/>
          <w:lang w:eastAsia="sk-SK"/>
        </w:rPr>
        <w:t>dorovnávacej</w:t>
      </w:r>
      <w:proofErr w:type="spellEnd"/>
      <w:r w:rsidRPr="00982D9D">
        <w:rPr>
          <w:rFonts w:ascii="Times New Roman" w:eastAsia="Times New Roman" w:hAnsi="Times New Roman" w:cs="Times New Roman"/>
          <w:sz w:val="24"/>
          <w:szCs w:val="24"/>
          <w:lang w:eastAsia="sk-SK"/>
        </w:rPr>
        <w:t xml:space="preserve"> dani na zabezpečenie minimálnej úrovne zdanenia nadnárodných skupín podnikov a veľkých vnútroštátnych skupín a o doplnení zákona č. 563/2009 Z. z. o správe daní (daňový poriadok) a o zmene a doplnení niektorých zákonov v znení neskorších predpisov) je podľa stanoviska Európskej komisie potrebné reagovať aj na </w:t>
      </w:r>
      <w:r w:rsidRPr="00982D9D">
        <w:rPr>
          <w:rFonts w:ascii="Times New Roman" w:eastAsia="Times New Roman" w:hAnsi="Times New Roman" w:cs="Times New Roman"/>
          <w:sz w:val="24"/>
          <w:szCs w:val="24"/>
          <w:u w:val="single"/>
          <w:lang w:eastAsia="sk-SK"/>
        </w:rPr>
        <w:t>„cezhraničné situácie“,</w:t>
      </w:r>
      <w:r w:rsidRPr="00982D9D">
        <w:rPr>
          <w:rFonts w:ascii="Times New Roman" w:eastAsia="Times New Roman" w:hAnsi="Times New Roman" w:cs="Times New Roman"/>
          <w:sz w:val="24"/>
          <w:szCs w:val="24"/>
          <w:lang w:eastAsia="sk-SK"/>
        </w:rPr>
        <w:t xml:space="preserve"> teda na situácie, kedy je zverenecký fond </w:t>
      </w:r>
      <w:r w:rsidRPr="00982D9D">
        <w:rPr>
          <w:rFonts w:ascii="Times New Roman" w:eastAsia="Times New Roman" w:hAnsi="Times New Roman" w:cs="Times New Roman"/>
          <w:sz w:val="24"/>
          <w:szCs w:val="24"/>
          <w:u w:val="single"/>
          <w:lang w:eastAsia="sk-SK"/>
        </w:rPr>
        <w:t>zriadený právom iného štátu</w:t>
      </w:r>
      <w:r w:rsidRPr="00982D9D">
        <w:rPr>
          <w:rFonts w:ascii="Times New Roman" w:eastAsia="Times New Roman" w:hAnsi="Times New Roman" w:cs="Times New Roman"/>
          <w:sz w:val="24"/>
          <w:szCs w:val="24"/>
          <w:lang w:eastAsia="sk-SK"/>
        </w:rPr>
        <w:t xml:space="preserve">. </w:t>
      </w:r>
    </w:p>
    <w:p w14:paraId="4D8846C1" w14:textId="351EECCC" w:rsidR="00982D9D" w:rsidRDefault="00982D9D" w:rsidP="00982D9D">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 uvedeného vyplýva, že aj samotný </w:t>
      </w:r>
      <w:r w:rsidRPr="00982D9D">
        <w:rPr>
          <w:rFonts w:ascii="Times New Roman" w:eastAsia="Times New Roman" w:hAnsi="Times New Roman" w:cs="Times New Roman"/>
          <w:b/>
          <w:i/>
          <w:sz w:val="24"/>
          <w:szCs w:val="24"/>
          <w:lang w:eastAsia="sk-SK"/>
        </w:rPr>
        <w:t>správca zahraničného fondu je zahraničným subjektom</w:t>
      </w:r>
      <w:r>
        <w:rPr>
          <w:rFonts w:ascii="Times New Roman" w:eastAsia="Times New Roman" w:hAnsi="Times New Roman" w:cs="Times New Roman"/>
          <w:sz w:val="24"/>
          <w:szCs w:val="24"/>
          <w:lang w:eastAsia="sk-SK"/>
        </w:rPr>
        <w:t xml:space="preserve">, </w:t>
      </w:r>
      <w:r w:rsidRPr="00483911">
        <w:rPr>
          <w:rFonts w:ascii="Times New Roman" w:eastAsia="Times New Roman" w:hAnsi="Times New Roman" w:cs="Times New Roman"/>
          <w:sz w:val="24"/>
          <w:szCs w:val="24"/>
          <w:u w:val="single"/>
          <w:lang w:eastAsia="sk-SK"/>
        </w:rPr>
        <w:t>nejde teda o slovenský podnikateľský subjekt</w:t>
      </w:r>
      <w:r>
        <w:rPr>
          <w:rFonts w:ascii="Times New Roman" w:eastAsia="Times New Roman" w:hAnsi="Times New Roman" w:cs="Times New Roman"/>
          <w:sz w:val="24"/>
          <w:szCs w:val="24"/>
          <w:lang w:eastAsia="sk-SK"/>
        </w:rPr>
        <w:t xml:space="preserve">, preto uvedená regulácia nebola zaradená do časti 3.1 nákladov regulácie. </w:t>
      </w:r>
    </w:p>
    <w:p w14:paraId="09D46394" w14:textId="51F03135" w:rsidR="00982D9D" w:rsidRPr="00982D9D" w:rsidRDefault="00982D9D" w:rsidP="00982D9D">
      <w:pPr>
        <w:spacing w:after="0"/>
        <w:jc w:val="both"/>
        <w:rPr>
          <w:rFonts w:ascii="Times New Roman" w:eastAsia="Calibri" w:hAnsi="Times New Roman" w:cs="Times New Roman"/>
          <w:bCs/>
          <w:iCs/>
          <w:sz w:val="24"/>
          <w:szCs w:val="24"/>
        </w:rPr>
      </w:pPr>
      <w:r w:rsidRPr="00982D9D">
        <w:rPr>
          <w:rFonts w:ascii="Times New Roman" w:eastAsia="Calibri" w:hAnsi="Times New Roman" w:cs="Times New Roman"/>
          <w:bCs/>
          <w:iCs/>
          <w:sz w:val="24"/>
          <w:szCs w:val="24"/>
        </w:rPr>
        <w:t xml:space="preserve">Správca zahraničného fondu bude povinný informovať a poskytnúť údaje o konečných užívateľoch výhod zahraničného fondu povinným osobám v zákonom určených prípadoch. </w:t>
      </w:r>
    </w:p>
    <w:p w14:paraId="0A39BEA3" w14:textId="0A56F37D" w:rsidR="00331B20" w:rsidRPr="00331B20" w:rsidRDefault="00331B20" w:rsidP="00331B20">
      <w:pPr>
        <w:spacing w:after="0"/>
        <w:jc w:val="both"/>
        <w:rPr>
          <w:rFonts w:ascii="Times New Roman" w:eastAsia="Calibri" w:hAnsi="Times New Roman" w:cs="Times New Roman"/>
          <w:sz w:val="24"/>
          <w:szCs w:val="24"/>
        </w:rPr>
      </w:pPr>
    </w:p>
    <w:sectPr w:rsidR="00331B20" w:rsidRPr="00331B20"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84628" w14:textId="77777777" w:rsidR="00897784" w:rsidRDefault="00897784" w:rsidP="00054C41">
      <w:pPr>
        <w:spacing w:after="0" w:line="240" w:lineRule="auto"/>
      </w:pPr>
      <w:r>
        <w:separator/>
      </w:r>
    </w:p>
  </w:endnote>
  <w:endnote w:type="continuationSeparator" w:id="0">
    <w:p w14:paraId="205DF356" w14:textId="77777777" w:rsidR="00897784" w:rsidRDefault="00897784"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35099"/>
      <w:docPartObj>
        <w:docPartGallery w:val="Page Numbers (Bottom of Page)"/>
        <w:docPartUnique/>
      </w:docPartObj>
    </w:sdtPr>
    <w:sdtEndPr>
      <w:rPr>
        <w:rFonts w:ascii="Times New Roman" w:hAnsi="Times New Roman" w:cs="Times New Roman"/>
        <w:sz w:val="24"/>
        <w:szCs w:val="24"/>
      </w:rPr>
    </w:sdtEndPr>
    <w:sdtContent>
      <w:p w14:paraId="20FE6A4A" w14:textId="73DECD37" w:rsidR="00593690" w:rsidRPr="00331B20" w:rsidRDefault="00593690" w:rsidP="00331B20">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C1116">
          <w:rPr>
            <w:rFonts w:ascii="Times New Roman" w:hAnsi="Times New Roman" w:cs="Times New Roman"/>
            <w:noProof/>
            <w:sz w:val="24"/>
            <w:szCs w:val="24"/>
          </w:rPr>
          <w:t>9</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24B75" w14:textId="77777777" w:rsidR="00897784" w:rsidRDefault="00897784" w:rsidP="00054C41">
      <w:pPr>
        <w:spacing w:after="0" w:line="240" w:lineRule="auto"/>
      </w:pPr>
      <w:r>
        <w:separator/>
      </w:r>
    </w:p>
  </w:footnote>
  <w:footnote w:type="continuationSeparator" w:id="0">
    <w:p w14:paraId="7041BF02" w14:textId="77777777" w:rsidR="00897784" w:rsidRDefault="00897784" w:rsidP="00054C41">
      <w:pPr>
        <w:spacing w:after="0" w:line="240" w:lineRule="auto"/>
      </w:pPr>
      <w:r>
        <w:continuationSeparator/>
      </w:r>
    </w:p>
  </w:footnote>
  <w:footnote w:id="1">
    <w:p w14:paraId="6CC680CB" w14:textId="6BF8CDC6" w:rsidR="00593690" w:rsidRPr="000A6B7F" w:rsidRDefault="00593690"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5D313DAF" w14:textId="55621909" w:rsidR="00593690" w:rsidRDefault="00593690" w:rsidP="00331B20">
      <w:pPr>
        <w:pStyle w:val="Textpoznmkypodiarou"/>
        <w:jc w:val="both"/>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B394355"/>
    <w:multiLevelType w:val="hybridMultilevel"/>
    <w:tmpl w:val="EC4EFEA6"/>
    <w:lvl w:ilvl="0" w:tplc="041B000F">
      <w:start w:val="1"/>
      <w:numFmt w:val="decimal"/>
      <w:lvlText w:val="%1."/>
      <w:lvlJc w:val="left"/>
      <w:pPr>
        <w:ind w:left="5604" w:hanging="360"/>
      </w:pPr>
      <w:rPr>
        <w:rFonts w:hint="default"/>
      </w:rPr>
    </w:lvl>
    <w:lvl w:ilvl="1" w:tplc="041B0019" w:tentative="1">
      <w:start w:val="1"/>
      <w:numFmt w:val="lowerLetter"/>
      <w:lvlText w:val="%2."/>
      <w:lvlJc w:val="left"/>
      <w:pPr>
        <w:ind w:left="6324" w:hanging="360"/>
      </w:pPr>
    </w:lvl>
    <w:lvl w:ilvl="2" w:tplc="041B001B" w:tentative="1">
      <w:start w:val="1"/>
      <w:numFmt w:val="lowerRoman"/>
      <w:lvlText w:val="%3."/>
      <w:lvlJc w:val="right"/>
      <w:pPr>
        <w:ind w:left="7044" w:hanging="180"/>
      </w:pPr>
    </w:lvl>
    <w:lvl w:ilvl="3" w:tplc="041B000F" w:tentative="1">
      <w:start w:val="1"/>
      <w:numFmt w:val="decimal"/>
      <w:lvlText w:val="%4."/>
      <w:lvlJc w:val="left"/>
      <w:pPr>
        <w:ind w:left="7764" w:hanging="360"/>
      </w:pPr>
    </w:lvl>
    <w:lvl w:ilvl="4" w:tplc="041B0019" w:tentative="1">
      <w:start w:val="1"/>
      <w:numFmt w:val="lowerLetter"/>
      <w:lvlText w:val="%5."/>
      <w:lvlJc w:val="left"/>
      <w:pPr>
        <w:ind w:left="8484" w:hanging="360"/>
      </w:pPr>
    </w:lvl>
    <w:lvl w:ilvl="5" w:tplc="041B001B" w:tentative="1">
      <w:start w:val="1"/>
      <w:numFmt w:val="lowerRoman"/>
      <w:lvlText w:val="%6."/>
      <w:lvlJc w:val="right"/>
      <w:pPr>
        <w:ind w:left="9204" w:hanging="180"/>
      </w:pPr>
    </w:lvl>
    <w:lvl w:ilvl="6" w:tplc="041B000F" w:tentative="1">
      <w:start w:val="1"/>
      <w:numFmt w:val="decimal"/>
      <w:lvlText w:val="%7."/>
      <w:lvlJc w:val="left"/>
      <w:pPr>
        <w:ind w:left="9924" w:hanging="360"/>
      </w:pPr>
    </w:lvl>
    <w:lvl w:ilvl="7" w:tplc="041B0019" w:tentative="1">
      <w:start w:val="1"/>
      <w:numFmt w:val="lowerLetter"/>
      <w:lvlText w:val="%8."/>
      <w:lvlJc w:val="left"/>
      <w:pPr>
        <w:ind w:left="10644" w:hanging="360"/>
      </w:pPr>
    </w:lvl>
    <w:lvl w:ilvl="8" w:tplc="041B001B" w:tentative="1">
      <w:start w:val="1"/>
      <w:numFmt w:val="lowerRoman"/>
      <w:lvlText w:val="%9."/>
      <w:lvlJc w:val="right"/>
      <w:pPr>
        <w:ind w:left="11364" w:hanging="180"/>
      </w:pPr>
    </w:lvl>
  </w:abstractNum>
  <w:abstractNum w:abstractNumId="2">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98A188A"/>
    <w:multiLevelType w:val="hybridMultilevel"/>
    <w:tmpl w:val="5B8A1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1"/>
  </w:num>
  <w:num w:numId="3">
    <w:abstractNumId w:val="12"/>
  </w:num>
  <w:num w:numId="4">
    <w:abstractNumId w:val="1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6"/>
  </w:num>
  <w:num w:numId="12">
    <w:abstractNumId w:val="0"/>
  </w:num>
  <w:num w:numId="13">
    <w:abstractNumId w:val="13"/>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1"/>
    <w:rsid w:val="00015017"/>
    <w:rsid w:val="0002425A"/>
    <w:rsid w:val="00024EE4"/>
    <w:rsid w:val="00034C00"/>
    <w:rsid w:val="00040AA0"/>
    <w:rsid w:val="0004216E"/>
    <w:rsid w:val="00047C70"/>
    <w:rsid w:val="00050AAB"/>
    <w:rsid w:val="00054A53"/>
    <w:rsid w:val="00054C41"/>
    <w:rsid w:val="00056204"/>
    <w:rsid w:val="00060DA1"/>
    <w:rsid w:val="00061E85"/>
    <w:rsid w:val="00067421"/>
    <w:rsid w:val="000734D7"/>
    <w:rsid w:val="000820E0"/>
    <w:rsid w:val="00091A43"/>
    <w:rsid w:val="0009490E"/>
    <w:rsid w:val="000A1386"/>
    <w:rsid w:val="000A6B7F"/>
    <w:rsid w:val="000C5419"/>
    <w:rsid w:val="000C5E9A"/>
    <w:rsid w:val="000C798D"/>
    <w:rsid w:val="000D15F0"/>
    <w:rsid w:val="0011003B"/>
    <w:rsid w:val="001133DA"/>
    <w:rsid w:val="00126A2B"/>
    <w:rsid w:val="00137A05"/>
    <w:rsid w:val="0014130A"/>
    <w:rsid w:val="00142154"/>
    <w:rsid w:val="00142940"/>
    <w:rsid w:val="00142CCB"/>
    <w:rsid w:val="00146A15"/>
    <w:rsid w:val="001476A4"/>
    <w:rsid w:val="00150966"/>
    <w:rsid w:val="00157D70"/>
    <w:rsid w:val="00162C6C"/>
    <w:rsid w:val="0016512E"/>
    <w:rsid w:val="0016754C"/>
    <w:rsid w:val="0017628D"/>
    <w:rsid w:val="00186414"/>
    <w:rsid w:val="0018715C"/>
    <w:rsid w:val="001A1561"/>
    <w:rsid w:val="001B4C03"/>
    <w:rsid w:val="001C08DE"/>
    <w:rsid w:val="001C7B91"/>
    <w:rsid w:val="001D1083"/>
    <w:rsid w:val="001D3FA0"/>
    <w:rsid w:val="001D476F"/>
    <w:rsid w:val="001E19F6"/>
    <w:rsid w:val="001E24E8"/>
    <w:rsid w:val="001E53CB"/>
    <w:rsid w:val="001F1390"/>
    <w:rsid w:val="001F4E53"/>
    <w:rsid w:val="00207F43"/>
    <w:rsid w:val="002232D3"/>
    <w:rsid w:val="00225A83"/>
    <w:rsid w:val="0022604C"/>
    <w:rsid w:val="00226E0C"/>
    <w:rsid w:val="00226E70"/>
    <w:rsid w:val="00231B8F"/>
    <w:rsid w:val="00237CF5"/>
    <w:rsid w:val="0024172B"/>
    <w:rsid w:val="00256CDE"/>
    <w:rsid w:val="002618B9"/>
    <w:rsid w:val="00262D8D"/>
    <w:rsid w:val="00270EA5"/>
    <w:rsid w:val="002712B9"/>
    <w:rsid w:val="00281786"/>
    <w:rsid w:val="00284B8C"/>
    <w:rsid w:val="00285211"/>
    <w:rsid w:val="0029483F"/>
    <w:rsid w:val="0029591F"/>
    <w:rsid w:val="002C2642"/>
    <w:rsid w:val="002C2FC0"/>
    <w:rsid w:val="002C6614"/>
    <w:rsid w:val="002D529A"/>
    <w:rsid w:val="002F4B32"/>
    <w:rsid w:val="002F6676"/>
    <w:rsid w:val="002F711B"/>
    <w:rsid w:val="00302A17"/>
    <w:rsid w:val="00314D25"/>
    <w:rsid w:val="00315BE2"/>
    <w:rsid w:val="0032389A"/>
    <w:rsid w:val="00331B20"/>
    <w:rsid w:val="003322EE"/>
    <w:rsid w:val="00333C4D"/>
    <w:rsid w:val="00334189"/>
    <w:rsid w:val="00337630"/>
    <w:rsid w:val="00340CFD"/>
    <w:rsid w:val="003413D5"/>
    <w:rsid w:val="00342621"/>
    <w:rsid w:val="00357F22"/>
    <w:rsid w:val="0036748D"/>
    <w:rsid w:val="00370358"/>
    <w:rsid w:val="00376039"/>
    <w:rsid w:val="0038255E"/>
    <w:rsid w:val="00384B59"/>
    <w:rsid w:val="00391648"/>
    <w:rsid w:val="0039304E"/>
    <w:rsid w:val="0039334E"/>
    <w:rsid w:val="00394AD2"/>
    <w:rsid w:val="00396443"/>
    <w:rsid w:val="003A02AF"/>
    <w:rsid w:val="003A1269"/>
    <w:rsid w:val="003A3124"/>
    <w:rsid w:val="003A3D5A"/>
    <w:rsid w:val="003A686F"/>
    <w:rsid w:val="003C78EE"/>
    <w:rsid w:val="003D0499"/>
    <w:rsid w:val="003D0F85"/>
    <w:rsid w:val="003D2B4D"/>
    <w:rsid w:val="003D6F43"/>
    <w:rsid w:val="003E18BD"/>
    <w:rsid w:val="003E58B8"/>
    <w:rsid w:val="003F06D7"/>
    <w:rsid w:val="00400224"/>
    <w:rsid w:val="00400BA5"/>
    <w:rsid w:val="00405886"/>
    <w:rsid w:val="00410E62"/>
    <w:rsid w:val="00414FA7"/>
    <w:rsid w:val="00420090"/>
    <w:rsid w:val="004239D1"/>
    <w:rsid w:val="00445638"/>
    <w:rsid w:val="00446432"/>
    <w:rsid w:val="00446512"/>
    <w:rsid w:val="00463621"/>
    <w:rsid w:val="00466D7A"/>
    <w:rsid w:val="00475318"/>
    <w:rsid w:val="0048237B"/>
    <w:rsid w:val="00483911"/>
    <w:rsid w:val="00484D16"/>
    <w:rsid w:val="004864F4"/>
    <w:rsid w:val="00486732"/>
    <w:rsid w:val="00491853"/>
    <w:rsid w:val="004A14CD"/>
    <w:rsid w:val="004A2C6B"/>
    <w:rsid w:val="004B7CB7"/>
    <w:rsid w:val="004C47C0"/>
    <w:rsid w:val="004D20CB"/>
    <w:rsid w:val="004D65B2"/>
    <w:rsid w:val="004D681D"/>
    <w:rsid w:val="004E2324"/>
    <w:rsid w:val="004F5128"/>
    <w:rsid w:val="004F63E6"/>
    <w:rsid w:val="00501CD8"/>
    <w:rsid w:val="005031B6"/>
    <w:rsid w:val="005103DA"/>
    <w:rsid w:val="00511F8F"/>
    <w:rsid w:val="005121E6"/>
    <w:rsid w:val="00512BA7"/>
    <w:rsid w:val="00514467"/>
    <w:rsid w:val="00515726"/>
    <w:rsid w:val="00521A98"/>
    <w:rsid w:val="005249CA"/>
    <w:rsid w:val="00531851"/>
    <w:rsid w:val="00544A25"/>
    <w:rsid w:val="00562527"/>
    <w:rsid w:val="00562A1E"/>
    <w:rsid w:val="00563427"/>
    <w:rsid w:val="00563763"/>
    <w:rsid w:val="00581EB9"/>
    <w:rsid w:val="0058234F"/>
    <w:rsid w:val="0059302D"/>
    <w:rsid w:val="00593690"/>
    <w:rsid w:val="00594ADD"/>
    <w:rsid w:val="00595A0E"/>
    <w:rsid w:val="005B4E6E"/>
    <w:rsid w:val="005B56E4"/>
    <w:rsid w:val="005C1116"/>
    <w:rsid w:val="005C2E7D"/>
    <w:rsid w:val="005C3B4A"/>
    <w:rsid w:val="005C795C"/>
    <w:rsid w:val="005D0E50"/>
    <w:rsid w:val="005D39D8"/>
    <w:rsid w:val="005D7221"/>
    <w:rsid w:val="005E3433"/>
    <w:rsid w:val="005E7C70"/>
    <w:rsid w:val="005F0F98"/>
    <w:rsid w:val="005F7277"/>
    <w:rsid w:val="0061097B"/>
    <w:rsid w:val="00610BEB"/>
    <w:rsid w:val="0061612F"/>
    <w:rsid w:val="006177C8"/>
    <w:rsid w:val="0062600A"/>
    <w:rsid w:val="0063777D"/>
    <w:rsid w:val="00643358"/>
    <w:rsid w:val="00646084"/>
    <w:rsid w:val="006564C3"/>
    <w:rsid w:val="006578CB"/>
    <w:rsid w:val="00662A43"/>
    <w:rsid w:val="00675132"/>
    <w:rsid w:val="00692B46"/>
    <w:rsid w:val="006A4D45"/>
    <w:rsid w:val="006A4E85"/>
    <w:rsid w:val="006A60C0"/>
    <w:rsid w:val="006A712F"/>
    <w:rsid w:val="006A757E"/>
    <w:rsid w:val="006B5D74"/>
    <w:rsid w:val="006B71D3"/>
    <w:rsid w:val="006C25BE"/>
    <w:rsid w:val="006D0352"/>
    <w:rsid w:val="006D7AD8"/>
    <w:rsid w:val="006F0FDC"/>
    <w:rsid w:val="006F1D57"/>
    <w:rsid w:val="006F61EB"/>
    <w:rsid w:val="00700AF7"/>
    <w:rsid w:val="0070364C"/>
    <w:rsid w:val="00710EDF"/>
    <w:rsid w:val="00714944"/>
    <w:rsid w:val="0072221D"/>
    <w:rsid w:val="0072357C"/>
    <w:rsid w:val="00723685"/>
    <w:rsid w:val="007259CB"/>
    <w:rsid w:val="00726031"/>
    <w:rsid w:val="00734ED2"/>
    <w:rsid w:val="00737F9E"/>
    <w:rsid w:val="00751DA9"/>
    <w:rsid w:val="00755E69"/>
    <w:rsid w:val="0076022C"/>
    <w:rsid w:val="0076370B"/>
    <w:rsid w:val="007648EE"/>
    <w:rsid w:val="007709A3"/>
    <w:rsid w:val="0077106D"/>
    <w:rsid w:val="00780ACC"/>
    <w:rsid w:val="00787A11"/>
    <w:rsid w:val="00792AA2"/>
    <w:rsid w:val="00792F05"/>
    <w:rsid w:val="00797B40"/>
    <w:rsid w:val="007A0C9D"/>
    <w:rsid w:val="007B002C"/>
    <w:rsid w:val="007B40FB"/>
    <w:rsid w:val="007B5A43"/>
    <w:rsid w:val="007B62AF"/>
    <w:rsid w:val="007D2026"/>
    <w:rsid w:val="007D6160"/>
    <w:rsid w:val="007E24B2"/>
    <w:rsid w:val="007E2DA4"/>
    <w:rsid w:val="007E4B98"/>
    <w:rsid w:val="007E6815"/>
    <w:rsid w:val="007E7632"/>
    <w:rsid w:val="007F1C84"/>
    <w:rsid w:val="007F2189"/>
    <w:rsid w:val="007F4579"/>
    <w:rsid w:val="007F4E19"/>
    <w:rsid w:val="00801596"/>
    <w:rsid w:val="00804BC8"/>
    <w:rsid w:val="00806E23"/>
    <w:rsid w:val="00807981"/>
    <w:rsid w:val="00821EEB"/>
    <w:rsid w:val="00823F5A"/>
    <w:rsid w:val="00824DB6"/>
    <w:rsid w:val="00832181"/>
    <w:rsid w:val="00845D3B"/>
    <w:rsid w:val="00861F39"/>
    <w:rsid w:val="008626F8"/>
    <w:rsid w:val="008634E9"/>
    <w:rsid w:val="008801B5"/>
    <w:rsid w:val="00880578"/>
    <w:rsid w:val="00882407"/>
    <w:rsid w:val="008920C3"/>
    <w:rsid w:val="00894052"/>
    <w:rsid w:val="00897784"/>
    <w:rsid w:val="008A1704"/>
    <w:rsid w:val="008A7B87"/>
    <w:rsid w:val="008B4AA1"/>
    <w:rsid w:val="008C0E42"/>
    <w:rsid w:val="008C1C71"/>
    <w:rsid w:val="008C3B9A"/>
    <w:rsid w:val="008C5F63"/>
    <w:rsid w:val="008D5CCF"/>
    <w:rsid w:val="008E1AD0"/>
    <w:rsid w:val="008E315F"/>
    <w:rsid w:val="008E6B82"/>
    <w:rsid w:val="008F3621"/>
    <w:rsid w:val="008F5D8C"/>
    <w:rsid w:val="008F6ADE"/>
    <w:rsid w:val="008F6CDE"/>
    <w:rsid w:val="00907B39"/>
    <w:rsid w:val="0091269B"/>
    <w:rsid w:val="00920051"/>
    <w:rsid w:val="00920459"/>
    <w:rsid w:val="00923C0C"/>
    <w:rsid w:val="0095170D"/>
    <w:rsid w:val="00952CF6"/>
    <w:rsid w:val="009568F8"/>
    <w:rsid w:val="00960413"/>
    <w:rsid w:val="00962B00"/>
    <w:rsid w:val="009726BD"/>
    <w:rsid w:val="009739D7"/>
    <w:rsid w:val="009751A5"/>
    <w:rsid w:val="00981995"/>
    <w:rsid w:val="00981C7F"/>
    <w:rsid w:val="00982D9D"/>
    <w:rsid w:val="00985515"/>
    <w:rsid w:val="00985FCF"/>
    <w:rsid w:val="00990813"/>
    <w:rsid w:val="0099544D"/>
    <w:rsid w:val="00997513"/>
    <w:rsid w:val="009A0E2C"/>
    <w:rsid w:val="009A35DA"/>
    <w:rsid w:val="009A4D56"/>
    <w:rsid w:val="009B1B70"/>
    <w:rsid w:val="009B1F04"/>
    <w:rsid w:val="009C1A15"/>
    <w:rsid w:val="009D7DF2"/>
    <w:rsid w:val="009E09F7"/>
    <w:rsid w:val="009E2D5C"/>
    <w:rsid w:val="009E3E44"/>
    <w:rsid w:val="009F4175"/>
    <w:rsid w:val="009F4E92"/>
    <w:rsid w:val="009F66A4"/>
    <w:rsid w:val="009F6C80"/>
    <w:rsid w:val="00A000DA"/>
    <w:rsid w:val="00A077C2"/>
    <w:rsid w:val="00A1736E"/>
    <w:rsid w:val="00A216DF"/>
    <w:rsid w:val="00A33F2C"/>
    <w:rsid w:val="00A50EE3"/>
    <w:rsid w:val="00A54EA9"/>
    <w:rsid w:val="00A561CF"/>
    <w:rsid w:val="00A56802"/>
    <w:rsid w:val="00A57481"/>
    <w:rsid w:val="00A6507A"/>
    <w:rsid w:val="00A80BB4"/>
    <w:rsid w:val="00A83E11"/>
    <w:rsid w:val="00A87D69"/>
    <w:rsid w:val="00A94A0F"/>
    <w:rsid w:val="00AA3125"/>
    <w:rsid w:val="00AA3C6D"/>
    <w:rsid w:val="00AB08FC"/>
    <w:rsid w:val="00AB57C4"/>
    <w:rsid w:val="00AD057D"/>
    <w:rsid w:val="00AF668B"/>
    <w:rsid w:val="00B00EBE"/>
    <w:rsid w:val="00B11CF5"/>
    <w:rsid w:val="00B14448"/>
    <w:rsid w:val="00B209FA"/>
    <w:rsid w:val="00B20B40"/>
    <w:rsid w:val="00B21D1F"/>
    <w:rsid w:val="00B31B5B"/>
    <w:rsid w:val="00B410BA"/>
    <w:rsid w:val="00B4345B"/>
    <w:rsid w:val="00B43D68"/>
    <w:rsid w:val="00B44A3A"/>
    <w:rsid w:val="00B471EF"/>
    <w:rsid w:val="00B552C2"/>
    <w:rsid w:val="00B5600C"/>
    <w:rsid w:val="00B66E33"/>
    <w:rsid w:val="00B70F2E"/>
    <w:rsid w:val="00B72FB1"/>
    <w:rsid w:val="00B91574"/>
    <w:rsid w:val="00B953DA"/>
    <w:rsid w:val="00BA19B0"/>
    <w:rsid w:val="00BB268F"/>
    <w:rsid w:val="00BB3870"/>
    <w:rsid w:val="00BB4474"/>
    <w:rsid w:val="00BB45A7"/>
    <w:rsid w:val="00BC11A6"/>
    <w:rsid w:val="00BD0EF7"/>
    <w:rsid w:val="00BD249E"/>
    <w:rsid w:val="00BD46E1"/>
    <w:rsid w:val="00BD6778"/>
    <w:rsid w:val="00BF1E0D"/>
    <w:rsid w:val="00BF5067"/>
    <w:rsid w:val="00C01599"/>
    <w:rsid w:val="00C048D1"/>
    <w:rsid w:val="00C05563"/>
    <w:rsid w:val="00C11132"/>
    <w:rsid w:val="00C115B9"/>
    <w:rsid w:val="00C12FDD"/>
    <w:rsid w:val="00C145AA"/>
    <w:rsid w:val="00C14655"/>
    <w:rsid w:val="00C21399"/>
    <w:rsid w:val="00C272D8"/>
    <w:rsid w:val="00C354F2"/>
    <w:rsid w:val="00C446E2"/>
    <w:rsid w:val="00C535F5"/>
    <w:rsid w:val="00C560C4"/>
    <w:rsid w:val="00C57063"/>
    <w:rsid w:val="00C6748F"/>
    <w:rsid w:val="00C74337"/>
    <w:rsid w:val="00C75DC8"/>
    <w:rsid w:val="00C75E20"/>
    <w:rsid w:val="00C8324B"/>
    <w:rsid w:val="00C9007D"/>
    <w:rsid w:val="00C929AE"/>
    <w:rsid w:val="00C929D0"/>
    <w:rsid w:val="00CA3D47"/>
    <w:rsid w:val="00CA3E2C"/>
    <w:rsid w:val="00CA4344"/>
    <w:rsid w:val="00CA6348"/>
    <w:rsid w:val="00CB1232"/>
    <w:rsid w:val="00CB17A0"/>
    <w:rsid w:val="00CB48A5"/>
    <w:rsid w:val="00CC3B7D"/>
    <w:rsid w:val="00CD5AE4"/>
    <w:rsid w:val="00CD5E86"/>
    <w:rsid w:val="00CE2A4D"/>
    <w:rsid w:val="00CE3B21"/>
    <w:rsid w:val="00CF1917"/>
    <w:rsid w:val="00CF4D09"/>
    <w:rsid w:val="00D005F2"/>
    <w:rsid w:val="00D03A8E"/>
    <w:rsid w:val="00D114ED"/>
    <w:rsid w:val="00D128EA"/>
    <w:rsid w:val="00D3032C"/>
    <w:rsid w:val="00D30C7C"/>
    <w:rsid w:val="00D31A3B"/>
    <w:rsid w:val="00D5309D"/>
    <w:rsid w:val="00D631FA"/>
    <w:rsid w:val="00D71064"/>
    <w:rsid w:val="00D7645F"/>
    <w:rsid w:val="00D811BB"/>
    <w:rsid w:val="00D82356"/>
    <w:rsid w:val="00D84EEE"/>
    <w:rsid w:val="00D90A61"/>
    <w:rsid w:val="00D946EF"/>
    <w:rsid w:val="00D95553"/>
    <w:rsid w:val="00DC355F"/>
    <w:rsid w:val="00DD1E4C"/>
    <w:rsid w:val="00DE331A"/>
    <w:rsid w:val="00DE6ACB"/>
    <w:rsid w:val="00DF02CE"/>
    <w:rsid w:val="00DF1462"/>
    <w:rsid w:val="00E030DA"/>
    <w:rsid w:val="00E041D5"/>
    <w:rsid w:val="00E214C0"/>
    <w:rsid w:val="00E30D85"/>
    <w:rsid w:val="00E444EB"/>
    <w:rsid w:val="00E5132E"/>
    <w:rsid w:val="00E74110"/>
    <w:rsid w:val="00E77A69"/>
    <w:rsid w:val="00E81A42"/>
    <w:rsid w:val="00E9113E"/>
    <w:rsid w:val="00E9422F"/>
    <w:rsid w:val="00E961E8"/>
    <w:rsid w:val="00E96244"/>
    <w:rsid w:val="00E96DE0"/>
    <w:rsid w:val="00EA18A9"/>
    <w:rsid w:val="00EB2BEC"/>
    <w:rsid w:val="00EB74BF"/>
    <w:rsid w:val="00EC0704"/>
    <w:rsid w:val="00EC508B"/>
    <w:rsid w:val="00ED6B5D"/>
    <w:rsid w:val="00EE046F"/>
    <w:rsid w:val="00EE34CE"/>
    <w:rsid w:val="00EE4C99"/>
    <w:rsid w:val="00EE514B"/>
    <w:rsid w:val="00EE5F39"/>
    <w:rsid w:val="00EF3B91"/>
    <w:rsid w:val="00F00A40"/>
    <w:rsid w:val="00F153D7"/>
    <w:rsid w:val="00F1599C"/>
    <w:rsid w:val="00F216F4"/>
    <w:rsid w:val="00F233F1"/>
    <w:rsid w:val="00F2433F"/>
    <w:rsid w:val="00F244DC"/>
    <w:rsid w:val="00F30B8A"/>
    <w:rsid w:val="00F31B06"/>
    <w:rsid w:val="00F378F4"/>
    <w:rsid w:val="00F47912"/>
    <w:rsid w:val="00F50B1F"/>
    <w:rsid w:val="00F53210"/>
    <w:rsid w:val="00F541B6"/>
    <w:rsid w:val="00F57702"/>
    <w:rsid w:val="00F6060E"/>
    <w:rsid w:val="00F61361"/>
    <w:rsid w:val="00F613E8"/>
    <w:rsid w:val="00F73849"/>
    <w:rsid w:val="00F74D3C"/>
    <w:rsid w:val="00F74FC9"/>
    <w:rsid w:val="00F906B0"/>
    <w:rsid w:val="00F91F47"/>
    <w:rsid w:val="00FA4F36"/>
    <w:rsid w:val="00FA63CF"/>
    <w:rsid w:val="00FA6FFE"/>
    <w:rsid w:val="00FC121B"/>
    <w:rsid w:val="00FD3DFB"/>
    <w:rsid w:val="00FD54AA"/>
    <w:rsid w:val="00FF0272"/>
    <w:rsid w:val="00FF0C01"/>
    <w:rsid w:val="00FF414B"/>
    <w:rsid w:val="00FF4B7A"/>
    <w:rsid w:val="00FF6FF5"/>
    <w:rsid w:val="00FF7123"/>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Odstavec cíl se seznamem,Odstavec se seznamem1,body,Odsek zoznamu2"/>
    <w:basedOn w:val="Normlny"/>
    <w:link w:val="OdsekzoznamuChar"/>
    <w:uiPriority w:val="99"/>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16754C"/>
    <w:rPr>
      <w:color w:val="0563C1" w:themeColor="hyperlink"/>
      <w:u w:val="single"/>
    </w:rPr>
  </w:style>
  <w:style w:type="character" w:customStyle="1" w:styleId="OdsekzoznamuChar">
    <w:name w:val="Odsek zoznamu Char"/>
    <w:aliases w:val="Odstavec cíl se seznamem Char,Odstavec se seznamem1 Char,body Char,Odsek zoznamu2 Char"/>
    <w:basedOn w:val="Predvolenpsmoodseku"/>
    <w:link w:val="Odsekzoznamu"/>
    <w:uiPriority w:val="99"/>
    <w:locked/>
    <w:rsid w:val="00F906B0"/>
  </w:style>
  <w:style w:type="paragraph" w:customStyle="1" w:styleId="Default">
    <w:name w:val="Default"/>
    <w:rsid w:val="00A574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Odstavec cíl se seznamem,Odstavec se seznamem1,body,Odsek zoznamu2"/>
    <w:basedOn w:val="Normlny"/>
    <w:link w:val="OdsekzoznamuChar"/>
    <w:uiPriority w:val="99"/>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16754C"/>
    <w:rPr>
      <w:color w:val="0563C1" w:themeColor="hyperlink"/>
      <w:u w:val="single"/>
    </w:rPr>
  </w:style>
  <w:style w:type="character" w:customStyle="1" w:styleId="OdsekzoznamuChar">
    <w:name w:val="Odsek zoznamu Char"/>
    <w:aliases w:val="Odstavec cíl se seznamem Char,Odstavec se seznamem1 Char,body Char,Odsek zoznamu2 Char"/>
    <w:basedOn w:val="Predvolenpsmoodseku"/>
    <w:link w:val="Odsekzoznamu"/>
    <w:uiPriority w:val="99"/>
    <w:locked/>
    <w:rsid w:val="00F906B0"/>
  </w:style>
  <w:style w:type="paragraph" w:customStyle="1" w:styleId="Default">
    <w:name w:val="Default"/>
    <w:rsid w:val="00A574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7366703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98583309">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77623060">
      <w:bodyDiv w:val="1"/>
      <w:marLeft w:val="0"/>
      <w:marRight w:val="0"/>
      <w:marTop w:val="0"/>
      <w:marBottom w:val="0"/>
      <w:divBdr>
        <w:top w:val="none" w:sz="0" w:space="0" w:color="auto"/>
        <w:left w:val="none" w:sz="0" w:space="0" w:color="auto"/>
        <w:bottom w:val="none" w:sz="0" w:space="0" w:color="auto"/>
        <w:right w:val="none" w:sz="0" w:space="0" w:color="auto"/>
      </w:divBdr>
    </w:div>
    <w:div w:id="1316956134">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05766435">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16288314">
      <w:bodyDiv w:val="1"/>
      <w:marLeft w:val="0"/>
      <w:marRight w:val="0"/>
      <w:marTop w:val="0"/>
      <w:marBottom w:val="0"/>
      <w:divBdr>
        <w:top w:val="none" w:sz="0" w:space="0" w:color="auto"/>
        <w:left w:val="none" w:sz="0" w:space="0" w:color="auto"/>
        <w:bottom w:val="none" w:sz="0" w:space="0" w:color="auto"/>
        <w:right w:val="none" w:sz="0" w:space="0" w:color="auto"/>
      </w:divBdr>
    </w:div>
    <w:div w:id="196754614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b_vplyvy-na-podnikatelov_MPK"/>
    <f:field ref="objsubject" par="" edit="true" text=""/>
    <f:field ref="objcreatedby" par="" text="Bartíková, Anna, Mgr. Ing."/>
    <f:field ref="objcreatedat" par="" text="23.2.2024 13:49:02"/>
    <f:field ref="objchangedby" par="" text="Administrator, System"/>
    <f:field ref="objmodifiedat" par="" text="23.2.2024 13:49: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8BD54A-27EB-4FC4-9EE6-6C0535E1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3508</Words>
  <Characters>20002</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Juraj Beník</cp:lastModifiedBy>
  <cp:revision>129</cp:revision>
  <cp:lastPrinted>2024-06-13T14:32:00Z</cp:lastPrinted>
  <dcterms:created xsi:type="dcterms:W3CDTF">2024-03-01T09:21:00Z</dcterms:created>
  <dcterms:modified xsi:type="dcterms:W3CDTF">2024-06-18T14:14:00Z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Ing. Anna Bartíková</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o niektorých povinnostiach a oprávneniach v oblasti kryptoaktív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o niektorých povinnostiach a oprávneniach v oblasti kryptoaktív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MF/005115/2024-632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LP/2024/86</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štátny radca</vt:lpwstr>
  </property>
  <property fmtid="{D5CDD505-2E9C-101B-9397-08002B2CF9AE}" pid="139" name="FSC#SKEDITIONSLOVLEX@103.510:funkciaPredAkuzativ">
    <vt:lpwstr>štátneho radcu</vt:lpwstr>
  </property>
  <property fmtid="{D5CDD505-2E9C-101B-9397-08002B2CF9AE}" pid="140" name="FSC#SKEDITIONSLOVLEX@103.510:funkciaPredDativ">
    <vt:lpwstr>štátnemu radcovi</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&lt;p&gt;&amp;nbsp; &amp;nbsp; &amp;nbsp; &amp;nbsp; &amp;nbsp; &amp;nbsp;&lt;/p&gt;</vt:lpwstr>
  </property>
  <property fmtid="{D5CDD505-2E9C-101B-9397-08002B2CF9AE}" pid="150" name="FSC#SKEDITIONSLOVLEX@103.510:vytvorenedna">
    <vt:lpwstr>23. 2. 2024</vt:lpwstr>
  </property>
  <property fmtid="{D5CDD505-2E9C-101B-9397-08002B2CF9AE}" pid="151" name="FSC#COOSYSTEM@1.1:Container">
    <vt:lpwstr>COO.2145.1000.3.6071166</vt:lpwstr>
  </property>
  <property fmtid="{D5CDD505-2E9C-101B-9397-08002B2CF9AE}" pid="152" name="FSC#FSCFOLIO@1.1001:docpropproject">
    <vt:lpwstr/>
  </property>
</Properties>
</file>