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34" w:rsidRPr="00AA01A1" w:rsidRDefault="00607234" w:rsidP="00607234">
      <w:pPr>
        <w:jc w:val="center"/>
        <w:rPr>
          <w:rFonts w:ascii="Times New Roman" w:hAnsi="Times New Roman"/>
          <w:b/>
          <w:bCs/>
        </w:rPr>
      </w:pPr>
      <w:bookmarkStart w:id="0" w:name="_GoBack"/>
      <w:bookmarkEnd w:id="0"/>
      <w:r w:rsidRPr="00AA01A1">
        <w:rPr>
          <w:rFonts w:ascii="Times New Roman" w:hAnsi="Times New Roman"/>
          <w:b/>
          <w:bCs/>
        </w:rPr>
        <w:t>Doložka vybraných vplyvov</w:t>
      </w: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07234" w:rsidRPr="00AA01A1" w:rsidTr="009243A8">
        <w:tc>
          <w:tcPr>
            <w:tcW w:w="9180" w:type="dxa"/>
            <w:gridSpan w:val="11"/>
            <w:tcBorders>
              <w:bottom w:val="single" w:sz="4" w:space="0" w:color="FFFFFF"/>
            </w:tcBorders>
            <w:shd w:val="clear" w:color="auto" w:fill="E2E2E2"/>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t>Základné údaje</w:t>
            </w:r>
          </w:p>
        </w:tc>
      </w:tr>
      <w:tr w:rsidR="00607234" w:rsidRPr="00AA01A1" w:rsidTr="009243A8">
        <w:tc>
          <w:tcPr>
            <w:tcW w:w="9180" w:type="dxa"/>
            <w:gridSpan w:val="11"/>
            <w:tcBorders>
              <w:bottom w:val="single" w:sz="4" w:space="0" w:color="FFFFFF"/>
            </w:tcBorders>
            <w:shd w:val="clear" w:color="auto" w:fill="E2E2E2"/>
          </w:tcPr>
          <w:p w:rsidR="00607234" w:rsidRPr="00AA01A1" w:rsidRDefault="00607234" w:rsidP="009243A8">
            <w:pPr>
              <w:spacing w:after="0" w:line="240" w:lineRule="auto"/>
              <w:ind w:left="142"/>
              <w:contextualSpacing/>
              <w:rPr>
                <w:rFonts w:ascii="Times New Roman" w:hAnsi="Times New Roman"/>
                <w:b/>
              </w:rPr>
            </w:pPr>
            <w:r w:rsidRPr="00AA01A1">
              <w:rPr>
                <w:rFonts w:ascii="Times New Roman" w:hAnsi="Times New Roman"/>
                <w:b/>
              </w:rPr>
              <w:t>Názov materiálu</w:t>
            </w:r>
          </w:p>
        </w:tc>
      </w:tr>
      <w:tr w:rsidR="00607234" w:rsidRPr="00AA01A1" w:rsidTr="009243A8">
        <w:tc>
          <w:tcPr>
            <w:tcW w:w="9180" w:type="dxa"/>
            <w:gridSpan w:val="11"/>
            <w:tcBorders>
              <w:top w:val="single" w:sz="4" w:space="0" w:color="FFFFFF"/>
              <w:bottom w:val="single" w:sz="4" w:space="0" w:color="auto"/>
            </w:tcBorders>
          </w:tcPr>
          <w:p w:rsidR="00607234" w:rsidRPr="00AA01A1" w:rsidRDefault="00607234" w:rsidP="009243A8">
            <w:pPr>
              <w:spacing w:after="0" w:line="240" w:lineRule="auto"/>
              <w:jc w:val="both"/>
              <w:rPr>
                <w:rFonts w:ascii="Times New Roman" w:eastAsia="Times New Roman" w:hAnsi="Times New Roman"/>
              </w:rPr>
            </w:pPr>
            <w:r w:rsidRPr="00AA01A1">
              <w:rPr>
                <w:rFonts w:ascii="Times New Roman" w:hAnsi="Times New Roman"/>
              </w:rPr>
              <w:t>Návrh zákona, ktorým sa mení a dopĺňa zákon č. 580/2004 Z. z. o zdravotnom poistení a o zmene a doplnení zákona č. 95/2002 Z. z. o poisťovníctve a o zmene a doplnení niektorých zákonov v znení neskorších predpisov a ktorým sa menia a dopĺňajú niektoré zákony</w:t>
            </w:r>
          </w:p>
        </w:tc>
      </w:tr>
      <w:tr w:rsidR="00607234" w:rsidRPr="00AA01A1" w:rsidTr="009243A8">
        <w:tc>
          <w:tcPr>
            <w:tcW w:w="9180" w:type="dxa"/>
            <w:gridSpan w:val="11"/>
            <w:tcBorders>
              <w:top w:val="single" w:sz="4" w:space="0" w:color="auto"/>
              <w:left w:val="single" w:sz="4" w:space="0" w:color="auto"/>
              <w:bottom w:val="single" w:sz="4" w:space="0" w:color="FFFFFF"/>
            </w:tcBorders>
            <w:shd w:val="clear" w:color="auto" w:fill="E2E2E2"/>
          </w:tcPr>
          <w:p w:rsidR="00607234" w:rsidRPr="00AA01A1" w:rsidRDefault="00607234" w:rsidP="009243A8">
            <w:pPr>
              <w:spacing w:after="0" w:line="240" w:lineRule="auto"/>
              <w:ind w:left="142"/>
              <w:contextualSpacing/>
              <w:rPr>
                <w:rFonts w:ascii="Times New Roman" w:hAnsi="Times New Roman"/>
                <w:b/>
              </w:rPr>
            </w:pPr>
            <w:r w:rsidRPr="00AA01A1">
              <w:rPr>
                <w:rFonts w:ascii="Times New Roman" w:hAnsi="Times New Roman"/>
                <w:b/>
              </w:rPr>
              <w:t>Predkladateľ (a spolupredkladateľ)</w:t>
            </w:r>
          </w:p>
        </w:tc>
      </w:tr>
      <w:tr w:rsidR="00607234" w:rsidRPr="00AA01A1" w:rsidTr="009243A8">
        <w:tc>
          <w:tcPr>
            <w:tcW w:w="9180" w:type="dxa"/>
            <w:gridSpan w:val="11"/>
            <w:tcBorders>
              <w:top w:val="single" w:sz="4" w:space="0" w:color="FFFFFF"/>
              <w:left w:val="single" w:sz="4" w:space="0" w:color="auto"/>
              <w:bottom w:val="single" w:sz="4" w:space="0" w:color="auto"/>
            </w:tcBorders>
            <w:shd w:val="clear" w:color="auto" w:fill="FFFFFF"/>
          </w:tcPr>
          <w:p w:rsidR="00607234" w:rsidRPr="00AA01A1" w:rsidRDefault="00607234" w:rsidP="009243A8">
            <w:pPr>
              <w:spacing w:after="0" w:line="240" w:lineRule="auto"/>
              <w:rPr>
                <w:rFonts w:ascii="Times New Roman" w:eastAsia="Times New Roman" w:hAnsi="Times New Roman"/>
              </w:rPr>
            </w:pPr>
            <w:r w:rsidRPr="00AA01A1">
              <w:rPr>
                <w:rFonts w:ascii="Times New Roman" w:hAnsi="Times New Roman"/>
              </w:rPr>
              <w:t>Ministerstvo zdravotníctva Slovenskej republiky</w:t>
            </w:r>
          </w:p>
        </w:tc>
      </w:tr>
      <w:tr w:rsidR="00607234" w:rsidRPr="00AA01A1" w:rsidTr="009243A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607234" w:rsidRPr="00AA01A1" w:rsidRDefault="00607234" w:rsidP="009243A8">
            <w:pPr>
              <w:spacing w:after="0" w:line="240" w:lineRule="auto"/>
              <w:ind w:left="142"/>
              <w:contextualSpacing/>
              <w:rPr>
                <w:rFonts w:ascii="Times New Roman" w:hAnsi="Times New Roman"/>
                <w:b/>
              </w:rPr>
            </w:pPr>
            <w:r w:rsidRPr="00AA01A1">
              <w:rPr>
                <w:rFonts w:ascii="Times New Roman" w:hAnsi="Times New Roman"/>
                <w:b/>
              </w:rPr>
              <w:t>Charakter predkladaného materiálu</w:t>
            </w:r>
          </w:p>
        </w:tc>
        <w:sdt>
          <w:sdtPr>
            <w:rPr>
              <w:rFonts w:ascii="Times New Roman" w:eastAsia="Times New Roman" w:hAnsi="Times New Roman"/>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07234" w:rsidRPr="00AA01A1" w:rsidRDefault="00607234" w:rsidP="009243A8">
                <w:pPr>
                  <w:spacing w:after="0" w:line="240" w:lineRule="auto"/>
                  <w:jc w:val="center"/>
                  <w:rPr>
                    <w:rFonts w:ascii="Times New Roman" w:eastAsia="Times New Roman" w:hAnsi="Times New Roman"/>
                  </w:rPr>
                </w:pPr>
                <w:r w:rsidRPr="00AA01A1">
                  <w:rPr>
                    <w:rFonts w:ascii="Segoe UI Symbol" w:eastAsia="MS Gothic" w:hAnsi="Segoe UI Symbol" w:cs="Segoe UI Symbol"/>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Materiál nelegislatívnej povahy</w:t>
            </w:r>
          </w:p>
        </w:tc>
      </w:tr>
      <w:tr w:rsidR="00607234" w:rsidRPr="00AA01A1" w:rsidTr="009243A8">
        <w:tc>
          <w:tcPr>
            <w:tcW w:w="4212" w:type="dxa"/>
            <w:gridSpan w:val="2"/>
            <w:vMerge/>
            <w:tcBorders>
              <w:top w:val="nil"/>
              <w:left w:val="single" w:sz="4" w:space="0" w:color="auto"/>
              <w:bottom w:val="single" w:sz="4" w:space="0" w:color="FFFFFF"/>
            </w:tcBorders>
            <w:shd w:val="clear" w:color="auto" w:fill="E2E2E2"/>
          </w:tcPr>
          <w:p w:rsidR="00607234" w:rsidRPr="00AA01A1" w:rsidRDefault="00607234" w:rsidP="009243A8">
            <w:pPr>
              <w:spacing w:after="0" w:line="240" w:lineRule="auto"/>
              <w:rPr>
                <w:rFonts w:ascii="Times New Roman" w:eastAsia="Times New Roman" w:hAnsi="Times New Roman"/>
              </w:rPr>
            </w:pPr>
          </w:p>
        </w:tc>
        <w:sdt>
          <w:sdtPr>
            <w:rPr>
              <w:rFonts w:ascii="Times New Roman" w:eastAsia="Times New Roman" w:hAnsi="Times New Roman"/>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07234" w:rsidRPr="00AA01A1" w:rsidRDefault="00607234" w:rsidP="009243A8">
                <w:pPr>
                  <w:spacing w:after="0" w:line="240" w:lineRule="auto"/>
                  <w:jc w:val="center"/>
                  <w:rPr>
                    <w:rFonts w:ascii="Times New Roman" w:eastAsia="Times New Roman" w:hAnsi="Times New Roman"/>
                  </w:rPr>
                </w:pPr>
                <w:r w:rsidRPr="00AA01A1">
                  <w:rPr>
                    <w:rFonts w:ascii="Segoe UI Symbol" w:eastAsia="MS Gothic" w:hAnsi="Segoe UI Symbol" w:cs="Segoe UI Symbol"/>
                  </w:rPr>
                  <w:t>☒</w:t>
                </w:r>
              </w:p>
            </w:tc>
          </w:sdtContent>
        </w:sdt>
        <w:tc>
          <w:tcPr>
            <w:tcW w:w="4263" w:type="dxa"/>
            <w:gridSpan w:val="7"/>
            <w:tcBorders>
              <w:top w:val="single" w:sz="4" w:space="0" w:color="auto"/>
              <w:left w:val="nil"/>
              <w:bottom w:val="single" w:sz="4" w:space="0" w:color="auto"/>
            </w:tcBorders>
            <w:shd w:val="clear" w:color="auto" w:fill="FFFFFF"/>
          </w:tcPr>
          <w:p w:rsidR="00607234" w:rsidRPr="00AA01A1" w:rsidRDefault="00607234" w:rsidP="009243A8">
            <w:pPr>
              <w:spacing w:after="0" w:line="240" w:lineRule="auto"/>
              <w:ind w:left="175" w:hanging="175"/>
              <w:rPr>
                <w:rFonts w:ascii="Times New Roman" w:eastAsia="Times New Roman" w:hAnsi="Times New Roman"/>
              </w:rPr>
            </w:pPr>
            <w:r w:rsidRPr="00AA01A1">
              <w:rPr>
                <w:rFonts w:ascii="Times New Roman" w:eastAsia="Times New Roman" w:hAnsi="Times New Roman"/>
              </w:rPr>
              <w:t>Materiál legislatívnej povahy</w:t>
            </w:r>
          </w:p>
        </w:tc>
      </w:tr>
      <w:tr w:rsidR="00607234" w:rsidRPr="00AA01A1" w:rsidTr="009243A8">
        <w:tc>
          <w:tcPr>
            <w:tcW w:w="4212" w:type="dxa"/>
            <w:gridSpan w:val="2"/>
            <w:vMerge/>
            <w:tcBorders>
              <w:top w:val="nil"/>
              <w:left w:val="single" w:sz="4" w:space="0" w:color="auto"/>
              <w:bottom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rPr>
            </w:pPr>
          </w:p>
        </w:tc>
        <w:sdt>
          <w:sdtPr>
            <w:rPr>
              <w:rFonts w:ascii="Times New Roman" w:eastAsia="Times New Roman" w:hAnsi="Times New Roman"/>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07234" w:rsidRPr="00AA01A1" w:rsidRDefault="00607234" w:rsidP="009243A8">
                <w:pPr>
                  <w:spacing w:after="0" w:line="240" w:lineRule="auto"/>
                  <w:jc w:val="center"/>
                  <w:rPr>
                    <w:rFonts w:ascii="Times New Roman" w:eastAsia="Times New Roman" w:hAnsi="Times New Roman"/>
                  </w:rPr>
                </w:pPr>
                <w:r w:rsidRPr="00AA01A1">
                  <w:rPr>
                    <w:rFonts w:ascii="Segoe UI Symbol" w:eastAsia="MS Gothic" w:hAnsi="Segoe UI Symbol" w:cs="Segoe UI Symbol"/>
                  </w:rPr>
                  <w:t>☐</w:t>
                </w:r>
              </w:p>
            </w:tc>
          </w:sdtContent>
        </w:sdt>
        <w:tc>
          <w:tcPr>
            <w:tcW w:w="4263" w:type="dxa"/>
            <w:gridSpan w:val="7"/>
            <w:tcBorders>
              <w:top w:val="single" w:sz="4" w:space="0" w:color="auto"/>
              <w:left w:val="nil"/>
              <w:bottom w:val="single" w:sz="4" w:space="0" w:color="auto"/>
            </w:tcBorders>
            <w:shd w:val="clear" w:color="auto" w:fill="FFFFFF"/>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Transpozícia/ implementácia práva EÚ</w:t>
            </w:r>
          </w:p>
        </w:tc>
      </w:tr>
      <w:tr w:rsidR="00607234" w:rsidRPr="00AA01A1" w:rsidTr="009243A8">
        <w:tc>
          <w:tcPr>
            <w:tcW w:w="9180" w:type="dxa"/>
            <w:gridSpan w:val="11"/>
            <w:tcBorders>
              <w:top w:val="single" w:sz="4" w:space="0" w:color="auto"/>
              <w:left w:val="single" w:sz="4" w:space="0" w:color="auto"/>
              <w:bottom w:val="single" w:sz="4" w:space="0" w:color="FFFFFF"/>
            </w:tcBorders>
            <w:shd w:val="clear" w:color="auto" w:fill="FFFFFF"/>
          </w:tcPr>
          <w:p w:rsidR="00607234" w:rsidRPr="00AA01A1" w:rsidRDefault="00607234" w:rsidP="009243A8">
            <w:pPr>
              <w:spacing w:after="0" w:line="240" w:lineRule="auto"/>
              <w:rPr>
                <w:rFonts w:ascii="Times New Roman" w:eastAsia="Times New Roman" w:hAnsi="Times New Roman"/>
                <w:i/>
              </w:rPr>
            </w:pPr>
            <w:r w:rsidRPr="00AA01A1">
              <w:rPr>
                <w:rFonts w:ascii="Times New Roman" w:eastAsia="Times New Roman" w:hAnsi="Times New Roman"/>
                <w:i/>
              </w:rPr>
              <w:t>V prípade transpozície/implementácie uveďte zoznam transponovaných/implementovaných predpisov:</w:t>
            </w:r>
          </w:p>
        </w:tc>
      </w:tr>
      <w:tr w:rsidR="00607234" w:rsidRPr="00AA01A1" w:rsidTr="009243A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607234" w:rsidRPr="00AA01A1" w:rsidRDefault="00607234" w:rsidP="009243A8">
            <w:pPr>
              <w:spacing w:after="0" w:line="240" w:lineRule="auto"/>
              <w:ind w:left="142"/>
              <w:contextualSpacing/>
              <w:rPr>
                <w:rFonts w:ascii="Times New Roman" w:hAnsi="Times New Roman"/>
                <w:b/>
              </w:rPr>
            </w:pPr>
            <w:r w:rsidRPr="00AA01A1">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607234" w:rsidRPr="00AA01A1" w:rsidRDefault="00190114" w:rsidP="009243A8">
            <w:pPr>
              <w:spacing w:after="0" w:line="240" w:lineRule="auto"/>
              <w:rPr>
                <w:rFonts w:ascii="Times New Roman" w:eastAsia="Times New Roman" w:hAnsi="Times New Roman"/>
              </w:rPr>
            </w:pPr>
            <w:r w:rsidRPr="00AA01A1">
              <w:rPr>
                <w:rFonts w:ascii="Times New Roman" w:eastAsia="Times New Roman" w:hAnsi="Times New Roman"/>
              </w:rPr>
              <w:t>23. 5.</w:t>
            </w:r>
            <w:r w:rsidR="00607234" w:rsidRPr="00AA01A1">
              <w:rPr>
                <w:rFonts w:ascii="Times New Roman" w:eastAsia="Times New Roman" w:hAnsi="Times New Roman"/>
              </w:rPr>
              <w:t xml:space="preserve"> 2024</w:t>
            </w:r>
            <w:r w:rsidRPr="00AA01A1">
              <w:rPr>
                <w:rFonts w:ascii="Times New Roman" w:eastAsia="Times New Roman" w:hAnsi="Times New Roman"/>
              </w:rPr>
              <w:t xml:space="preserve"> – 31. 5. 2024</w:t>
            </w:r>
          </w:p>
        </w:tc>
      </w:tr>
      <w:tr w:rsidR="00607234" w:rsidRPr="00AA01A1" w:rsidTr="009243A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607234" w:rsidRPr="00AA01A1" w:rsidRDefault="00607234" w:rsidP="009243A8">
            <w:pPr>
              <w:spacing w:after="0" w:line="240" w:lineRule="auto"/>
              <w:ind w:left="142"/>
              <w:contextualSpacing/>
              <w:rPr>
                <w:rFonts w:ascii="Times New Roman" w:hAnsi="Times New Roman"/>
                <w:b/>
              </w:rPr>
            </w:pPr>
            <w:r w:rsidRPr="00AA01A1">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jún 2024</w:t>
            </w:r>
          </w:p>
        </w:tc>
      </w:tr>
      <w:tr w:rsidR="00607234" w:rsidRPr="00AA01A1" w:rsidTr="009243A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607234" w:rsidRPr="00AA01A1" w:rsidRDefault="00607234" w:rsidP="009243A8">
            <w:pPr>
              <w:spacing w:after="0" w:line="240" w:lineRule="auto"/>
              <w:ind w:left="142"/>
              <w:contextualSpacing/>
              <w:rPr>
                <w:rFonts w:ascii="Times New Roman" w:hAnsi="Times New Roman"/>
                <w:b/>
              </w:rPr>
            </w:pPr>
            <w:r w:rsidRPr="00AA01A1">
              <w:rPr>
                <w:rFonts w:ascii="Times New Roman" w:hAnsi="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607234" w:rsidRPr="00AA01A1" w:rsidRDefault="00607234" w:rsidP="009243A8">
            <w:pPr>
              <w:spacing w:after="0" w:line="240" w:lineRule="auto"/>
              <w:rPr>
                <w:rFonts w:ascii="Times New Roman" w:eastAsia="Times New Roman" w:hAnsi="Times New Roman"/>
                <w:i/>
              </w:rPr>
            </w:pPr>
          </w:p>
        </w:tc>
      </w:tr>
      <w:tr w:rsidR="00607234" w:rsidRPr="00AA01A1" w:rsidTr="009243A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607234" w:rsidRPr="00AA01A1" w:rsidRDefault="00607234" w:rsidP="009243A8">
            <w:pPr>
              <w:spacing w:after="0" w:line="240" w:lineRule="auto"/>
              <w:ind w:left="142"/>
              <w:contextualSpacing/>
              <w:jc w:val="both"/>
              <w:rPr>
                <w:rFonts w:ascii="Times New Roman" w:hAnsi="Times New Roman"/>
                <w:b/>
              </w:rPr>
            </w:pPr>
            <w:r w:rsidRPr="00AA01A1">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607234" w:rsidRPr="00AA01A1" w:rsidRDefault="00607234" w:rsidP="009243A8">
            <w:pPr>
              <w:spacing w:after="0" w:line="240" w:lineRule="auto"/>
              <w:rPr>
                <w:rFonts w:ascii="Times New Roman" w:eastAsia="Times New Roman" w:hAnsi="Times New Roman"/>
                <w:i/>
              </w:rPr>
            </w:pPr>
          </w:p>
        </w:tc>
      </w:tr>
      <w:tr w:rsidR="00607234" w:rsidRPr="00AA01A1" w:rsidTr="009243A8">
        <w:tc>
          <w:tcPr>
            <w:tcW w:w="9180" w:type="dxa"/>
            <w:gridSpan w:val="11"/>
            <w:tcBorders>
              <w:top w:val="single" w:sz="4" w:space="0" w:color="auto"/>
              <w:left w:val="nil"/>
              <w:bottom w:val="single" w:sz="4" w:space="0" w:color="auto"/>
              <w:right w:val="nil"/>
            </w:tcBorders>
            <w:shd w:val="clear" w:color="auto" w:fill="FFFFFF"/>
          </w:tcPr>
          <w:p w:rsidR="00607234" w:rsidRPr="00AA01A1" w:rsidRDefault="00607234" w:rsidP="009243A8">
            <w:pPr>
              <w:spacing w:after="0" w:line="240" w:lineRule="auto"/>
              <w:rPr>
                <w:rFonts w:ascii="Times New Roman" w:eastAsia="Times New Roman" w:hAnsi="Times New Roman"/>
              </w:rPr>
            </w:pPr>
          </w:p>
        </w:tc>
      </w:tr>
      <w:tr w:rsidR="00607234" w:rsidRPr="00AA01A1" w:rsidTr="009243A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t>Definovanie problému</w:t>
            </w:r>
          </w:p>
        </w:tc>
      </w:tr>
      <w:tr w:rsidR="00607234" w:rsidRPr="00AA01A1" w:rsidTr="009243A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607234" w:rsidRPr="00AA01A1" w:rsidRDefault="00607234" w:rsidP="009243A8">
            <w:pPr>
              <w:spacing w:after="0" w:line="240" w:lineRule="auto"/>
              <w:jc w:val="both"/>
              <w:rPr>
                <w:rFonts w:ascii="Times New Roman" w:hAnsi="Times New Roman"/>
              </w:rPr>
            </w:pPr>
            <w:r w:rsidRPr="00AA01A1">
              <w:rPr>
                <w:rFonts w:ascii="Times New Roman" w:hAnsi="Times New Roman"/>
              </w:rPr>
              <w:t xml:space="preserve">Zo súčasne nastavenej právnej úpravy vznikajú rôzne problémy v aplikačnej praxi, pre odstránenie ktorých je nevyhnutná zmena legislatívy. Pri zhodnotení súčasného stavu, týkajúceho sa oblastí, ktoré sú predmetom právnej úpravy, je možné skonštatovať, že tieto oblasti nie sú v súčasnom znení zákona popísané detailne, prípadne z nových poznatkov a podnetov z aplikačnej praxe vyplýva nutnosť zmeny a podrobnejšieho popisu týchto oblastí. </w:t>
            </w:r>
          </w:p>
          <w:p w:rsidR="00607234" w:rsidRPr="00AA01A1" w:rsidRDefault="00607234" w:rsidP="009243A8">
            <w:pPr>
              <w:spacing w:after="0" w:line="240" w:lineRule="auto"/>
              <w:jc w:val="both"/>
              <w:rPr>
                <w:rFonts w:ascii="Times New Roman" w:eastAsia="Times New Roman" w:hAnsi="Times New Roman"/>
                <w:b/>
              </w:rPr>
            </w:pP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vzniku a zániku verejného zdravotného poistenia:</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v Centrálnom registri poistencov sú evidované osoby v extrémne vysokom veku, ktoré nečerpajú zdravotnú starostlivosť, nie je evidovaná komunikácia s týmito osobami a je možné reálne predpokladať, že tieto osoby už nežijú, avšak príslušné orgány v SR nemajú k dispozícii informáciu o ich úmrtí (napr. z dôvodu ich predchádzajúceho odchodu do cudziny),</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nie je vyriešený vznik verejného zdravotného poistenia pre deti narodené v cudzine, ktorým sa následne poskytuje starostlivosť v zariadení, v ktorom sú umiestnené na základe rozhodnutia súdu,</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spätný vznik a zánik účasti na verejnom zdravotnom poistení na základe dodatočne predloženej informácie o výkone ekonomickej činnosti v inom členskom štáte,</w:t>
            </w:r>
          </w:p>
          <w:p w:rsidR="00607234" w:rsidRPr="00AA01A1" w:rsidRDefault="00607234" w:rsidP="009243A8">
            <w:pPr>
              <w:spacing w:after="0" w:line="240" w:lineRule="auto"/>
              <w:jc w:val="both"/>
              <w:rPr>
                <w:rFonts w:ascii="Times New Roman" w:eastAsia="Times New Roman" w:hAnsi="Times New Roman"/>
                <w:b/>
              </w:rPr>
            </w:pP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prerozdelenia poistného:</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je potrebné detailnejšie zadefinovať pojmy pri výkone prerozdelenia (priemerné dodatočné náklady, celkové dodatočné náklady,...), dátumy pre odosielanie údajov, identifikáciu záznamov,</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zavedenie nového parametra v procese prerozdelenia – nadmerné prepoistenie.</w:t>
            </w:r>
          </w:p>
          <w:p w:rsidR="00607234" w:rsidRPr="00AA01A1" w:rsidRDefault="00607234" w:rsidP="009243A8">
            <w:pPr>
              <w:spacing w:after="0" w:line="240" w:lineRule="auto"/>
              <w:jc w:val="both"/>
              <w:rPr>
                <w:rFonts w:ascii="Times New Roman" w:eastAsia="Times New Roman" w:hAnsi="Times New Roman"/>
                <w:b/>
              </w:rPr>
            </w:pP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vykazovania poistného:</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zamestnávateľ má povinnosť vykazovať do zdravotnej poisťovne informáciu o prvých 10 dňoch PN, pričom po zavedení elektronickej PN je tento údaj poskytovaný od lekára priamo do NCZI.</w:t>
            </w:r>
          </w:p>
          <w:p w:rsidR="00607234" w:rsidRPr="00AA01A1" w:rsidRDefault="00607234" w:rsidP="009243A8">
            <w:pPr>
              <w:pStyle w:val="Odsekzoznamu"/>
              <w:ind w:left="720"/>
              <w:jc w:val="both"/>
              <w:rPr>
                <w:sz w:val="20"/>
                <w:szCs w:val="20"/>
                <w:lang w:eastAsia="sk-SK"/>
              </w:rPr>
            </w:pP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poskytovania zdravotnej starostlivosti:</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verejné zdravotné poistenie zaniká smrťou, teda úhrada nákladov prípadného odberu orgánov, tkanív a buniek po úmrtí je značne problematická,</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chudobou ohrozené skupiny obyvateľstva, ktoré sú dlžníkmi alebo bezdomovcami nemajú prístup k všeobecnej starostlivosti a ošetrovateľskej starostlivosti poskytovanej prostredníctvom agentúry domácej ošetrovateľskej starostlivosti.</w:t>
            </w:r>
          </w:p>
          <w:p w:rsidR="00607234" w:rsidRPr="00AA01A1" w:rsidRDefault="00607234" w:rsidP="009243A8">
            <w:pPr>
              <w:spacing w:after="0" w:line="240" w:lineRule="auto"/>
              <w:jc w:val="both"/>
              <w:rPr>
                <w:rFonts w:ascii="Times New Roman" w:eastAsia="Times New Roman" w:hAnsi="Times New Roman"/>
                <w:b/>
              </w:rPr>
            </w:pP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činnosti zdravotnej poisťovne:</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potreba presnejšie dodefinovať jednotlivé ekonomické pojmy pri vykazovaní údajov zo strany zdravotnej poisťovne,</w:t>
            </w:r>
          </w:p>
          <w:p w:rsidR="00607234" w:rsidRPr="00AA01A1" w:rsidRDefault="00607234" w:rsidP="009243A8">
            <w:pPr>
              <w:spacing w:after="0" w:line="240" w:lineRule="auto"/>
              <w:jc w:val="both"/>
              <w:rPr>
                <w:rFonts w:ascii="Times New Roman" w:hAnsi="Times New Roman"/>
              </w:rPr>
            </w:pP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vydávania povolení pre poskytovateľov:</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náročná administratíva pri vydávaní povolenia na výkon činnosti obhliadok mŕtvych tiel,</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 xml:space="preserve">projekt </w:t>
            </w:r>
            <w:proofErr w:type="spellStart"/>
            <w:r w:rsidRPr="00AA01A1">
              <w:rPr>
                <w:sz w:val="20"/>
                <w:szCs w:val="20"/>
                <w:lang w:eastAsia="sk-SK"/>
              </w:rPr>
              <w:t>ePrehliadky</w:t>
            </w:r>
            <w:proofErr w:type="spellEnd"/>
            <w:r w:rsidRPr="00AA01A1">
              <w:rPr>
                <w:sz w:val="20"/>
                <w:szCs w:val="20"/>
                <w:lang w:eastAsia="sk-SK"/>
              </w:rPr>
              <w:t>,</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chýbajúci detailný popis pri ukončovaní platnosti kódov poskytovateľov,</w:t>
            </w:r>
          </w:p>
          <w:p w:rsidR="00607234" w:rsidRPr="00AA01A1" w:rsidRDefault="00607234" w:rsidP="009243A8">
            <w:pPr>
              <w:spacing w:after="0" w:line="240" w:lineRule="auto"/>
              <w:jc w:val="both"/>
              <w:rPr>
                <w:rFonts w:ascii="Times New Roman" w:hAnsi="Times New Roman"/>
              </w:rPr>
            </w:pP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úhradových mechanizmov:</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nie sú zverejnené metodiky pre prepočet DRG úhradového mechanizmu.</w:t>
            </w:r>
          </w:p>
        </w:tc>
      </w:tr>
      <w:tr w:rsidR="00607234" w:rsidRPr="00AA01A1" w:rsidTr="009243A8">
        <w:tc>
          <w:tcPr>
            <w:tcW w:w="9180" w:type="dxa"/>
            <w:gridSpan w:val="11"/>
            <w:tcBorders>
              <w:top w:val="single" w:sz="4" w:space="0" w:color="auto"/>
              <w:left w:val="single" w:sz="4" w:space="0" w:color="auto"/>
              <w:bottom w:val="nil"/>
              <w:right w:val="single" w:sz="4" w:space="0" w:color="auto"/>
            </w:tcBorders>
            <w:shd w:val="clear" w:color="auto" w:fill="E2E2E2"/>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lastRenderedPageBreak/>
              <w:t>Ciele a výsledný stav</w:t>
            </w:r>
          </w:p>
        </w:tc>
      </w:tr>
      <w:tr w:rsidR="00607234" w:rsidRPr="00AA01A1" w:rsidTr="009243A8">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vzniku a zániku verejného zdravotného poistenia:</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vyriešiť problém s evidenciou poistencov v extrémne vysokom veku,</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zabezpečiť vznik verejného zdravotného poistenia pre deti narodené v cudzine, ktorým sa následne poskytuje starostlivosť v zariadení, v ktorom sú umiestnené na základe rozhodnutia súdu,</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zjednodušiť realizáciu spätného vzniku a zániku účasti na verejnom zdravotnom poistení na základe dodatočne predloženej informácie o výkone ekonomickej činnosti v inom členskom štáte,</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prerozdeľovania poistného:</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zadefinovať pojmy pri výkone prerozdelenia (priemerné dodatočné náklady, celkové dodatočné náklady,...), dátumy pre odosielanie údajov, identifikáciu záznamov,</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cestou parametra pre nadmerné prepoistenie eliminovať príliš časté zmeny zdravotnej poisťovne.</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vykazovania poistného:</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zabezpečiť výmenu údajov o elektronickej PN priamo medzi NCZI a zdravotnou poisťovňou.</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poskytovania zdravotnej starostlivosti:</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zabezpečiť úhradu nákladov prípadného odberu orgánov, tkanív a buniek po úmrtí z verejného zdravotného poistenia,</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zabezpečiť prístup chudobou ohrozených skupín obyvateľstva, ktoré sú dlžníkmi alebo bezdomovcami k všeobecnej starostlivosti a ošetrovateľskej starostlivosti poskytovanej prostredníctvom agentúry domácej ošetrovateľskej starostlivosti.</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činnosti zdravotnej poisťovne:</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jednoznačne stanoviť ekonomické pojmy pri vykazovaní údajov zo strany zdravotnej poisťovne,</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vydávania povolení pre poskytovateľov:</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 xml:space="preserve">implementovať projekt </w:t>
            </w:r>
            <w:proofErr w:type="spellStart"/>
            <w:r w:rsidRPr="00AA01A1">
              <w:rPr>
                <w:sz w:val="20"/>
                <w:szCs w:val="20"/>
                <w:lang w:eastAsia="sk-SK"/>
              </w:rPr>
              <w:t>ePrehliadky</w:t>
            </w:r>
            <w:proofErr w:type="spellEnd"/>
            <w:r w:rsidRPr="00AA01A1">
              <w:rPr>
                <w:sz w:val="20"/>
                <w:szCs w:val="20"/>
                <w:lang w:eastAsia="sk-SK"/>
              </w:rPr>
              <w:t xml:space="preserve"> do legislatívy,</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ustanoviť postup pri ukončovaní platnosti kódov poskytovateľov,</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úhradových mechanizmov:</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zabezpečiť zverejnenie metodík pre prepočet DRG úhradového mechanizmu</w:t>
            </w:r>
          </w:p>
        </w:tc>
      </w:tr>
      <w:tr w:rsidR="00607234" w:rsidRPr="00AA01A1" w:rsidTr="009243A8">
        <w:tc>
          <w:tcPr>
            <w:tcW w:w="9180" w:type="dxa"/>
            <w:gridSpan w:val="11"/>
            <w:tcBorders>
              <w:top w:val="single" w:sz="4" w:space="0" w:color="auto"/>
              <w:left w:val="single" w:sz="4" w:space="0" w:color="auto"/>
              <w:bottom w:val="nil"/>
              <w:right w:val="single" w:sz="4" w:space="0" w:color="auto"/>
            </w:tcBorders>
            <w:shd w:val="clear" w:color="auto" w:fill="E2E2E2"/>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t>Dotknuté subjekty</w:t>
            </w:r>
          </w:p>
        </w:tc>
      </w:tr>
      <w:tr w:rsidR="00607234" w:rsidRPr="00AA01A1" w:rsidTr="009243A8">
        <w:tc>
          <w:tcPr>
            <w:tcW w:w="9180" w:type="dxa"/>
            <w:gridSpan w:val="11"/>
            <w:tcBorders>
              <w:top w:val="nil"/>
              <w:left w:val="single" w:sz="4" w:space="0" w:color="auto"/>
              <w:bottom w:val="single" w:sz="4" w:space="0" w:color="auto"/>
              <w:right w:val="single" w:sz="4" w:space="0" w:color="auto"/>
            </w:tcBorders>
            <w:shd w:val="clear" w:color="auto" w:fill="FFFFFF"/>
          </w:tcPr>
          <w:p w:rsidR="00607234" w:rsidRPr="00AA01A1" w:rsidRDefault="00607234" w:rsidP="009243A8">
            <w:pPr>
              <w:spacing w:after="0" w:line="240" w:lineRule="auto"/>
              <w:rPr>
                <w:rFonts w:ascii="Times New Roman" w:eastAsia="Times New Roman" w:hAnsi="Times New Roman"/>
                <w:b/>
              </w:rPr>
            </w:pPr>
            <w:r w:rsidRPr="00AA01A1">
              <w:rPr>
                <w:rFonts w:ascii="Times New Roman" w:hAnsi="Times New Roman"/>
              </w:rPr>
              <w:t>Ministerstvo zdravotníctva SR, Úrad pre dohľad nad zdravotnou starostlivosťou, zdravotné poisťovne, platitelia poistného, poistenci verejného zdravotného poistenia, poskytovatelia zdravotnej starostlivosti.</w:t>
            </w:r>
          </w:p>
        </w:tc>
      </w:tr>
      <w:tr w:rsidR="00607234" w:rsidRPr="00AA01A1" w:rsidTr="009243A8">
        <w:tc>
          <w:tcPr>
            <w:tcW w:w="9180" w:type="dxa"/>
            <w:gridSpan w:val="11"/>
            <w:tcBorders>
              <w:top w:val="single" w:sz="4" w:space="0" w:color="auto"/>
              <w:left w:val="single" w:sz="4" w:space="0" w:color="auto"/>
              <w:bottom w:val="nil"/>
              <w:right w:val="single" w:sz="4" w:space="0" w:color="auto"/>
            </w:tcBorders>
            <w:shd w:val="clear" w:color="auto" w:fill="E2E2E2"/>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t>Alternatívne riešenia</w:t>
            </w:r>
          </w:p>
        </w:tc>
      </w:tr>
      <w:tr w:rsidR="00607234" w:rsidRPr="00AA01A1" w:rsidTr="009243A8">
        <w:trPr>
          <w:trHeight w:val="857"/>
        </w:trPr>
        <w:tc>
          <w:tcPr>
            <w:tcW w:w="9180" w:type="dxa"/>
            <w:gridSpan w:val="11"/>
            <w:tcBorders>
              <w:top w:val="nil"/>
              <w:left w:val="single" w:sz="4" w:space="0" w:color="auto"/>
              <w:bottom w:val="single" w:sz="4" w:space="0" w:color="auto"/>
              <w:right w:val="single" w:sz="4" w:space="0" w:color="auto"/>
            </w:tcBorders>
            <w:shd w:val="clear" w:color="auto" w:fill="FFFFFF"/>
          </w:tcPr>
          <w:p w:rsidR="00607234" w:rsidRPr="00AA01A1" w:rsidRDefault="00607234" w:rsidP="009243A8">
            <w:pPr>
              <w:spacing w:after="0" w:line="240" w:lineRule="auto"/>
              <w:jc w:val="both"/>
              <w:rPr>
                <w:rFonts w:ascii="Times New Roman" w:hAnsi="Times New Roman"/>
              </w:rPr>
            </w:pPr>
            <w:r w:rsidRPr="00AA01A1">
              <w:rPr>
                <w:rFonts w:ascii="Times New Roman" w:hAnsi="Times New Roman"/>
              </w:rPr>
              <w:t>Nie sú.</w:t>
            </w:r>
          </w:p>
          <w:p w:rsidR="00607234" w:rsidRPr="00AA01A1" w:rsidRDefault="00607234" w:rsidP="009243A8">
            <w:pPr>
              <w:spacing w:after="0" w:line="240" w:lineRule="auto"/>
              <w:jc w:val="both"/>
              <w:rPr>
                <w:rFonts w:ascii="Times New Roman" w:hAnsi="Times New Roman"/>
              </w:rPr>
            </w:pPr>
            <w:r w:rsidRPr="00AA01A1">
              <w:rPr>
                <w:rFonts w:ascii="Times New Roman" w:hAnsi="Times New Roman"/>
              </w:rPr>
              <w:t xml:space="preserve">popis nulového variantu: </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vzniku a zániku verejného zdravotného poistenia:</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v Centrálnom registri poistencov budú naďalej evidované osoby v extrémne vysokom veku, ktoré budú skresľovať údaje evidované v CRP,</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naďalej bude problematický vznik verejného zdravotného poistenia pre deti narodené v cudzine, ktorým sa následne poskytuje starostlivosť v zariadení, v ktorom sú umiestnené na základe rozhodnutia súdu,</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spätný vznik a zánik účasti na verejnom zdravotnom poistení na základe dodatočne predloženej informácie o výkone ekonomickej činnosti v inom členskom štáte bude musieť byť naďalej realizovaný prostredníctvom podávania spätných prihlášok a odhlášok,</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prerozdelenia poistného:</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môžu vznikať aplikačné problémy pri výkone prerozdelenia,</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 xml:space="preserve">Pri niektorých skupinách osôb bude naďalej dochádzať ku každoročnému </w:t>
            </w:r>
            <w:proofErr w:type="spellStart"/>
            <w:r w:rsidRPr="00AA01A1">
              <w:rPr>
                <w:sz w:val="20"/>
                <w:szCs w:val="20"/>
                <w:lang w:eastAsia="sk-SK"/>
              </w:rPr>
              <w:t>prepoisťovaniu</w:t>
            </w:r>
            <w:proofErr w:type="spellEnd"/>
            <w:r w:rsidRPr="00AA01A1">
              <w:rPr>
                <w:sz w:val="20"/>
                <w:szCs w:val="20"/>
                <w:lang w:eastAsia="sk-SK"/>
              </w:rPr>
              <w:t xml:space="preserve"> do inej zdravotnej poisťovne.</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vykazovania poistného:</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 xml:space="preserve">zamestnávateľ bude naďalej vykazovať do zdravotnej poisťovne informáciu o prvých 10 dňoch PN, </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poskytovania zdravotnej starostlivosti:</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pri prípadnom odbere orgánov, tkanív a buniek po úmrtí bude úhrada nákladov z verejného zdravotného poistenia problematická,</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chudobou ohrozené skupiny obyvateľstva, ktoré sú dlžníkmi alebo bezdomovcami nebudú mať prístup k všeobecnej starostlivosti a ošetrovateľskej starostlivosti poskytovanej prostredníctvom agentúry domácej ošetrovateľskej starostlivosti.</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činnosti zdravotnej poisťovne:</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môžu vznikať aplikačné problémy pri vykazovaní údajov zo strany zdravotnej poisťovne,</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vydávania povolení pre poskytovateľov:</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náročná administratíva pri vydávaní povolenia na výkon činnosti obhliadok mŕtvych tiel bude naďalej,</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t xml:space="preserve">projekt </w:t>
            </w:r>
            <w:proofErr w:type="spellStart"/>
            <w:r w:rsidRPr="00AA01A1">
              <w:rPr>
                <w:sz w:val="20"/>
                <w:szCs w:val="20"/>
                <w:lang w:eastAsia="sk-SK"/>
              </w:rPr>
              <w:t>ePrehliadky</w:t>
            </w:r>
            <w:proofErr w:type="spellEnd"/>
            <w:r w:rsidRPr="00AA01A1">
              <w:rPr>
                <w:sz w:val="20"/>
                <w:szCs w:val="20"/>
                <w:lang w:eastAsia="sk-SK"/>
              </w:rPr>
              <w:t xml:space="preserve"> nebude ukotvený v legislatíve,</w:t>
            </w:r>
          </w:p>
          <w:p w:rsidR="00607234" w:rsidRPr="00AA01A1" w:rsidRDefault="00607234" w:rsidP="00607234">
            <w:pPr>
              <w:pStyle w:val="Odsekzoznamu"/>
              <w:numPr>
                <w:ilvl w:val="0"/>
                <w:numId w:val="11"/>
              </w:numPr>
              <w:jc w:val="both"/>
              <w:rPr>
                <w:sz w:val="20"/>
                <w:szCs w:val="20"/>
                <w:lang w:eastAsia="sk-SK"/>
              </w:rPr>
            </w:pPr>
            <w:r w:rsidRPr="00AA01A1">
              <w:rPr>
                <w:sz w:val="20"/>
                <w:szCs w:val="20"/>
                <w:lang w:eastAsia="sk-SK"/>
              </w:rPr>
              <w:lastRenderedPageBreak/>
              <w:t>postup pri ukončovaní platnosti kódov poskytovateľov nebude v legislatíve explicitne ustanovený,</w:t>
            </w:r>
          </w:p>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Oblasť úhradových mechanizmov:</w:t>
            </w:r>
          </w:p>
          <w:p w:rsidR="00607234" w:rsidRPr="00AA01A1" w:rsidRDefault="00607234" w:rsidP="00607234">
            <w:pPr>
              <w:pStyle w:val="Odsekzoznamu"/>
              <w:numPr>
                <w:ilvl w:val="0"/>
                <w:numId w:val="11"/>
              </w:numPr>
              <w:jc w:val="both"/>
              <w:rPr>
                <w:i/>
                <w:sz w:val="20"/>
                <w:szCs w:val="20"/>
                <w:lang w:eastAsia="sk-SK"/>
              </w:rPr>
            </w:pPr>
            <w:r w:rsidRPr="00AA01A1">
              <w:rPr>
                <w:sz w:val="20"/>
                <w:szCs w:val="20"/>
                <w:lang w:eastAsia="sk-SK"/>
              </w:rPr>
              <w:t>nebudú zverejnené metodiky pre prepočet DRG úhradového mechanizmu</w:t>
            </w:r>
          </w:p>
        </w:tc>
      </w:tr>
      <w:tr w:rsidR="00607234" w:rsidRPr="00AA01A1" w:rsidTr="009243A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lastRenderedPageBreak/>
              <w:t>Vykonávacie predpisy</w:t>
            </w:r>
          </w:p>
        </w:tc>
      </w:tr>
      <w:tr w:rsidR="00607234" w:rsidRPr="00AA01A1" w:rsidTr="009243A8">
        <w:tc>
          <w:tcPr>
            <w:tcW w:w="6203" w:type="dxa"/>
            <w:gridSpan w:val="7"/>
            <w:tcBorders>
              <w:top w:val="single" w:sz="4" w:space="0" w:color="FFFFFF"/>
              <w:left w:val="single" w:sz="4" w:space="0" w:color="auto"/>
              <w:bottom w:val="nil"/>
              <w:right w:val="nil"/>
            </w:tcBorders>
            <w:shd w:val="clear" w:color="auto" w:fill="FFFFFF"/>
          </w:tcPr>
          <w:p w:rsidR="00607234" w:rsidRPr="00AA01A1" w:rsidRDefault="00607234" w:rsidP="009243A8">
            <w:pPr>
              <w:spacing w:after="0" w:line="240" w:lineRule="auto"/>
              <w:rPr>
                <w:rFonts w:ascii="Times New Roman" w:eastAsia="Times New Roman" w:hAnsi="Times New Roman"/>
                <w:i/>
              </w:rPr>
            </w:pPr>
            <w:r w:rsidRPr="00AA01A1">
              <w:rPr>
                <w:rFonts w:ascii="Times New Roman" w:eastAsia="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607234" w:rsidRPr="00AA01A1" w:rsidRDefault="005A7A72" w:rsidP="009243A8">
            <w:pPr>
              <w:spacing w:after="0" w:line="240" w:lineRule="auto"/>
              <w:jc w:val="center"/>
              <w:rPr>
                <w:rFonts w:ascii="Times New Roman" w:eastAsia="Times New Roman" w:hAnsi="Times New Roman"/>
                <w:b/>
              </w:rPr>
            </w:pPr>
            <w:sdt>
              <w:sdtPr>
                <w:rPr>
                  <w:rFonts w:ascii="Times New Roman" w:eastAsia="Times New Roman" w:hAnsi="Times New Roman"/>
                  <w:b/>
                </w:rPr>
                <w:id w:val="1929613764"/>
                <w14:checkbox>
                  <w14:checked w14:val="0"/>
                  <w14:checkedState w14:val="2612" w14:font="MS Gothic"/>
                  <w14:uncheckedState w14:val="2610" w14:font="MS Gothic"/>
                </w14:checkbox>
              </w:sdtPr>
              <w:sdtEndPr/>
              <w:sdtContent>
                <w:r w:rsidR="00607234" w:rsidRPr="00AA01A1">
                  <w:rPr>
                    <w:rFonts w:ascii="Segoe UI Symbol" w:eastAsia="MS Gothic" w:hAnsi="Segoe UI Symbol" w:cs="Segoe UI Symbol"/>
                    <w:b/>
                  </w:rPr>
                  <w:t>☐</w:t>
                </w:r>
              </w:sdtContent>
            </w:sdt>
            <w:r w:rsidR="00607234" w:rsidRPr="00AA01A1">
              <w:rPr>
                <w:rFonts w:ascii="Times New Roman" w:eastAsia="Times New Roman" w:hAnsi="Times New Roman"/>
                <w:b/>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607234" w:rsidRPr="00AA01A1" w:rsidRDefault="005A7A72" w:rsidP="009243A8">
            <w:pPr>
              <w:spacing w:after="0" w:line="240" w:lineRule="auto"/>
              <w:jc w:val="center"/>
              <w:rPr>
                <w:rFonts w:ascii="Times New Roman" w:eastAsia="Times New Roman" w:hAnsi="Times New Roman"/>
                <w:b/>
              </w:rPr>
            </w:pPr>
            <w:sdt>
              <w:sdtPr>
                <w:rPr>
                  <w:rFonts w:ascii="Times New Roman" w:eastAsia="Times New Roman" w:hAnsi="Times New Roman"/>
                  <w:b/>
                </w:rPr>
                <w:id w:val="-1594626508"/>
                <w14:checkbox>
                  <w14:checked w14:val="1"/>
                  <w14:checkedState w14:val="2612" w14:font="MS Gothic"/>
                  <w14:uncheckedState w14:val="2610" w14:font="MS Gothic"/>
                </w14:checkbox>
              </w:sdtPr>
              <w:sdtEndPr/>
              <w:sdtContent>
                <w:r w:rsidR="00607234" w:rsidRPr="00AA01A1">
                  <w:rPr>
                    <w:rFonts w:ascii="Segoe UI Symbol" w:eastAsia="MS Gothic" w:hAnsi="Segoe UI Symbol" w:cs="Segoe UI Symbol"/>
                    <w:b/>
                  </w:rPr>
                  <w:t>☒</w:t>
                </w:r>
              </w:sdtContent>
            </w:sdt>
            <w:r w:rsidR="00607234" w:rsidRPr="00AA01A1">
              <w:rPr>
                <w:rFonts w:ascii="Times New Roman" w:eastAsia="Times New Roman" w:hAnsi="Times New Roman"/>
                <w:b/>
              </w:rPr>
              <w:t xml:space="preserve">  Nie</w:t>
            </w:r>
          </w:p>
        </w:tc>
      </w:tr>
      <w:tr w:rsidR="00607234" w:rsidRPr="00AA01A1" w:rsidTr="009243A8">
        <w:tc>
          <w:tcPr>
            <w:tcW w:w="9180" w:type="dxa"/>
            <w:gridSpan w:val="11"/>
            <w:tcBorders>
              <w:top w:val="nil"/>
              <w:left w:val="single" w:sz="4" w:space="0" w:color="auto"/>
              <w:bottom w:val="single" w:sz="4" w:space="0" w:color="auto"/>
              <w:right w:val="single" w:sz="4" w:space="0" w:color="auto"/>
            </w:tcBorders>
            <w:shd w:val="clear" w:color="auto" w:fill="FFFFFF"/>
          </w:tcPr>
          <w:p w:rsidR="00607234" w:rsidRPr="00AA01A1" w:rsidRDefault="00607234" w:rsidP="009243A8">
            <w:pPr>
              <w:spacing w:after="0" w:line="240" w:lineRule="auto"/>
              <w:rPr>
                <w:rFonts w:ascii="Times New Roman" w:eastAsia="Times New Roman" w:hAnsi="Times New Roman"/>
                <w:i/>
              </w:rPr>
            </w:pPr>
            <w:r w:rsidRPr="00AA01A1">
              <w:rPr>
                <w:rFonts w:ascii="Times New Roman" w:eastAsia="Times New Roman" w:hAnsi="Times New Roman"/>
                <w:i/>
              </w:rPr>
              <w:t>Ak áno, uveďte ktoré oblasti budú nimi upravené, resp. ktorých vykonávacích predpisov sa zmena dotkne:</w:t>
            </w:r>
          </w:p>
        </w:tc>
      </w:tr>
      <w:tr w:rsidR="00607234" w:rsidRPr="00AA01A1" w:rsidTr="009243A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t xml:space="preserve">Transpozícia/implementácia práva EÚ </w:t>
            </w:r>
          </w:p>
        </w:tc>
      </w:tr>
      <w:tr w:rsidR="00607234" w:rsidRPr="00AA01A1" w:rsidTr="009243A8">
        <w:trPr>
          <w:trHeight w:val="92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07234" w:rsidRPr="00AA01A1" w:rsidTr="009243A8">
              <w:trPr>
                <w:trHeight w:val="90"/>
              </w:trPr>
              <w:tc>
                <w:tcPr>
                  <w:tcW w:w="8643" w:type="dxa"/>
                </w:tcPr>
                <w:p w:rsidR="00607234" w:rsidRPr="00AA01A1" w:rsidRDefault="00607234" w:rsidP="009243A8">
                  <w:pPr>
                    <w:pStyle w:val="Default"/>
                    <w:rPr>
                      <w:rFonts w:ascii="Times New Roman" w:hAnsi="Times New Roman" w:cs="Times New Roman"/>
                      <w:color w:val="auto"/>
                      <w:sz w:val="20"/>
                      <w:szCs w:val="20"/>
                    </w:rPr>
                  </w:pPr>
                  <w:r w:rsidRPr="00AA01A1">
                    <w:rPr>
                      <w:rFonts w:ascii="Times New Roman" w:hAnsi="Times New Roman" w:cs="Times New Roman"/>
                      <w:i/>
                      <w:iCs/>
                      <w:color w:val="auto"/>
                      <w:sz w:val="20"/>
                      <w:szCs w:val="20"/>
                    </w:rPr>
                    <w:t xml:space="preserve">Uveďte, či v predkladanom návrhu právneho predpisu dochádza ku </w:t>
                  </w:r>
                  <w:proofErr w:type="spellStart"/>
                  <w:r w:rsidRPr="00AA01A1">
                    <w:rPr>
                      <w:rFonts w:ascii="Times New Roman" w:hAnsi="Times New Roman" w:cs="Times New Roman"/>
                      <w:i/>
                      <w:iCs/>
                      <w:color w:val="auto"/>
                      <w:sz w:val="20"/>
                      <w:szCs w:val="20"/>
                    </w:rPr>
                    <w:t>goldplatingu</w:t>
                  </w:r>
                  <w:proofErr w:type="spellEnd"/>
                  <w:r w:rsidRPr="00AA01A1">
                    <w:rPr>
                      <w:rFonts w:ascii="Times New Roman" w:hAnsi="Times New Roman" w:cs="Times New Roman"/>
                      <w:i/>
                      <w:iCs/>
                      <w:color w:val="auto"/>
                      <w:sz w:val="20"/>
                      <w:szCs w:val="20"/>
                    </w:rPr>
                    <w:t xml:space="preserve"> podľa tabuľky zhody, resp. či ku </w:t>
                  </w:r>
                  <w:proofErr w:type="spellStart"/>
                  <w:r w:rsidRPr="00AA01A1">
                    <w:rPr>
                      <w:rFonts w:ascii="Times New Roman" w:hAnsi="Times New Roman" w:cs="Times New Roman"/>
                      <w:i/>
                      <w:iCs/>
                      <w:color w:val="auto"/>
                      <w:sz w:val="20"/>
                      <w:szCs w:val="20"/>
                    </w:rPr>
                    <w:t>goldplatingu</w:t>
                  </w:r>
                  <w:proofErr w:type="spellEnd"/>
                  <w:r w:rsidRPr="00AA01A1">
                    <w:rPr>
                      <w:rFonts w:ascii="Times New Roman" w:hAnsi="Times New Roman" w:cs="Times New Roman"/>
                      <w:i/>
                      <w:iCs/>
                      <w:color w:val="auto"/>
                      <w:sz w:val="20"/>
                      <w:szCs w:val="20"/>
                    </w:rPr>
                    <w:t xml:space="preserve"> dochádza pri implementácii práva EÚ. </w:t>
                  </w:r>
                </w:p>
              </w:tc>
            </w:tr>
            <w:tr w:rsidR="00607234" w:rsidRPr="00AA01A1" w:rsidTr="009243A8">
              <w:trPr>
                <w:trHeight w:val="296"/>
              </w:trPr>
              <w:tc>
                <w:tcPr>
                  <w:tcW w:w="8643" w:type="dxa"/>
                </w:tcPr>
                <w:p w:rsidR="00607234" w:rsidRPr="00AA01A1" w:rsidRDefault="00607234" w:rsidP="009243A8">
                  <w:pPr>
                    <w:pStyle w:val="Default"/>
                    <w:rPr>
                      <w:rFonts w:ascii="Times New Roman" w:hAnsi="Times New Roman" w:cs="Times New Roman"/>
                      <w:b/>
                      <w:iCs/>
                      <w:color w:val="auto"/>
                      <w:sz w:val="20"/>
                      <w:szCs w:val="20"/>
                    </w:rPr>
                  </w:pPr>
                  <w:r w:rsidRPr="00AA01A1">
                    <w:rPr>
                      <w:rFonts w:ascii="Times New Roman" w:hAnsi="Times New Roman" w:cs="Times New Roman"/>
                      <w:b/>
                      <w:iCs/>
                      <w:color w:val="auto"/>
                      <w:sz w:val="20"/>
                      <w:szCs w:val="20"/>
                    </w:rPr>
                    <w:t xml:space="preserve">                                                                                                                               </w:t>
                  </w:r>
                  <w:sdt>
                    <w:sdtPr>
                      <w:rPr>
                        <w:rFonts w:ascii="Times New Roman" w:hAnsi="Times New Roman" w:cs="Times New Roman"/>
                        <w:b/>
                        <w:iCs/>
                        <w:color w:val="auto"/>
                        <w:sz w:val="20"/>
                        <w:szCs w:val="20"/>
                      </w:rPr>
                      <w:id w:val="1614706761"/>
                      <w14:checkbox>
                        <w14:checked w14:val="0"/>
                        <w14:checkedState w14:val="2612" w14:font="MS Gothic"/>
                        <w14:uncheckedState w14:val="2610" w14:font="MS Gothic"/>
                      </w14:checkbox>
                    </w:sdtPr>
                    <w:sdtEndPr/>
                    <w:sdtContent>
                      <w:r w:rsidRPr="00AA01A1">
                        <w:rPr>
                          <w:rFonts w:ascii="Segoe UI Symbol" w:eastAsia="MS Gothic" w:hAnsi="Segoe UI Symbol" w:cs="Segoe UI Symbol"/>
                          <w:b/>
                          <w:iCs/>
                          <w:color w:val="auto"/>
                          <w:sz w:val="20"/>
                          <w:szCs w:val="20"/>
                        </w:rPr>
                        <w:t>☐</w:t>
                      </w:r>
                    </w:sdtContent>
                  </w:sdt>
                  <w:r w:rsidRPr="00AA01A1">
                    <w:rPr>
                      <w:rFonts w:ascii="Times New Roman" w:hAnsi="Times New Roman" w:cs="Times New Roman"/>
                      <w:b/>
                      <w:iCs/>
                      <w:color w:val="auto"/>
                      <w:sz w:val="20"/>
                      <w:szCs w:val="20"/>
                    </w:rPr>
                    <w:t xml:space="preserve"> Áno                  </w:t>
                  </w:r>
                  <w:sdt>
                    <w:sdtPr>
                      <w:rPr>
                        <w:rFonts w:ascii="Times New Roman" w:hAnsi="Times New Roman" w:cs="Times New Roman"/>
                        <w:b/>
                        <w:iCs/>
                        <w:color w:val="auto"/>
                        <w:sz w:val="20"/>
                        <w:szCs w:val="20"/>
                      </w:rPr>
                      <w:id w:val="-155225922"/>
                      <w14:checkbox>
                        <w14:checked w14:val="1"/>
                        <w14:checkedState w14:val="2612" w14:font="MS Gothic"/>
                        <w14:uncheckedState w14:val="2610" w14:font="MS Gothic"/>
                      </w14:checkbox>
                    </w:sdtPr>
                    <w:sdtEndPr/>
                    <w:sdtContent>
                      <w:r w:rsidRPr="00AA01A1">
                        <w:rPr>
                          <w:rFonts w:ascii="Segoe UI Symbol" w:eastAsia="MS Gothic" w:hAnsi="Segoe UI Symbol" w:cs="Segoe UI Symbol"/>
                          <w:b/>
                          <w:iCs/>
                          <w:color w:val="auto"/>
                          <w:sz w:val="20"/>
                          <w:szCs w:val="20"/>
                        </w:rPr>
                        <w:t>☒</w:t>
                      </w:r>
                    </w:sdtContent>
                  </w:sdt>
                  <w:r w:rsidRPr="00AA01A1">
                    <w:rPr>
                      <w:rFonts w:ascii="Times New Roman" w:hAnsi="Times New Roman" w:cs="Times New Roman"/>
                      <w:b/>
                      <w:iCs/>
                      <w:color w:val="auto"/>
                      <w:sz w:val="20"/>
                      <w:szCs w:val="20"/>
                    </w:rPr>
                    <w:t xml:space="preserve"> Nie</w:t>
                  </w:r>
                </w:p>
                <w:p w:rsidR="00607234" w:rsidRPr="00AA01A1" w:rsidRDefault="00607234" w:rsidP="009243A8">
                  <w:pPr>
                    <w:pStyle w:val="Default"/>
                    <w:rPr>
                      <w:rFonts w:ascii="Times New Roman" w:hAnsi="Times New Roman" w:cs="Times New Roman"/>
                      <w:i/>
                      <w:iCs/>
                      <w:color w:val="auto"/>
                      <w:sz w:val="20"/>
                      <w:szCs w:val="20"/>
                    </w:rPr>
                  </w:pPr>
                </w:p>
                <w:p w:rsidR="00607234" w:rsidRPr="00AA01A1" w:rsidRDefault="00607234" w:rsidP="009243A8">
                  <w:pPr>
                    <w:pStyle w:val="Default"/>
                    <w:rPr>
                      <w:rFonts w:ascii="Times New Roman" w:hAnsi="Times New Roman" w:cs="Times New Roman"/>
                      <w:color w:val="auto"/>
                      <w:sz w:val="20"/>
                      <w:szCs w:val="20"/>
                    </w:rPr>
                  </w:pPr>
                  <w:r w:rsidRPr="00AA01A1">
                    <w:rPr>
                      <w:rFonts w:ascii="Times New Roman" w:hAnsi="Times New Roman" w:cs="Times New Roman"/>
                      <w:i/>
                      <w:iCs/>
                      <w:color w:val="auto"/>
                      <w:sz w:val="20"/>
                      <w:szCs w:val="20"/>
                    </w:rPr>
                    <w:t xml:space="preserve">Ak áno, uveďte, ktorých vplyvov podľa bodu 9 sa </w:t>
                  </w:r>
                  <w:proofErr w:type="spellStart"/>
                  <w:r w:rsidRPr="00AA01A1">
                    <w:rPr>
                      <w:rFonts w:ascii="Times New Roman" w:hAnsi="Times New Roman" w:cs="Times New Roman"/>
                      <w:i/>
                      <w:iCs/>
                      <w:color w:val="auto"/>
                      <w:sz w:val="20"/>
                      <w:szCs w:val="20"/>
                    </w:rPr>
                    <w:t>goldplating</w:t>
                  </w:r>
                  <w:proofErr w:type="spellEnd"/>
                  <w:r w:rsidRPr="00AA01A1">
                    <w:rPr>
                      <w:rFonts w:ascii="Times New Roman" w:hAnsi="Times New Roman" w:cs="Times New Roman"/>
                      <w:i/>
                      <w:iCs/>
                      <w:color w:val="auto"/>
                      <w:sz w:val="20"/>
                      <w:szCs w:val="20"/>
                    </w:rPr>
                    <w:t xml:space="preserve"> týka: </w:t>
                  </w:r>
                </w:p>
              </w:tc>
            </w:tr>
          </w:tbl>
          <w:p w:rsidR="00607234" w:rsidRPr="00AA01A1" w:rsidRDefault="00607234" w:rsidP="009243A8">
            <w:pPr>
              <w:spacing w:after="0" w:line="240" w:lineRule="auto"/>
              <w:jc w:val="both"/>
              <w:rPr>
                <w:rFonts w:ascii="Times New Roman" w:eastAsia="Times New Roman" w:hAnsi="Times New Roman"/>
                <w:i/>
              </w:rPr>
            </w:pPr>
          </w:p>
        </w:tc>
      </w:tr>
      <w:tr w:rsidR="00607234" w:rsidRPr="00AA01A1" w:rsidTr="009243A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t>Preskúmanie účelnosti</w:t>
            </w:r>
          </w:p>
        </w:tc>
      </w:tr>
      <w:tr w:rsidR="00607234" w:rsidRPr="00AA01A1" w:rsidTr="009243A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607234" w:rsidRPr="00AA01A1" w:rsidRDefault="00607234" w:rsidP="009243A8">
            <w:pPr>
              <w:spacing w:after="0" w:line="240" w:lineRule="auto"/>
              <w:rPr>
                <w:rFonts w:ascii="Times New Roman" w:hAnsi="Times New Roman"/>
              </w:rPr>
            </w:pPr>
            <w:r w:rsidRPr="00AA01A1">
              <w:rPr>
                <w:rFonts w:ascii="Times New Roman" w:hAnsi="Times New Roman"/>
              </w:rPr>
              <w:t xml:space="preserve">Preskúmanie účelnosti navrhovaného predpisu bude vykonávané priebežne po nadobudnutí účinnosti. </w:t>
            </w:r>
          </w:p>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 xml:space="preserve">Kritériá – </w:t>
            </w:r>
          </w:p>
          <w:p w:rsidR="00607234" w:rsidRPr="00AA01A1" w:rsidRDefault="00607234" w:rsidP="00607234">
            <w:pPr>
              <w:pStyle w:val="Odsekzoznamu"/>
              <w:numPr>
                <w:ilvl w:val="0"/>
                <w:numId w:val="11"/>
              </w:numPr>
              <w:rPr>
                <w:sz w:val="20"/>
                <w:szCs w:val="20"/>
                <w:lang w:eastAsia="sk-SK"/>
              </w:rPr>
            </w:pPr>
            <w:r w:rsidRPr="00AA01A1">
              <w:rPr>
                <w:sz w:val="20"/>
                <w:szCs w:val="20"/>
                <w:lang w:eastAsia="sk-SK"/>
              </w:rPr>
              <w:t>pokles počtu osôb s extrémne vysokým vekom v CRP,</w:t>
            </w:r>
          </w:p>
          <w:p w:rsidR="00607234" w:rsidRPr="00AA01A1" w:rsidRDefault="00607234" w:rsidP="00607234">
            <w:pPr>
              <w:pStyle w:val="Odsekzoznamu"/>
              <w:numPr>
                <w:ilvl w:val="0"/>
                <w:numId w:val="11"/>
              </w:numPr>
              <w:rPr>
                <w:sz w:val="20"/>
                <w:szCs w:val="20"/>
                <w:lang w:eastAsia="sk-SK"/>
              </w:rPr>
            </w:pPr>
            <w:r w:rsidRPr="00AA01A1">
              <w:rPr>
                <w:sz w:val="20"/>
                <w:szCs w:val="20"/>
                <w:lang w:eastAsia="sk-SK"/>
              </w:rPr>
              <w:t>zníženie počtu vykázaných oznámení zamestnávateľa (PN),</w:t>
            </w:r>
          </w:p>
        </w:tc>
      </w:tr>
      <w:tr w:rsidR="00607234" w:rsidRPr="00AA01A1" w:rsidTr="009243A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t>Vybrané vplyvy  materiálu</w:t>
            </w:r>
          </w:p>
        </w:tc>
      </w:tr>
      <w:tr w:rsidR="00607234" w:rsidRPr="00AA01A1" w:rsidTr="009243A8">
        <w:tc>
          <w:tcPr>
            <w:tcW w:w="3812" w:type="dxa"/>
            <w:tcBorders>
              <w:top w:val="single" w:sz="4" w:space="0" w:color="auto"/>
              <w:left w:val="single" w:sz="4" w:space="0" w:color="auto"/>
              <w:bottom w:val="nil"/>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Vplyvy na rozpočet verejnej správy</w:t>
            </w:r>
          </w:p>
        </w:tc>
        <w:sdt>
          <w:sdtPr>
            <w:rPr>
              <w:rFonts w:ascii="Times New Roman" w:eastAsia="Times New Roman" w:hAnsi="Times New Roman"/>
              <w:b/>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312" w:type="dxa"/>
            <w:gridSpan w:val="2"/>
            <w:tcBorders>
              <w:top w:val="single" w:sz="4" w:space="0" w:color="auto"/>
              <w:left w:val="nil"/>
              <w:bottom w:val="dotted" w:sz="4" w:space="0" w:color="auto"/>
              <w:right w:val="nil"/>
            </w:tcBorders>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Pozitívne</w:t>
            </w:r>
          </w:p>
        </w:tc>
        <w:sdt>
          <w:sdtPr>
            <w:rPr>
              <w:rFonts w:ascii="Times New Roman" w:eastAsia="Times New Roman" w:hAnsi="Times New Roman"/>
              <w:b/>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133" w:type="dxa"/>
            <w:tcBorders>
              <w:top w:val="single" w:sz="4" w:space="0" w:color="auto"/>
              <w:left w:val="nil"/>
              <w:bottom w:val="dotted" w:sz="4" w:space="0" w:color="auto"/>
              <w:right w:val="nil"/>
            </w:tcBorders>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Žiadne</w:t>
            </w:r>
          </w:p>
        </w:tc>
        <w:sdt>
          <w:sdtPr>
            <w:rPr>
              <w:rFonts w:ascii="Times New Roman" w:eastAsia="Times New Roman" w:hAnsi="Times New Roman"/>
              <w:b/>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607234" w:rsidRPr="00AA01A1" w:rsidRDefault="00607234" w:rsidP="009243A8">
                <w:pPr>
                  <w:spacing w:after="0" w:line="240" w:lineRule="auto"/>
                  <w:ind w:left="-107" w:right="-108"/>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297" w:type="dxa"/>
            <w:tcBorders>
              <w:top w:val="single" w:sz="4" w:space="0" w:color="auto"/>
              <w:left w:val="nil"/>
              <w:bottom w:val="dotted" w:sz="4" w:space="0" w:color="auto"/>
              <w:right w:val="single" w:sz="4" w:space="0" w:color="auto"/>
            </w:tcBorders>
          </w:tcPr>
          <w:p w:rsidR="00607234" w:rsidRPr="00AA01A1" w:rsidRDefault="00607234" w:rsidP="009243A8">
            <w:pPr>
              <w:spacing w:after="0" w:line="240" w:lineRule="auto"/>
              <w:ind w:left="34"/>
              <w:rPr>
                <w:rFonts w:ascii="Times New Roman" w:eastAsia="Times New Roman" w:hAnsi="Times New Roman"/>
                <w:b/>
              </w:rPr>
            </w:pPr>
            <w:r w:rsidRPr="00AA01A1">
              <w:rPr>
                <w:rFonts w:ascii="Times New Roman" w:eastAsia="Times New Roman" w:hAnsi="Times New Roman"/>
                <w:b/>
              </w:rPr>
              <w:t>Negatívne</w:t>
            </w:r>
          </w:p>
        </w:tc>
      </w:tr>
      <w:tr w:rsidR="00607234" w:rsidRPr="00AA01A1" w:rsidTr="009243A8">
        <w:tc>
          <w:tcPr>
            <w:tcW w:w="3812" w:type="dxa"/>
            <w:tcBorders>
              <w:top w:val="nil"/>
              <w:left w:val="single" w:sz="4" w:space="0" w:color="auto"/>
              <w:bottom w:val="nil"/>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 xml:space="preserve">    z toho rozpočtovo zabezpečené vplyvy,         </w:t>
            </w:r>
          </w:p>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 xml:space="preserve">    v prípade identifikovaného negatívneho </w:t>
            </w:r>
          </w:p>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 xml:space="preserve">    vplyvu</w:t>
            </w:r>
          </w:p>
        </w:tc>
        <w:sdt>
          <w:sdtPr>
            <w:rPr>
              <w:rFonts w:ascii="Times New Roman" w:eastAsia="Times New Roman" w:hAnsi="Times New Roman"/>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rPr>
                </w:pPr>
                <w:r w:rsidRPr="00AA01A1">
                  <w:rPr>
                    <w:rFonts w:ascii="Segoe UI Symbol" w:eastAsia="MS Gothic" w:hAnsi="Segoe UI Symbol" w:cs="Segoe UI Symbol"/>
                  </w:rPr>
                  <w:t>☐</w:t>
                </w:r>
              </w:p>
            </w:tc>
          </w:sdtContent>
        </w:sdt>
        <w:tc>
          <w:tcPr>
            <w:tcW w:w="1312" w:type="dxa"/>
            <w:gridSpan w:val="2"/>
            <w:tcBorders>
              <w:top w:val="dotted" w:sz="4" w:space="0" w:color="auto"/>
              <w:left w:val="nil"/>
              <w:bottom w:val="dotted" w:sz="4" w:space="0" w:color="auto"/>
              <w:right w:val="nil"/>
            </w:tcBorders>
            <w:vAlign w:val="center"/>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Áno</w:t>
            </w:r>
          </w:p>
        </w:tc>
        <w:sdt>
          <w:sdtPr>
            <w:rPr>
              <w:rFonts w:ascii="Times New Roman" w:eastAsia="Times New Roman" w:hAnsi="Times New Roman"/>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rPr>
                </w:pPr>
                <w:r w:rsidRPr="00AA01A1">
                  <w:rPr>
                    <w:rFonts w:ascii="Segoe UI Symbol" w:eastAsia="MS Gothic" w:hAnsi="Segoe UI Symbol" w:cs="Segoe UI Symbol"/>
                  </w:rPr>
                  <w:t>☐</w:t>
                </w:r>
              </w:p>
            </w:tc>
          </w:sdtContent>
        </w:sdt>
        <w:tc>
          <w:tcPr>
            <w:tcW w:w="1133" w:type="dxa"/>
            <w:tcBorders>
              <w:top w:val="dotted" w:sz="4" w:space="0" w:color="auto"/>
              <w:left w:val="nil"/>
              <w:bottom w:val="dotted" w:sz="4" w:space="0" w:color="auto"/>
              <w:right w:val="nil"/>
            </w:tcBorders>
            <w:vAlign w:val="center"/>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Nie</w:t>
            </w:r>
          </w:p>
        </w:tc>
        <w:sdt>
          <w:sdtPr>
            <w:rPr>
              <w:rFonts w:ascii="Times New Roman" w:eastAsia="Times New Roman" w:hAnsi="Times New Roman"/>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607234" w:rsidRPr="00AA01A1" w:rsidRDefault="00607234" w:rsidP="009243A8">
                <w:pPr>
                  <w:spacing w:after="0" w:line="240" w:lineRule="auto"/>
                  <w:ind w:left="-107" w:right="-108"/>
                  <w:jc w:val="center"/>
                  <w:rPr>
                    <w:rFonts w:ascii="Times New Roman" w:eastAsia="Times New Roman" w:hAnsi="Times New Roman"/>
                  </w:rPr>
                </w:pPr>
                <w:r w:rsidRPr="00AA01A1">
                  <w:rPr>
                    <w:rFonts w:ascii="Segoe UI Symbol" w:eastAsia="MS Gothic"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rsidR="00607234" w:rsidRPr="00AA01A1" w:rsidRDefault="00607234" w:rsidP="009243A8">
            <w:pPr>
              <w:spacing w:after="0" w:line="240" w:lineRule="auto"/>
              <w:ind w:left="34"/>
              <w:rPr>
                <w:rFonts w:ascii="Times New Roman" w:eastAsia="Times New Roman" w:hAnsi="Times New Roman"/>
              </w:rPr>
            </w:pPr>
            <w:r w:rsidRPr="00AA01A1">
              <w:rPr>
                <w:rFonts w:ascii="Times New Roman" w:eastAsia="Times New Roman" w:hAnsi="Times New Roman"/>
              </w:rPr>
              <w:t>Čiastočne</w:t>
            </w:r>
          </w:p>
        </w:tc>
      </w:tr>
      <w:tr w:rsidR="00607234" w:rsidRPr="00AA01A1" w:rsidTr="009243A8">
        <w:tc>
          <w:tcPr>
            <w:tcW w:w="3812" w:type="dxa"/>
            <w:tcBorders>
              <w:top w:val="nil"/>
              <w:left w:val="single" w:sz="4" w:space="0" w:color="auto"/>
              <w:bottom w:val="nil"/>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v tom vplyvy na rozpočty obcí a vyšších územných celkov</w:t>
            </w:r>
          </w:p>
        </w:tc>
        <w:sdt>
          <w:sdtPr>
            <w:rPr>
              <w:rFonts w:ascii="Times New Roman" w:eastAsia="Times New Roman" w:hAnsi="Times New Roman"/>
              <w:b/>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312" w:type="dxa"/>
            <w:gridSpan w:val="2"/>
            <w:tcBorders>
              <w:top w:val="dotted" w:sz="4" w:space="0" w:color="auto"/>
              <w:left w:val="nil"/>
              <w:bottom w:val="dotted" w:sz="4" w:space="0" w:color="auto"/>
              <w:right w:val="nil"/>
            </w:tcBorders>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Pozitívne</w:t>
            </w:r>
          </w:p>
        </w:tc>
        <w:sdt>
          <w:sdtPr>
            <w:rPr>
              <w:rFonts w:ascii="Times New Roman" w:eastAsia="Times New Roman" w:hAnsi="Times New Roman"/>
              <w:b/>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133" w:type="dxa"/>
            <w:tcBorders>
              <w:top w:val="dotted" w:sz="4" w:space="0" w:color="auto"/>
              <w:left w:val="nil"/>
              <w:bottom w:val="dotted" w:sz="4" w:space="0" w:color="auto"/>
              <w:right w:val="nil"/>
            </w:tcBorders>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Žiadne</w:t>
            </w:r>
          </w:p>
        </w:tc>
        <w:sdt>
          <w:sdtPr>
            <w:rPr>
              <w:rFonts w:ascii="Times New Roman" w:eastAsia="Times New Roman" w:hAnsi="Times New Roman"/>
              <w:b/>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607234" w:rsidRPr="00AA01A1" w:rsidRDefault="00607234" w:rsidP="009243A8">
                <w:pPr>
                  <w:spacing w:after="0" w:line="240" w:lineRule="auto"/>
                  <w:ind w:left="-107" w:right="-108"/>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297" w:type="dxa"/>
            <w:tcBorders>
              <w:top w:val="dotted" w:sz="4" w:space="0" w:color="auto"/>
              <w:left w:val="nil"/>
              <w:bottom w:val="dotted" w:sz="4" w:space="0" w:color="auto"/>
              <w:right w:val="single" w:sz="4" w:space="0" w:color="auto"/>
            </w:tcBorders>
          </w:tcPr>
          <w:p w:rsidR="00607234" w:rsidRPr="00AA01A1" w:rsidRDefault="00607234" w:rsidP="009243A8">
            <w:pPr>
              <w:spacing w:after="0" w:line="240" w:lineRule="auto"/>
              <w:ind w:left="34"/>
              <w:rPr>
                <w:rFonts w:ascii="Times New Roman" w:eastAsia="Times New Roman" w:hAnsi="Times New Roman"/>
                <w:b/>
              </w:rPr>
            </w:pPr>
            <w:r w:rsidRPr="00AA01A1">
              <w:rPr>
                <w:rFonts w:ascii="Times New Roman" w:eastAsia="Times New Roman" w:hAnsi="Times New Roman"/>
                <w:b/>
              </w:rPr>
              <w:t>Negatívne</w:t>
            </w:r>
          </w:p>
        </w:tc>
      </w:tr>
      <w:tr w:rsidR="00607234" w:rsidRPr="00AA01A1" w:rsidTr="009243A8">
        <w:tc>
          <w:tcPr>
            <w:tcW w:w="3812" w:type="dxa"/>
            <w:tcBorders>
              <w:top w:val="nil"/>
              <w:left w:val="single" w:sz="4" w:space="0" w:color="auto"/>
              <w:bottom w:val="single" w:sz="4" w:space="0" w:color="auto"/>
              <w:right w:val="single" w:sz="4" w:space="0" w:color="auto"/>
            </w:tcBorders>
            <w:shd w:val="clear" w:color="auto" w:fill="E2E2E2"/>
          </w:tcPr>
          <w:p w:rsidR="00607234" w:rsidRPr="00AA01A1" w:rsidRDefault="00607234" w:rsidP="009243A8">
            <w:pPr>
              <w:spacing w:after="0" w:line="240" w:lineRule="auto"/>
              <w:ind w:left="171"/>
              <w:rPr>
                <w:rFonts w:ascii="Times New Roman" w:eastAsia="Times New Roman" w:hAnsi="Times New Roman"/>
              </w:rPr>
            </w:pPr>
            <w:r w:rsidRPr="00AA01A1">
              <w:rPr>
                <w:rFonts w:ascii="Times New Roman" w:eastAsia="Times New Roman" w:hAnsi="Times New Roman"/>
              </w:rPr>
              <w:t>z toho rozpočtovo zabezpečené vplyvy,</w:t>
            </w:r>
          </w:p>
          <w:p w:rsidR="00607234" w:rsidRPr="00AA01A1" w:rsidRDefault="00607234" w:rsidP="009243A8">
            <w:pPr>
              <w:spacing w:after="0" w:line="240" w:lineRule="auto"/>
              <w:ind w:left="171"/>
              <w:rPr>
                <w:rFonts w:ascii="Times New Roman" w:eastAsia="Times New Roman" w:hAnsi="Times New Roman"/>
              </w:rPr>
            </w:pPr>
            <w:r w:rsidRPr="00AA01A1">
              <w:rPr>
                <w:rFonts w:ascii="Times New Roman" w:eastAsia="Times New Roman" w:hAnsi="Times New Roman"/>
              </w:rPr>
              <w:t>v prípade identifikovaného negatívneho vplyvu</w:t>
            </w:r>
          </w:p>
        </w:tc>
        <w:sdt>
          <w:sdtPr>
            <w:rPr>
              <w:rFonts w:ascii="Times New Roman" w:eastAsia="Times New Roman" w:hAnsi="Times New Roman"/>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rPr>
                </w:pPr>
                <w:r w:rsidRPr="00AA01A1">
                  <w:rPr>
                    <w:rFonts w:ascii="Segoe UI Symbol" w:eastAsia="MS Gothic" w:hAnsi="Segoe UI Symbol" w:cs="Segoe UI Symbol"/>
                  </w:rPr>
                  <w:t>☐</w:t>
                </w:r>
              </w:p>
            </w:tc>
          </w:sdtContent>
        </w:sdt>
        <w:tc>
          <w:tcPr>
            <w:tcW w:w="1312" w:type="dxa"/>
            <w:gridSpan w:val="2"/>
            <w:tcBorders>
              <w:top w:val="dotted" w:sz="4" w:space="0" w:color="auto"/>
              <w:left w:val="nil"/>
              <w:bottom w:val="single" w:sz="4" w:space="0" w:color="auto"/>
              <w:right w:val="nil"/>
            </w:tcBorders>
            <w:vAlign w:val="center"/>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Áno</w:t>
            </w:r>
          </w:p>
        </w:tc>
        <w:sdt>
          <w:sdtPr>
            <w:rPr>
              <w:rFonts w:ascii="Times New Roman" w:eastAsia="Times New Roman" w:hAnsi="Times New Roman"/>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rPr>
                </w:pPr>
                <w:r w:rsidRPr="00AA01A1">
                  <w:rPr>
                    <w:rFonts w:ascii="Segoe UI Symbol" w:eastAsia="MS Gothic" w:hAnsi="Segoe UI Symbol" w:cs="Segoe UI Symbol"/>
                  </w:rPr>
                  <w:t>☐</w:t>
                </w:r>
              </w:p>
            </w:tc>
          </w:sdtContent>
        </w:sdt>
        <w:tc>
          <w:tcPr>
            <w:tcW w:w="1133" w:type="dxa"/>
            <w:tcBorders>
              <w:top w:val="dotted" w:sz="4" w:space="0" w:color="auto"/>
              <w:left w:val="nil"/>
              <w:bottom w:val="single" w:sz="4" w:space="0" w:color="auto"/>
              <w:right w:val="nil"/>
            </w:tcBorders>
            <w:vAlign w:val="center"/>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Nie</w:t>
            </w:r>
          </w:p>
        </w:tc>
        <w:sdt>
          <w:sdtPr>
            <w:rPr>
              <w:rFonts w:ascii="Times New Roman" w:eastAsia="Times New Roman" w:hAnsi="Times New Roman"/>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607234" w:rsidRPr="00AA01A1" w:rsidRDefault="00607234" w:rsidP="009243A8">
                <w:pPr>
                  <w:spacing w:after="0" w:line="240" w:lineRule="auto"/>
                  <w:ind w:left="-107" w:right="-108"/>
                  <w:jc w:val="center"/>
                  <w:rPr>
                    <w:rFonts w:ascii="Times New Roman" w:eastAsia="Times New Roman" w:hAnsi="Times New Roman"/>
                  </w:rPr>
                </w:pPr>
                <w:r w:rsidRPr="00AA01A1">
                  <w:rPr>
                    <w:rFonts w:ascii="Segoe UI Symbol" w:eastAsia="MS Gothic" w:hAnsi="Segoe UI Symbol" w:cs="Segoe UI Symbol"/>
                  </w:rPr>
                  <w:t>☐</w:t>
                </w:r>
              </w:p>
            </w:tc>
          </w:sdtContent>
        </w:sdt>
        <w:tc>
          <w:tcPr>
            <w:tcW w:w="1297" w:type="dxa"/>
            <w:tcBorders>
              <w:top w:val="dotted" w:sz="4" w:space="0" w:color="auto"/>
              <w:left w:val="nil"/>
              <w:bottom w:val="single" w:sz="4" w:space="0" w:color="auto"/>
              <w:right w:val="single" w:sz="4" w:space="0" w:color="auto"/>
            </w:tcBorders>
            <w:vAlign w:val="center"/>
          </w:tcPr>
          <w:p w:rsidR="00607234" w:rsidRPr="00AA01A1" w:rsidRDefault="00607234" w:rsidP="009243A8">
            <w:pPr>
              <w:spacing w:after="0" w:line="240" w:lineRule="auto"/>
              <w:ind w:left="34"/>
              <w:rPr>
                <w:rFonts w:ascii="Times New Roman" w:eastAsia="Times New Roman" w:hAnsi="Times New Roman"/>
              </w:rPr>
            </w:pPr>
            <w:r w:rsidRPr="00AA01A1">
              <w:rPr>
                <w:rFonts w:ascii="Times New Roman" w:eastAsia="Times New Roman" w:hAnsi="Times New Roman"/>
              </w:rPr>
              <w:t>Čiastočne</w:t>
            </w:r>
          </w:p>
        </w:tc>
      </w:tr>
      <w:tr w:rsidR="00607234" w:rsidRPr="00AA01A1" w:rsidTr="009243A8">
        <w:tc>
          <w:tcPr>
            <w:tcW w:w="3812" w:type="dxa"/>
            <w:tcBorders>
              <w:top w:val="single" w:sz="4" w:space="0" w:color="auto"/>
              <w:left w:val="single" w:sz="4" w:space="0" w:color="auto"/>
              <w:bottom w:val="single" w:sz="4" w:space="0" w:color="auto"/>
              <w:right w:val="single" w:sz="4" w:space="0" w:color="auto"/>
            </w:tcBorders>
            <w:shd w:val="clear" w:color="auto" w:fill="E2E2E2"/>
          </w:tcPr>
          <w:p w:rsidR="00607234" w:rsidRPr="00AA01A1" w:rsidRDefault="00607234" w:rsidP="009243A8">
            <w:pPr>
              <w:spacing w:after="0" w:line="240" w:lineRule="auto"/>
              <w:ind w:left="171"/>
              <w:rPr>
                <w:rFonts w:ascii="Times New Roman" w:eastAsia="Times New Roman" w:hAnsi="Times New Roman"/>
              </w:rPr>
            </w:pPr>
            <w:r w:rsidRPr="00AA01A1">
              <w:rPr>
                <w:rFonts w:ascii="Times New Roman" w:eastAsia="Times New Roman" w:hAnsi="Times New Roman"/>
              </w:rPr>
              <w:t>Vplyv na dlhodobú udržateľnosť verejných financií v prípade vybraných opatrení ***</w:t>
            </w:r>
          </w:p>
        </w:tc>
        <w:sdt>
          <w:sdtPr>
            <w:rPr>
              <w:rFonts w:ascii="Times New Roman" w:eastAsia="Times New Roman" w:hAnsi="Times New Roman"/>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rPr>
                </w:pPr>
                <w:r w:rsidRPr="00AA01A1">
                  <w:rPr>
                    <w:rFonts w:ascii="Segoe UI Symbol" w:eastAsia="MS Gothic" w:hAnsi="Segoe UI Symbol" w:cs="Segoe UI Symbol"/>
                  </w:rPr>
                  <w:t>☐</w:t>
                </w:r>
              </w:p>
            </w:tc>
          </w:sdtContent>
        </w:sdt>
        <w:tc>
          <w:tcPr>
            <w:tcW w:w="1312" w:type="dxa"/>
            <w:gridSpan w:val="2"/>
            <w:tcBorders>
              <w:top w:val="single" w:sz="4" w:space="0" w:color="auto"/>
              <w:left w:val="nil"/>
              <w:bottom w:val="single" w:sz="4" w:space="0" w:color="auto"/>
              <w:right w:val="nil"/>
            </w:tcBorders>
            <w:vAlign w:val="center"/>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Áno</w:t>
            </w:r>
          </w:p>
        </w:tc>
        <w:tc>
          <w:tcPr>
            <w:tcW w:w="538" w:type="dxa"/>
            <w:gridSpan w:val="2"/>
            <w:tcBorders>
              <w:top w:val="single" w:sz="4" w:space="0" w:color="auto"/>
              <w:left w:val="nil"/>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rPr>
            </w:pPr>
          </w:p>
        </w:tc>
        <w:tc>
          <w:tcPr>
            <w:tcW w:w="1133" w:type="dxa"/>
            <w:tcBorders>
              <w:top w:val="single" w:sz="4" w:space="0" w:color="auto"/>
              <w:left w:val="nil"/>
              <w:bottom w:val="single" w:sz="4" w:space="0" w:color="auto"/>
              <w:right w:val="nil"/>
            </w:tcBorders>
            <w:vAlign w:val="center"/>
          </w:tcPr>
          <w:p w:rsidR="00607234" w:rsidRPr="00AA01A1" w:rsidRDefault="00607234" w:rsidP="009243A8">
            <w:pPr>
              <w:spacing w:after="0" w:line="240" w:lineRule="auto"/>
              <w:rPr>
                <w:rFonts w:ascii="Times New Roman" w:eastAsia="Times New Roman" w:hAnsi="Times New Roman"/>
              </w:rPr>
            </w:pPr>
          </w:p>
        </w:tc>
        <w:sdt>
          <w:sdtPr>
            <w:rPr>
              <w:rFonts w:ascii="Times New Roman" w:eastAsia="Times New Roman" w:hAnsi="Times New Roman"/>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607234" w:rsidRPr="00AA01A1" w:rsidRDefault="00607234" w:rsidP="009243A8">
                <w:pPr>
                  <w:spacing w:after="0" w:line="240" w:lineRule="auto"/>
                  <w:ind w:left="-107" w:right="-108"/>
                  <w:jc w:val="center"/>
                  <w:rPr>
                    <w:rFonts w:ascii="Times New Roman" w:eastAsia="Times New Roman" w:hAnsi="Times New Roman"/>
                  </w:rPr>
                </w:pPr>
                <w:r w:rsidRPr="00AA01A1">
                  <w:rPr>
                    <w:rFonts w:ascii="Segoe UI Symbol" w:eastAsia="MS Gothic" w:hAnsi="Segoe UI Symbol" w:cs="Segoe UI Symbol"/>
                  </w:rPr>
                  <w:t>☐</w:t>
                </w:r>
              </w:p>
            </w:tc>
          </w:sdtContent>
        </w:sdt>
        <w:tc>
          <w:tcPr>
            <w:tcW w:w="1297" w:type="dxa"/>
            <w:tcBorders>
              <w:top w:val="single" w:sz="4" w:space="0" w:color="auto"/>
              <w:left w:val="nil"/>
              <w:bottom w:val="single" w:sz="4" w:space="0" w:color="auto"/>
              <w:right w:val="single" w:sz="4" w:space="0" w:color="auto"/>
            </w:tcBorders>
            <w:vAlign w:val="center"/>
          </w:tcPr>
          <w:p w:rsidR="00607234" w:rsidRPr="00AA01A1" w:rsidRDefault="00607234" w:rsidP="009243A8">
            <w:pPr>
              <w:spacing w:after="0" w:line="240" w:lineRule="auto"/>
              <w:ind w:left="34"/>
              <w:rPr>
                <w:rFonts w:ascii="Times New Roman" w:eastAsia="Times New Roman" w:hAnsi="Times New Roman"/>
              </w:rPr>
            </w:pPr>
            <w:r w:rsidRPr="00AA01A1">
              <w:rPr>
                <w:rFonts w:ascii="Times New Roman" w:eastAsia="Times New Roman" w:hAnsi="Times New Roman"/>
              </w:rPr>
              <w:t>Nie</w:t>
            </w:r>
          </w:p>
        </w:tc>
      </w:tr>
      <w:tr w:rsidR="00607234" w:rsidRPr="00AA01A1" w:rsidTr="009243A8">
        <w:tc>
          <w:tcPr>
            <w:tcW w:w="3812" w:type="dxa"/>
            <w:tcBorders>
              <w:top w:val="single" w:sz="4" w:space="0" w:color="auto"/>
              <w:left w:val="single" w:sz="4" w:space="0" w:color="auto"/>
              <w:bottom w:val="single" w:sz="4" w:space="0" w:color="auto"/>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Vplyvy na limit verejných výdavkov</w:t>
            </w:r>
          </w:p>
        </w:tc>
        <w:sdt>
          <w:sdtPr>
            <w:rPr>
              <w:rFonts w:ascii="Times New Roman" w:eastAsia="Times New Roman" w:hAnsi="Times New Roman"/>
              <w:b/>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607234" w:rsidRPr="00AA01A1" w:rsidRDefault="00E45A97" w:rsidP="009243A8">
                <w:pPr>
                  <w:spacing w:after="0" w:line="240" w:lineRule="auto"/>
                  <w:jc w:val="center"/>
                  <w:rPr>
                    <w:rFonts w:ascii="Times New Roman" w:eastAsia="Times New Roman" w:hAnsi="Times New Roman"/>
                  </w:rPr>
                </w:pPr>
                <w:r>
                  <w:rPr>
                    <w:rFonts w:ascii="MS Gothic" w:eastAsia="MS Gothic" w:hAnsi="MS Gothic" w:hint="eastAsia"/>
                    <w:b/>
                  </w:rPr>
                  <w:t>☐</w:t>
                </w:r>
              </w:p>
            </w:tc>
          </w:sdtContent>
        </w:sdt>
        <w:tc>
          <w:tcPr>
            <w:tcW w:w="1312" w:type="dxa"/>
            <w:gridSpan w:val="2"/>
            <w:tcBorders>
              <w:top w:val="single" w:sz="4" w:space="0" w:color="auto"/>
              <w:left w:val="nil"/>
              <w:bottom w:val="single" w:sz="4" w:space="0" w:color="auto"/>
              <w:right w:val="nil"/>
            </w:tcBorders>
            <w:vAlign w:val="center"/>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b/>
              </w:rPr>
              <w:t>Pozitívne</w:t>
            </w:r>
          </w:p>
        </w:tc>
        <w:sdt>
          <w:sdtPr>
            <w:rPr>
              <w:rFonts w:ascii="Times New Roman" w:eastAsia="Times New Roman" w:hAnsi="Times New Roman"/>
              <w:b/>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607234" w:rsidRPr="00AA01A1" w:rsidRDefault="00E45A97" w:rsidP="009243A8">
                <w:pPr>
                  <w:spacing w:after="0" w:line="240" w:lineRule="auto"/>
                  <w:jc w:val="center"/>
                  <w:rPr>
                    <w:rFonts w:ascii="Times New Roman" w:eastAsia="Times New Roman" w:hAnsi="Times New Roman"/>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vAlign w:val="center"/>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b/>
              </w:rPr>
              <w:t>Žiadne</w:t>
            </w:r>
          </w:p>
        </w:tc>
        <w:sdt>
          <w:sdtPr>
            <w:rPr>
              <w:rFonts w:ascii="Times New Roman" w:eastAsia="Times New Roman" w:hAnsi="Times New Roman"/>
              <w:b/>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607234" w:rsidRPr="00AA01A1" w:rsidRDefault="00607234" w:rsidP="009243A8">
                <w:pPr>
                  <w:spacing w:after="0" w:line="240" w:lineRule="auto"/>
                  <w:ind w:left="-107" w:right="-108"/>
                  <w:jc w:val="center"/>
                  <w:rPr>
                    <w:rFonts w:ascii="Times New Roman" w:eastAsia="Times New Roman" w:hAnsi="Times New Roman"/>
                  </w:rPr>
                </w:pPr>
                <w:r w:rsidRPr="00AA01A1">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vAlign w:val="center"/>
          </w:tcPr>
          <w:p w:rsidR="00607234" w:rsidRPr="00AA01A1" w:rsidRDefault="00607234" w:rsidP="009243A8">
            <w:pPr>
              <w:spacing w:after="0" w:line="240" w:lineRule="auto"/>
              <w:ind w:left="34"/>
              <w:rPr>
                <w:rFonts w:ascii="Times New Roman" w:eastAsia="Times New Roman" w:hAnsi="Times New Roman"/>
              </w:rPr>
            </w:pPr>
            <w:r w:rsidRPr="00AA01A1">
              <w:rPr>
                <w:rFonts w:ascii="Times New Roman" w:eastAsia="Times New Roman" w:hAnsi="Times New Roman"/>
                <w:b/>
              </w:rPr>
              <w:t>Negatívne</w:t>
            </w:r>
          </w:p>
        </w:tc>
      </w:tr>
      <w:tr w:rsidR="00607234" w:rsidRPr="00AA01A1" w:rsidTr="009243A8">
        <w:tc>
          <w:tcPr>
            <w:tcW w:w="3812" w:type="dxa"/>
            <w:tcBorders>
              <w:top w:val="single" w:sz="4" w:space="0" w:color="auto"/>
              <w:left w:val="single" w:sz="4" w:space="0" w:color="auto"/>
              <w:bottom w:val="nil"/>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Vplyvy na podnikateľské prostredie</w:t>
            </w:r>
          </w:p>
        </w:tc>
        <w:sdt>
          <w:sdtPr>
            <w:rPr>
              <w:rFonts w:ascii="Times New Roman" w:eastAsia="Times New Roman" w:hAnsi="Times New Roman"/>
              <w:b/>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607234" w:rsidRPr="00AA01A1" w:rsidRDefault="00E45A97" w:rsidP="009243A8">
                <w:pPr>
                  <w:spacing w:after="0" w:line="240" w:lineRule="auto"/>
                  <w:jc w:val="center"/>
                  <w:rPr>
                    <w:rFonts w:ascii="Times New Roman" w:eastAsia="Times New Roman" w:hAnsi="Times New Roman"/>
                    <w:b/>
                  </w:rPr>
                </w:pPr>
                <w:r>
                  <w:rPr>
                    <w:rFonts w:ascii="MS Gothic" w:eastAsia="MS Gothic" w:hAnsi="MS Gothic" w:hint="eastAsia"/>
                    <w:b/>
                  </w:rPr>
                  <w:t>☐</w:t>
                </w:r>
              </w:p>
            </w:tc>
          </w:sdtContent>
        </w:sdt>
        <w:tc>
          <w:tcPr>
            <w:tcW w:w="1312" w:type="dxa"/>
            <w:gridSpan w:val="2"/>
            <w:tcBorders>
              <w:top w:val="single" w:sz="4" w:space="0" w:color="auto"/>
              <w:left w:val="nil"/>
              <w:bottom w:val="dotted" w:sz="4" w:space="0" w:color="auto"/>
              <w:right w:val="nil"/>
            </w:tcBorders>
            <w:vAlign w:val="center"/>
          </w:tcPr>
          <w:p w:rsidR="00607234" w:rsidRPr="00AA01A1" w:rsidRDefault="00607234" w:rsidP="009243A8">
            <w:pPr>
              <w:spacing w:after="0" w:line="240" w:lineRule="auto"/>
              <w:ind w:right="-108"/>
              <w:rPr>
                <w:rFonts w:ascii="Times New Roman" w:eastAsia="Times New Roman" w:hAnsi="Times New Roman"/>
                <w:b/>
              </w:rPr>
            </w:pPr>
            <w:r w:rsidRPr="00AA01A1">
              <w:rPr>
                <w:rFonts w:ascii="Times New Roman" w:eastAsia="Times New Roman" w:hAnsi="Times New Roman"/>
                <w:b/>
              </w:rPr>
              <w:t>Pozitívne</w:t>
            </w:r>
          </w:p>
        </w:tc>
        <w:sdt>
          <w:sdtPr>
            <w:rPr>
              <w:rFonts w:ascii="Times New Roman" w:eastAsia="Times New Roman" w:hAnsi="Times New Roman"/>
              <w:b/>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607234" w:rsidRPr="00AA01A1" w:rsidRDefault="00E45A97" w:rsidP="009243A8">
                <w:pPr>
                  <w:spacing w:after="0" w:line="240" w:lineRule="auto"/>
                  <w:jc w:val="center"/>
                  <w:rPr>
                    <w:rFonts w:ascii="Times New Roman" w:eastAsia="Times New Roman" w:hAnsi="Times New Roman"/>
                    <w:b/>
                  </w:rPr>
                </w:pPr>
                <w:r>
                  <w:rPr>
                    <w:rFonts w:ascii="MS Gothic" w:eastAsia="MS Gothic" w:hAnsi="MS Gothic" w:hint="eastAsia"/>
                    <w:b/>
                  </w:rPr>
                  <w:t>☒</w:t>
                </w:r>
              </w:p>
            </w:tc>
          </w:sdtContent>
        </w:sdt>
        <w:tc>
          <w:tcPr>
            <w:tcW w:w="1133" w:type="dxa"/>
            <w:tcBorders>
              <w:top w:val="single" w:sz="4" w:space="0" w:color="auto"/>
              <w:left w:val="nil"/>
              <w:bottom w:val="dotted" w:sz="4" w:space="0" w:color="auto"/>
              <w:right w:val="nil"/>
            </w:tcBorders>
            <w:vAlign w:val="center"/>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Žiadne</w:t>
            </w:r>
          </w:p>
        </w:tc>
        <w:sdt>
          <w:sdtPr>
            <w:rPr>
              <w:rFonts w:ascii="Times New Roman" w:eastAsia="Times New Roman" w:hAnsi="Times New Roman"/>
              <w:b/>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297" w:type="dxa"/>
            <w:tcBorders>
              <w:top w:val="single" w:sz="4" w:space="0" w:color="auto"/>
              <w:left w:val="nil"/>
              <w:bottom w:val="dotted" w:sz="4" w:space="0" w:color="auto"/>
              <w:right w:val="single" w:sz="4" w:space="0" w:color="auto"/>
            </w:tcBorders>
            <w:vAlign w:val="center"/>
          </w:tcPr>
          <w:p w:rsidR="00607234" w:rsidRPr="00AA01A1" w:rsidRDefault="00607234" w:rsidP="009243A8">
            <w:pPr>
              <w:spacing w:after="0" w:line="240" w:lineRule="auto"/>
              <w:ind w:left="54"/>
              <w:rPr>
                <w:rFonts w:ascii="Times New Roman" w:eastAsia="Times New Roman" w:hAnsi="Times New Roman"/>
                <w:b/>
              </w:rPr>
            </w:pPr>
            <w:r w:rsidRPr="00AA01A1">
              <w:rPr>
                <w:rFonts w:ascii="Times New Roman" w:eastAsia="Times New Roman" w:hAnsi="Times New Roman"/>
                <w:b/>
              </w:rPr>
              <w:t>Negatívne</w:t>
            </w:r>
          </w:p>
        </w:tc>
      </w:tr>
      <w:tr w:rsidR="00607234" w:rsidRPr="00AA01A1" w:rsidTr="009243A8">
        <w:tc>
          <w:tcPr>
            <w:tcW w:w="3812" w:type="dxa"/>
            <w:tcBorders>
              <w:top w:val="nil"/>
              <w:left w:val="single" w:sz="4" w:space="0" w:color="000000"/>
              <w:bottom w:val="nil"/>
              <w:right w:val="single" w:sz="4" w:space="0" w:color="000000"/>
            </w:tcBorders>
            <w:shd w:val="clear" w:color="auto" w:fill="E2E2E2"/>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 xml:space="preserve">    z toho vplyvy na MSP</w:t>
            </w:r>
          </w:p>
          <w:p w:rsidR="00607234" w:rsidRPr="00AA01A1" w:rsidRDefault="00607234" w:rsidP="009243A8">
            <w:pPr>
              <w:spacing w:after="0" w:line="240" w:lineRule="auto"/>
              <w:rPr>
                <w:rFonts w:ascii="Times New Roman" w:eastAsia="Times New Roman" w:hAnsi="Times New Roman"/>
              </w:rPr>
            </w:pPr>
          </w:p>
        </w:tc>
        <w:sdt>
          <w:sdtPr>
            <w:rPr>
              <w:rFonts w:ascii="Times New Roman" w:eastAsia="Times New Roman" w:hAnsi="Times New Roman"/>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607234" w:rsidRPr="00AA01A1" w:rsidRDefault="00E45A97" w:rsidP="009243A8">
                <w:pPr>
                  <w:spacing w:after="0" w:line="240" w:lineRule="auto"/>
                  <w:jc w:val="center"/>
                  <w:rPr>
                    <w:rFonts w:ascii="Times New Roman" w:eastAsia="Times New Roman" w:hAnsi="Times New Roman"/>
                  </w:rPr>
                </w:pPr>
                <w:r>
                  <w:rPr>
                    <w:rFonts w:ascii="MS Gothic" w:eastAsia="MS Gothic" w:hAnsi="MS Gothic" w:hint="eastAsia"/>
                  </w:rPr>
                  <w:t>☐</w:t>
                </w:r>
              </w:p>
            </w:tc>
          </w:sdtContent>
        </w:sdt>
        <w:tc>
          <w:tcPr>
            <w:tcW w:w="1312" w:type="dxa"/>
            <w:gridSpan w:val="2"/>
            <w:tcBorders>
              <w:top w:val="dotted" w:sz="4" w:space="0" w:color="auto"/>
              <w:left w:val="nil"/>
              <w:bottom w:val="dotted" w:sz="4" w:space="0" w:color="auto"/>
              <w:right w:val="nil"/>
            </w:tcBorders>
            <w:vAlign w:val="center"/>
          </w:tcPr>
          <w:p w:rsidR="00607234" w:rsidRPr="00AA01A1" w:rsidRDefault="00607234" w:rsidP="009243A8">
            <w:pPr>
              <w:spacing w:after="0" w:line="240" w:lineRule="auto"/>
              <w:ind w:right="-108"/>
              <w:rPr>
                <w:rFonts w:ascii="Times New Roman" w:eastAsia="Times New Roman" w:hAnsi="Times New Roman"/>
              </w:rPr>
            </w:pPr>
            <w:r w:rsidRPr="00AA01A1">
              <w:rPr>
                <w:rFonts w:ascii="Times New Roman" w:eastAsia="Times New Roman" w:hAnsi="Times New Roman"/>
              </w:rPr>
              <w:t>Pozitívne</w:t>
            </w:r>
          </w:p>
        </w:tc>
        <w:sdt>
          <w:sdtPr>
            <w:rPr>
              <w:rFonts w:ascii="Times New Roman" w:eastAsia="Times New Roman" w:hAnsi="Times New Roman"/>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rPr>
                </w:pPr>
                <w:r w:rsidRPr="00AA01A1">
                  <w:rPr>
                    <w:rFonts w:ascii="Segoe UI Symbol" w:eastAsia="MS Gothic" w:hAnsi="Segoe UI Symbol" w:cs="Segoe UI Symbol"/>
                  </w:rPr>
                  <w:t>☐</w:t>
                </w:r>
              </w:p>
            </w:tc>
          </w:sdtContent>
        </w:sdt>
        <w:tc>
          <w:tcPr>
            <w:tcW w:w="1133" w:type="dxa"/>
            <w:tcBorders>
              <w:top w:val="dotted" w:sz="4" w:space="0" w:color="auto"/>
              <w:left w:val="nil"/>
              <w:bottom w:val="dotted" w:sz="4" w:space="0" w:color="auto"/>
              <w:right w:val="nil"/>
            </w:tcBorders>
            <w:vAlign w:val="center"/>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Žiadne</w:t>
            </w:r>
          </w:p>
        </w:tc>
        <w:sdt>
          <w:sdtPr>
            <w:rPr>
              <w:rFonts w:ascii="Times New Roman" w:eastAsia="Times New Roman" w:hAnsi="Times New Roman"/>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rPr>
                </w:pPr>
                <w:r w:rsidRPr="00AA01A1">
                  <w:rPr>
                    <w:rFonts w:ascii="Segoe UI Symbol" w:eastAsia="MS Gothic"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rsidR="00607234" w:rsidRPr="00AA01A1" w:rsidRDefault="00607234" w:rsidP="009243A8">
            <w:pPr>
              <w:spacing w:after="0" w:line="240" w:lineRule="auto"/>
              <w:ind w:left="54"/>
              <w:rPr>
                <w:rFonts w:ascii="Times New Roman" w:eastAsia="Times New Roman" w:hAnsi="Times New Roman"/>
              </w:rPr>
            </w:pPr>
            <w:r w:rsidRPr="00AA01A1">
              <w:rPr>
                <w:rFonts w:ascii="Times New Roman" w:eastAsia="Times New Roman" w:hAnsi="Times New Roman"/>
              </w:rPr>
              <w:t>Negatívne</w:t>
            </w:r>
          </w:p>
        </w:tc>
      </w:tr>
      <w:tr w:rsidR="00607234" w:rsidRPr="00AA01A1" w:rsidTr="009243A8">
        <w:tc>
          <w:tcPr>
            <w:tcW w:w="3812" w:type="dxa"/>
            <w:tcBorders>
              <w:top w:val="nil"/>
              <w:left w:val="single" w:sz="4" w:space="0" w:color="auto"/>
              <w:bottom w:val="single" w:sz="4" w:space="0" w:color="auto"/>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rPr>
            </w:pPr>
            <w:r w:rsidRPr="00AA01A1">
              <w:rPr>
                <w:rFonts w:ascii="Times New Roman" w:eastAsia="Times New Roman" w:hAnsi="Times New Roman"/>
              </w:rPr>
              <w:t xml:space="preserve">    Mechanizmus znižovania byrokracie    </w:t>
            </w:r>
          </w:p>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rPr>
              <w:t xml:space="preserve">    a nákladov sa uplatňuje:</w:t>
            </w:r>
          </w:p>
        </w:tc>
        <w:sdt>
          <w:sdtPr>
            <w:rPr>
              <w:rFonts w:ascii="Times New Roman" w:eastAsia="Times New Roman" w:hAnsi="Times New Roman"/>
              <w:b/>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596" w:type="dxa"/>
            <w:gridSpan w:val="3"/>
            <w:tcBorders>
              <w:top w:val="dotted" w:sz="4" w:space="0" w:color="auto"/>
              <w:left w:val="nil"/>
              <w:bottom w:val="single" w:sz="4" w:space="0" w:color="auto"/>
              <w:right w:val="nil"/>
            </w:tcBorders>
            <w:vAlign w:val="center"/>
          </w:tcPr>
          <w:p w:rsidR="00607234" w:rsidRPr="00AA01A1" w:rsidRDefault="00607234" w:rsidP="009243A8">
            <w:pPr>
              <w:spacing w:after="0" w:line="240" w:lineRule="auto"/>
              <w:ind w:right="-108"/>
              <w:rPr>
                <w:rFonts w:ascii="Times New Roman" w:eastAsia="Times New Roman" w:hAnsi="Times New Roman"/>
                <w:b/>
              </w:rPr>
            </w:pPr>
            <w:r w:rsidRPr="00AA01A1">
              <w:rPr>
                <w:rFonts w:ascii="Times New Roman" w:eastAsia="Times New Roman" w:hAnsi="Times New Roman"/>
              </w:rPr>
              <w:t>Áno</w:t>
            </w:r>
          </w:p>
        </w:tc>
        <w:tc>
          <w:tcPr>
            <w:tcW w:w="254" w:type="dxa"/>
            <w:tcBorders>
              <w:top w:val="dotted" w:sz="4" w:space="0" w:color="auto"/>
              <w:left w:val="nil"/>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p>
        </w:tc>
        <w:tc>
          <w:tcPr>
            <w:tcW w:w="1133" w:type="dxa"/>
            <w:tcBorders>
              <w:top w:val="dotted" w:sz="4" w:space="0" w:color="auto"/>
              <w:left w:val="nil"/>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p>
        </w:tc>
        <w:sdt>
          <w:sdtPr>
            <w:rPr>
              <w:rFonts w:ascii="Times New Roman" w:eastAsia="Times New Roman" w:hAnsi="Times New Roman"/>
              <w:b/>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297" w:type="dxa"/>
            <w:tcBorders>
              <w:top w:val="dotted" w:sz="4" w:space="0" w:color="auto"/>
              <w:left w:val="nil"/>
              <w:bottom w:val="single" w:sz="4" w:space="0" w:color="auto"/>
              <w:right w:val="single" w:sz="4" w:space="0" w:color="auto"/>
            </w:tcBorders>
            <w:vAlign w:val="center"/>
          </w:tcPr>
          <w:p w:rsidR="00607234" w:rsidRPr="00AA01A1" w:rsidRDefault="00607234" w:rsidP="009243A8">
            <w:pPr>
              <w:spacing w:after="0" w:line="240" w:lineRule="auto"/>
              <w:ind w:left="54"/>
              <w:rPr>
                <w:rFonts w:ascii="Times New Roman" w:eastAsia="Times New Roman" w:hAnsi="Times New Roman"/>
                <w:b/>
              </w:rPr>
            </w:pPr>
            <w:r w:rsidRPr="00AA01A1">
              <w:rPr>
                <w:rFonts w:ascii="Times New Roman" w:eastAsia="Times New Roman" w:hAnsi="Times New Roman"/>
              </w:rPr>
              <w:t>Nie</w:t>
            </w:r>
          </w:p>
        </w:tc>
      </w:tr>
      <w:tr w:rsidR="00607234" w:rsidRPr="00AA01A1" w:rsidTr="009243A8">
        <w:tc>
          <w:tcPr>
            <w:tcW w:w="3812" w:type="dxa"/>
            <w:tcBorders>
              <w:top w:val="single" w:sz="4" w:space="0" w:color="000000"/>
              <w:left w:val="single" w:sz="4" w:space="0" w:color="auto"/>
              <w:bottom w:val="single" w:sz="4" w:space="0" w:color="auto"/>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Sociálne vplyvy</w:t>
            </w:r>
          </w:p>
        </w:tc>
        <w:sdt>
          <w:sdtPr>
            <w:rPr>
              <w:rFonts w:ascii="Times New Roman" w:eastAsia="Times New Roman" w:hAnsi="Times New Roman"/>
              <w:b/>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312" w:type="dxa"/>
            <w:gridSpan w:val="2"/>
            <w:tcBorders>
              <w:top w:val="single" w:sz="4" w:space="0" w:color="auto"/>
              <w:left w:val="nil"/>
              <w:bottom w:val="single" w:sz="4" w:space="0" w:color="auto"/>
              <w:right w:val="nil"/>
            </w:tcBorders>
          </w:tcPr>
          <w:p w:rsidR="00607234" w:rsidRPr="00AA01A1" w:rsidRDefault="00607234" w:rsidP="009243A8">
            <w:pPr>
              <w:spacing w:after="0" w:line="240" w:lineRule="auto"/>
              <w:ind w:right="-108"/>
              <w:rPr>
                <w:rFonts w:ascii="Times New Roman" w:eastAsia="Times New Roman" w:hAnsi="Times New Roman"/>
                <w:b/>
              </w:rPr>
            </w:pPr>
            <w:r w:rsidRPr="00AA01A1">
              <w:rPr>
                <w:rFonts w:ascii="Times New Roman" w:eastAsia="Times New Roman" w:hAnsi="Times New Roman"/>
                <w:b/>
              </w:rPr>
              <w:t>Pozitívne</w:t>
            </w:r>
          </w:p>
        </w:tc>
        <w:sdt>
          <w:sdtPr>
            <w:rPr>
              <w:rFonts w:ascii="Times New Roman" w:eastAsia="Times New Roman" w:hAnsi="Times New Roman"/>
              <w:b/>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Žiadne</w:t>
            </w:r>
          </w:p>
        </w:tc>
        <w:sdt>
          <w:sdtPr>
            <w:rPr>
              <w:rFonts w:ascii="Times New Roman" w:eastAsia="Times New Roman" w:hAnsi="Times New Roman"/>
              <w:b/>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607234" w:rsidRPr="00AA01A1" w:rsidRDefault="00607234" w:rsidP="009243A8">
            <w:pPr>
              <w:spacing w:after="0" w:line="240" w:lineRule="auto"/>
              <w:ind w:left="54"/>
              <w:rPr>
                <w:rFonts w:ascii="Times New Roman" w:eastAsia="Times New Roman" w:hAnsi="Times New Roman"/>
                <w:b/>
              </w:rPr>
            </w:pPr>
            <w:r w:rsidRPr="00AA01A1">
              <w:rPr>
                <w:rFonts w:ascii="Times New Roman" w:eastAsia="Times New Roman" w:hAnsi="Times New Roman"/>
                <w:b/>
              </w:rPr>
              <w:t>Negatívne</w:t>
            </w:r>
          </w:p>
        </w:tc>
      </w:tr>
      <w:tr w:rsidR="00607234" w:rsidRPr="00AA01A1" w:rsidTr="009243A8">
        <w:tc>
          <w:tcPr>
            <w:tcW w:w="3812" w:type="dxa"/>
            <w:tcBorders>
              <w:top w:val="single" w:sz="4" w:space="0" w:color="auto"/>
              <w:left w:val="single" w:sz="4" w:space="0" w:color="auto"/>
              <w:bottom w:val="nil"/>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Vplyvy na životné prostredie</w:t>
            </w:r>
          </w:p>
        </w:tc>
        <w:sdt>
          <w:sdtPr>
            <w:rPr>
              <w:rFonts w:ascii="Times New Roman" w:eastAsia="Times New Roman" w:hAnsi="Times New Roman"/>
              <w:b/>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312" w:type="dxa"/>
            <w:gridSpan w:val="2"/>
            <w:tcBorders>
              <w:top w:val="single" w:sz="4" w:space="0" w:color="auto"/>
              <w:left w:val="nil"/>
              <w:bottom w:val="single" w:sz="4" w:space="0" w:color="auto"/>
              <w:right w:val="nil"/>
            </w:tcBorders>
          </w:tcPr>
          <w:p w:rsidR="00607234" w:rsidRPr="00AA01A1" w:rsidRDefault="00607234" w:rsidP="009243A8">
            <w:pPr>
              <w:spacing w:after="0" w:line="240" w:lineRule="auto"/>
              <w:ind w:right="-108"/>
              <w:rPr>
                <w:rFonts w:ascii="Times New Roman" w:eastAsia="Times New Roman" w:hAnsi="Times New Roman"/>
                <w:b/>
              </w:rPr>
            </w:pPr>
            <w:r w:rsidRPr="00AA01A1">
              <w:rPr>
                <w:rFonts w:ascii="Times New Roman" w:eastAsia="Times New Roman" w:hAnsi="Times New Roman"/>
                <w:b/>
              </w:rPr>
              <w:t>Pozitívne</w:t>
            </w:r>
          </w:p>
        </w:tc>
        <w:sdt>
          <w:sdtPr>
            <w:rPr>
              <w:rFonts w:ascii="Times New Roman" w:eastAsia="Times New Roman" w:hAnsi="Times New Roman"/>
              <w:b/>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Žiadne</w:t>
            </w:r>
          </w:p>
        </w:tc>
        <w:sdt>
          <w:sdtPr>
            <w:rPr>
              <w:rFonts w:ascii="Times New Roman" w:eastAsia="Times New Roman" w:hAnsi="Times New Roman"/>
              <w:b/>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607234" w:rsidRPr="00AA01A1" w:rsidRDefault="00607234" w:rsidP="009243A8">
            <w:pPr>
              <w:spacing w:after="0" w:line="240" w:lineRule="auto"/>
              <w:ind w:left="54"/>
              <w:rPr>
                <w:rFonts w:ascii="Times New Roman" w:eastAsia="Times New Roman" w:hAnsi="Times New Roman"/>
                <w:b/>
              </w:rPr>
            </w:pPr>
            <w:r w:rsidRPr="00AA01A1">
              <w:rPr>
                <w:rFonts w:ascii="Times New Roman" w:eastAsia="Times New Roman" w:hAnsi="Times New Roman"/>
                <w:b/>
              </w:rPr>
              <w:t>Negatívne</w:t>
            </w:r>
          </w:p>
        </w:tc>
      </w:tr>
      <w:tr w:rsidR="00607234" w:rsidRPr="00AA01A1" w:rsidTr="009243A8">
        <w:tc>
          <w:tcPr>
            <w:tcW w:w="3812" w:type="dxa"/>
            <w:tcBorders>
              <w:top w:val="nil"/>
              <w:left w:val="single" w:sz="4" w:space="0" w:color="auto"/>
              <w:bottom w:val="single" w:sz="4" w:space="0" w:color="auto"/>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rPr>
            </w:pPr>
          </w:p>
          <w:p w:rsidR="00607234" w:rsidRPr="00AA01A1" w:rsidRDefault="00607234" w:rsidP="009243A8">
            <w:pPr>
              <w:spacing w:after="0" w:line="240" w:lineRule="auto"/>
              <w:ind w:left="164"/>
              <w:rPr>
                <w:rFonts w:ascii="Times New Roman" w:eastAsia="Times New Roman" w:hAnsi="Times New Roman"/>
                <w:b/>
              </w:rPr>
            </w:pPr>
            <w:r w:rsidRPr="00AA01A1">
              <w:rPr>
                <w:rFonts w:ascii="Times New Roman" w:eastAsia="Times New Roman" w:hAnsi="Times New Roman"/>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b/>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312" w:type="dxa"/>
            <w:gridSpan w:val="2"/>
            <w:tcBorders>
              <w:top w:val="single" w:sz="4" w:space="0" w:color="auto"/>
              <w:left w:val="nil"/>
              <w:bottom w:val="single" w:sz="4" w:space="0" w:color="auto"/>
              <w:right w:val="nil"/>
            </w:tcBorders>
            <w:vAlign w:val="center"/>
          </w:tcPr>
          <w:p w:rsidR="00607234" w:rsidRPr="00AA01A1" w:rsidRDefault="00607234" w:rsidP="009243A8">
            <w:pPr>
              <w:spacing w:after="0" w:line="240" w:lineRule="auto"/>
              <w:ind w:right="-108"/>
              <w:rPr>
                <w:rFonts w:ascii="Times New Roman" w:eastAsia="Times New Roman" w:hAnsi="Times New Roman"/>
                <w:b/>
              </w:rPr>
            </w:pPr>
            <w:r w:rsidRPr="00AA01A1">
              <w:rPr>
                <w:rFonts w:ascii="Times New Roman" w:eastAsia="Times New Roman" w:hAnsi="Times New Roman"/>
              </w:rPr>
              <w:t>Áno</w:t>
            </w:r>
          </w:p>
        </w:tc>
        <w:tc>
          <w:tcPr>
            <w:tcW w:w="538" w:type="dxa"/>
            <w:gridSpan w:val="2"/>
            <w:tcBorders>
              <w:top w:val="single" w:sz="4" w:space="0" w:color="auto"/>
              <w:left w:val="nil"/>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p>
        </w:tc>
        <w:tc>
          <w:tcPr>
            <w:tcW w:w="1133" w:type="dxa"/>
            <w:tcBorders>
              <w:top w:val="single" w:sz="4" w:space="0" w:color="auto"/>
              <w:left w:val="nil"/>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p>
        </w:tc>
        <w:sdt>
          <w:sdtPr>
            <w:rPr>
              <w:rFonts w:ascii="Times New Roman" w:eastAsia="Times New Roman" w:hAnsi="Times New Roman"/>
              <w:b/>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vAlign w:val="center"/>
          </w:tcPr>
          <w:p w:rsidR="00607234" w:rsidRPr="00AA01A1" w:rsidRDefault="00607234" w:rsidP="009243A8">
            <w:pPr>
              <w:spacing w:after="0" w:line="240" w:lineRule="auto"/>
              <w:ind w:left="54"/>
              <w:rPr>
                <w:rFonts w:ascii="Times New Roman" w:eastAsia="Times New Roman" w:hAnsi="Times New Roman"/>
                <w:b/>
              </w:rPr>
            </w:pPr>
            <w:r w:rsidRPr="00AA01A1">
              <w:rPr>
                <w:rFonts w:ascii="Times New Roman" w:eastAsia="Times New Roman" w:hAnsi="Times New Roman"/>
              </w:rPr>
              <w:t>Nie</w:t>
            </w:r>
          </w:p>
        </w:tc>
      </w:tr>
      <w:tr w:rsidR="00607234" w:rsidRPr="00AA01A1" w:rsidTr="009243A8">
        <w:tc>
          <w:tcPr>
            <w:tcW w:w="3812" w:type="dxa"/>
            <w:tcBorders>
              <w:top w:val="single" w:sz="4" w:space="0" w:color="auto"/>
              <w:left w:val="single" w:sz="4" w:space="0" w:color="auto"/>
              <w:bottom w:val="single" w:sz="4" w:space="0" w:color="auto"/>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Vplyvy na informatizáciu spoločnosti</w:t>
            </w:r>
          </w:p>
        </w:tc>
        <w:sdt>
          <w:sdtPr>
            <w:rPr>
              <w:rFonts w:ascii="Times New Roman" w:eastAsia="Times New Roman" w:hAnsi="Times New Roman"/>
              <w:b/>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312" w:type="dxa"/>
            <w:gridSpan w:val="2"/>
            <w:tcBorders>
              <w:top w:val="single" w:sz="4" w:space="0" w:color="auto"/>
              <w:left w:val="nil"/>
              <w:bottom w:val="single" w:sz="4" w:space="0" w:color="auto"/>
              <w:right w:val="nil"/>
            </w:tcBorders>
          </w:tcPr>
          <w:p w:rsidR="00607234" w:rsidRPr="00AA01A1" w:rsidRDefault="00607234" w:rsidP="009243A8">
            <w:pPr>
              <w:spacing w:after="0" w:line="240" w:lineRule="auto"/>
              <w:ind w:right="-108"/>
              <w:rPr>
                <w:rFonts w:ascii="Times New Roman" w:eastAsia="Times New Roman" w:hAnsi="Times New Roman"/>
                <w:b/>
              </w:rPr>
            </w:pPr>
            <w:r w:rsidRPr="00AA01A1">
              <w:rPr>
                <w:rFonts w:ascii="Times New Roman" w:eastAsia="Times New Roman" w:hAnsi="Times New Roman"/>
                <w:b/>
              </w:rPr>
              <w:t>Pozitívne</w:t>
            </w:r>
          </w:p>
        </w:tc>
        <w:sdt>
          <w:sdtPr>
            <w:rPr>
              <w:rFonts w:ascii="Times New Roman" w:eastAsia="Times New Roman" w:hAnsi="Times New Roman"/>
              <w:b/>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Žiadne</w:t>
            </w:r>
          </w:p>
        </w:tc>
        <w:sdt>
          <w:sdtPr>
            <w:rPr>
              <w:rFonts w:ascii="Times New Roman" w:eastAsia="Times New Roman" w:hAnsi="Times New Roman"/>
              <w:b/>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607234" w:rsidRPr="00AA01A1" w:rsidRDefault="00607234" w:rsidP="009243A8">
            <w:pPr>
              <w:spacing w:after="0" w:line="240" w:lineRule="auto"/>
              <w:ind w:left="54"/>
              <w:rPr>
                <w:rFonts w:ascii="Times New Roman" w:eastAsia="Times New Roman" w:hAnsi="Times New Roman"/>
                <w:b/>
              </w:rPr>
            </w:pPr>
            <w:r w:rsidRPr="00AA01A1">
              <w:rPr>
                <w:rFonts w:ascii="Times New Roman" w:eastAsia="Times New Roman" w:hAnsi="Times New Roman"/>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07234" w:rsidRPr="00AA01A1" w:rsidTr="009243A8">
        <w:tc>
          <w:tcPr>
            <w:tcW w:w="3812" w:type="dxa"/>
            <w:tcBorders>
              <w:top w:val="single" w:sz="4" w:space="0" w:color="auto"/>
              <w:left w:val="single" w:sz="4" w:space="0" w:color="auto"/>
              <w:bottom w:val="nil"/>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b/>
                <w:sz w:val="20"/>
                <w:szCs w:val="20"/>
                <w:lang w:eastAsia="sk-SK"/>
              </w:rPr>
            </w:pPr>
            <w:r w:rsidRPr="00AA01A1">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607234" w:rsidRPr="00AA01A1" w:rsidRDefault="00607234" w:rsidP="009243A8">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rsidR="00607234" w:rsidRPr="00AA01A1" w:rsidRDefault="00607234" w:rsidP="009243A8">
            <w:pPr>
              <w:spacing w:after="0" w:line="240" w:lineRule="auto"/>
              <w:ind w:right="-108"/>
              <w:rPr>
                <w:rFonts w:ascii="Times New Roman" w:eastAsia="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607234" w:rsidRPr="00AA01A1" w:rsidRDefault="00607234" w:rsidP="009243A8">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rsidR="00607234" w:rsidRPr="00AA01A1" w:rsidRDefault="00607234" w:rsidP="009243A8">
            <w:pPr>
              <w:spacing w:after="0" w:line="240" w:lineRule="auto"/>
              <w:rPr>
                <w:rFonts w:ascii="Times New Roman" w:eastAsia="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rsidR="00607234" w:rsidRPr="00AA01A1" w:rsidRDefault="00607234" w:rsidP="009243A8">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607234" w:rsidRPr="00AA01A1" w:rsidRDefault="00607234" w:rsidP="009243A8">
            <w:pPr>
              <w:spacing w:after="0" w:line="240" w:lineRule="auto"/>
              <w:ind w:left="54"/>
              <w:rPr>
                <w:rFonts w:ascii="Times New Roman" w:eastAsia="Times New Roman" w:hAnsi="Times New Roman"/>
                <w:b/>
                <w:sz w:val="20"/>
                <w:szCs w:val="20"/>
                <w:lang w:eastAsia="sk-SK"/>
              </w:rPr>
            </w:pPr>
          </w:p>
        </w:tc>
      </w:tr>
      <w:tr w:rsidR="00607234" w:rsidRPr="00AA01A1" w:rsidTr="009243A8">
        <w:tc>
          <w:tcPr>
            <w:tcW w:w="3812" w:type="dxa"/>
            <w:tcBorders>
              <w:top w:val="nil"/>
              <w:left w:val="single" w:sz="4" w:space="0" w:color="auto"/>
              <w:bottom w:val="nil"/>
              <w:right w:val="single" w:sz="4" w:space="0" w:color="auto"/>
            </w:tcBorders>
            <w:shd w:val="clear" w:color="auto" w:fill="E2E2E2"/>
          </w:tcPr>
          <w:p w:rsidR="00607234" w:rsidRPr="00AA01A1" w:rsidRDefault="00607234" w:rsidP="009243A8">
            <w:pPr>
              <w:spacing w:after="0" w:line="240" w:lineRule="auto"/>
              <w:ind w:left="196" w:hanging="196"/>
              <w:rPr>
                <w:rFonts w:ascii="Times New Roman" w:hAnsi="Times New Roman"/>
                <w:b/>
                <w:sz w:val="20"/>
                <w:szCs w:val="20"/>
              </w:rPr>
            </w:pPr>
            <w:r w:rsidRPr="00AA01A1">
              <w:rPr>
                <w:rFonts w:ascii="Times New Roman" w:hAnsi="Times New Roman"/>
                <w:b/>
                <w:sz w:val="20"/>
                <w:szCs w:val="20"/>
              </w:rPr>
              <w:t xml:space="preserve">    vplyvy služieb verejnej správy na občana</w:t>
            </w:r>
          </w:p>
        </w:tc>
        <w:sdt>
          <w:sdtPr>
            <w:rPr>
              <w:rFonts w:ascii="Times New Roman" w:eastAsia="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607234" w:rsidRPr="00AA01A1" w:rsidRDefault="00607234" w:rsidP="009243A8">
                <w:pPr>
                  <w:spacing w:after="0" w:line="240" w:lineRule="auto"/>
                  <w:jc w:val="center"/>
                  <w:rPr>
                    <w:rFonts w:ascii="Times New Roman" w:eastAsia="Times New Roman" w:hAnsi="Times New Roman"/>
                    <w:b/>
                    <w:sz w:val="20"/>
                    <w:szCs w:val="20"/>
                    <w:lang w:eastAsia="sk-SK"/>
                  </w:rPr>
                </w:pPr>
                <w:r w:rsidRPr="00AA01A1">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607234" w:rsidRPr="00AA01A1" w:rsidRDefault="00607234" w:rsidP="009243A8">
            <w:pPr>
              <w:spacing w:after="0" w:line="240" w:lineRule="auto"/>
              <w:ind w:right="-108"/>
              <w:rPr>
                <w:rFonts w:ascii="Times New Roman" w:eastAsia="Times New Roman" w:hAnsi="Times New Roman"/>
                <w:b/>
                <w:sz w:val="20"/>
                <w:szCs w:val="20"/>
                <w:lang w:eastAsia="sk-SK"/>
              </w:rPr>
            </w:pPr>
            <w:r w:rsidRPr="00AA01A1">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607234" w:rsidRPr="00AA01A1" w:rsidRDefault="00607234" w:rsidP="009243A8">
                <w:pPr>
                  <w:spacing w:after="0" w:line="240" w:lineRule="auto"/>
                  <w:jc w:val="center"/>
                  <w:rPr>
                    <w:rFonts w:ascii="Times New Roman" w:eastAsia="Times New Roman" w:hAnsi="Times New Roman"/>
                    <w:b/>
                    <w:sz w:val="20"/>
                    <w:szCs w:val="20"/>
                    <w:lang w:eastAsia="sk-SK"/>
                  </w:rPr>
                </w:pPr>
                <w:r w:rsidRPr="00AA01A1">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607234" w:rsidRPr="00AA01A1" w:rsidRDefault="00607234" w:rsidP="009243A8">
            <w:pPr>
              <w:spacing w:after="0" w:line="240" w:lineRule="auto"/>
              <w:rPr>
                <w:rFonts w:ascii="Times New Roman" w:eastAsia="Times New Roman" w:hAnsi="Times New Roman"/>
                <w:b/>
                <w:sz w:val="20"/>
                <w:szCs w:val="20"/>
                <w:lang w:eastAsia="sk-SK"/>
              </w:rPr>
            </w:pPr>
            <w:r w:rsidRPr="00AA01A1">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607234" w:rsidRPr="00AA01A1" w:rsidRDefault="00607234" w:rsidP="009243A8">
                <w:pPr>
                  <w:spacing w:after="0" w:line="240" w:lineRule="auto"/>
                  <w:jc w:val="center"/>
                  <w:rPr>
                    <w:rFonts w:ascii="Times New Roman" w:eastAsia="Times New Roman" w:hAnsi="Times New Roman"/>
                    <w:b/>
                    <w:sz w:val="20"/>
                    <w:szCs w:val="20"/>
                    <w:lang w:eastAsia="sk-SK"/>
                  </w:rPr>
                </w:pPr>
                <w:r w:rsidRPr="00AA01A1">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607234" w:rsidRPr="00AA01A1" w:rsidRDefault="00607234" w:rsidP="009243A8">
            <w:pPr>
              <w:spacing w:after="0" w:line="240" w:lineRule="auto"/>
              <w:ind w:left="54"/>
              <w:rPr>
                <w:rFonts w:ascii="Times New Roman" w:eastAsia="Times New Roman" w:hAnsi="Times New Roman"/>
                <w:b/>
                <w:sz w:val="20"/>
                <w:szCs w:val="20"/>
                <w:lang w:eastAsia="sk-SK"/>
              </w:rPr>
            </w:pPr>
            <w:r w:rsidRPr="00AA01A1">
              <w:rPr>
                <w:rFonts w:ascii="Times New Roman" w:eastAsia="Times New Roman" w:hAnsi="Times New Roman"/>
                <w:b/>
                <w:sz w:val="20"/>
                <w:szCs w:val="20"/>
                <w:lang w:eastAsia="sk-SK"/>
              </w:rPr>
              <w:t>Negatívne</w:t>
            </w:r>
          </w:p>
        </w:tc>
      </w:tr>
      <w:tr w:rsidR="00607234" w:rsidRPr="00AA01A1" w:rsidTr="009243A8">
        <w:tc>
          <w:tcPr>
            <w:tcW w:w="3812" w:type="dxa"/>
            <w:tcBorders>
              <w:top w:val="nil"/>
              <w:left w:val="single" w:sz="4" w:space="0" w:color="auto"/>
              <w:bottom w:val="nil"/>
              <w:right w:val="single" w:sz="4" w:space="0" w:color="auto"/>
            </w:tcBorders>
            <w:shd w:val="clear" w:color="auto" w:fill="E2E2E2"/>
          </w:tcPr>
          <w:p w:rsidR="00607234" w:rsidRPr="00AA01A1" w:rsidRDefault="00607234" w:rsidP="009243A8">
            <w:pPr>
              <w:spacing w:after="0" w:line="240" w:lineRule="auto"/>
              <w:ind w:left="168" w:hanging="168"/>
              <w:rPr>
                <w:rFonts w:ascii="Times New Roman" w:hAnsi="Times New Roman"/>
                <w:b/>
                <w:sz w:val="20"/>
                <w:szCs w:val="20"/>
              </w:rPr>
            </w:pPr>
            <w:r w:rsidRPr="00AA01A1">
              <w:rPr>
                <w:rFonts w:ascii="Times New Roman" w:hAnsi="Times New Roman"/>
                <w:b/>
                <w:sz w:val="20"/>
                <w:szCs w:val="20"/>
              </w:rPr>
              <w:t xml:space="preserve">    vplyvy na procesy služieb vo verejnej správe</w:t>
            </w:r>
          </w:p>
        </w:tc>
        <w:sdt>
          <w:sdtPr>
            <w:rPr>
              <w:rFonts w:ascii="Times New Roman" w:eastAsia="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607234" w:rsidRPr="00AA01A1" w:rsidRDefault="00607234" w:rsidP="009243A8">
                <w:pPr>
                  <w:spacing w:after="0" w:line="240" w:lineRule="auto"/>
                  <w:jc w:val="center"/>
                  <w:rPr>
                    <w:rFonts w:ascii="Times New Roman" w:eastAsia="Times New Roman" w:hAnsi="Times New Roman"/>
                    <w:b/>
                    <w:sz w:val="20"/>
                    <w:szCs w:val="20"/>
                    <w:lang w:eastAsia="sk-SK"/>
                  </w:rPr>
                </w:pPr>
                <w:r w:rsidRPr="00AA01A1">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607234" w:rsidRPr="00AA01A1" w:rsidRDefault="00607234" w:rsidP="009243A8">
            <w:pPr>
              <w:spacing w:after="0" w:line="240" w:lineRule="auto"/>
              <w:ind w:right="-108"/>
              <w:rPr>
                <w:rFonts w:ascii="Times New Roman" w:eastAsia="Times New Roman" w:hAnsi="Times New Roman"/>
                <w:b/>
                <w:sz w:val="20"/>
                <w:szCs w:val="20"/>
                <w:lang w:eastAsia="sk-SK"/>
              </w:rPr>
            </w:pPr>
            <w:r w:rsidRPr="00AA01A1">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607234" w:rsidRPr="00AA01A1" w:rsidRDefault="00607234" w:rsidP="009243A8">
                <w:pPr>
                  <w:spacing w:after="0" w:line="240" w:lineRule="auto"/>
                  <w:jc w:val="center"/>
                  <w:rPr>
                    <w:rFonts w:ascii="Times New Roman" w:eastAsia="Times New Roman" w:hAnsi="Times New Roman"/>
                    <w:b/>
                    <w:sz w:val="20"/>
                    <w:szCs w:val="20"/>
                    <w:lang w:eastAsia="sk-SK"/>
                  </w:rPr>
                </w:pPr>
                <w:r w:rsidRPr="00AA01A1">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607234" w:rsidRPr="00AA01A1" w:rsidRDefault="00607234" w:rsidP="009243A8">
            <w:pPr>
              <w:spacing w:after="0" w:line="240" w:lineRule="auto"/>
              <w:rPr>
                <w:rFonts w:ascii="Times New Roman" w:eastAsia="Times New Roman" w:hAnsi="Times New Roman"/>
                <w:b/>
                <w:sz w:val="20"/>
                <w:szCs w:val="20"/>
                <w:lang w:eastAsia="sk-SK"/>
              </w:rPr>
            </w:pPr>
            <w:r w:rsidRPr="00AA01A1">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607234" w:rsidRPr="00AA01A1" w:rsidRDefault="00607234" w:rsidP="009243A8">
                <w:pPr>
                  <w:spacing w:after="0" w:line="240" w:lineRule="auto"/>
                  <w:jc w:val="center"/>
                  <w:rPr>
                    <w:rFonts w:ascii="Times New Roman" w:eastAsia="Times New Roman" w:hAnsi="Times New Roman"/>
                    <w:b/>
                    <w:sz w:val="20"/>
                    <w:szCs w:val="20"/>
                    <w:lang w:eastAsia="sk-SK"/>
                  </w:rPr>
                </w:pPr>
                <w:r w:rsidRPr="00AA01A1">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607234" w:rsidRPr="00AA01A1" w:rsidRDefault="00607234" w:rsidP="009243A8">
            <w:pPr>
              <w:spacing w:after="0" w:line="240" w:lineRule="auto"/>
              <w:ind w:left="54"/>
              <w:rPr>
                <w:rFonts w:ascii="Times New Roman" w:eastAsia="Times New Roman" w:hAnsi="Times New Roman"/>
                <w:b/>
                <w:sz w:val="20"/>
                <w:szCs w:val="20"/>
                <w:lang w:eastAsia="sk-SK"/>
              </w:rPr>
            </w:pPr>
            <w:r w:rsidRPr="00AA01A1">
              <w:rPr>
                <w:rFonts w:ascii="Times New Roman" w:eastAsia="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07234" w:rsidRPr="00AA01A1" w:rsidTr="00E42161">
        <w:tc>
          <w:tcPr>
            <w:tcW w:w="3812" w:type="dxa"/>
            <w:tcBorders>
              <w:top w:val="single" w:sz="4" w:space="0" w:color="000000"/>
              <w:left w:val="single" w:sz="4" w:space="0" w:color="auto"/>
              <w:bottom w:val="single" w:sz="4" w:space="0" w:color="auto"/>
              <w:right w:val="single" w:sz="4" w:space="0" w:color="auto"/>
            </w:tcBorders>
            <w:shd w:val="clear" w:color="auto" w:fill="E2E2E2"/>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Vplyvy na manželstvo, rodičovstvo a rodinu</w:t>
            </w:r>
          </w:p>
        </w:tc>
        <w:sdt>
          <w:sdtPr>
            <w:rPr>
              <w:rFonts w:ascii="Times New Roman" w:eastAsia="Times New Roman" w:hAnsi="Times New Roman"/>
              <w:b/>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vAlign w:val="center"/>
          </w:tcPr>
          <w:p w:rsidR="00607234" w:rsidRPr="00AA01A1" w:rsidRDefault="00607234" w:rsidP="009243A8">
            <w:pPr>
              <w:spacing w:after="0" w:line="240" w:lineRule="auto"/>
              <w:ind w:right="-108"/>
              <w:rPr>
                <w:rFonts w:ascii="Times New Roman" w:eastAsia="Times New Roman" w:hAnsi="Times New Roman"/>
                <w:b/>
              </w:rPr>
            </w:pPr>
            <w:r w:rsidRPr="00AA01A1">
              <w:rPr>
                <w:rFonts w:ascii="Times New Roman" w:eastAsia="Times New Roman" w:hAnsi="Times New Roman"/>
                <w:b/>
              </w:rPr>
              <w:t>Pozitívne</w:t>
            </w:r>
          </w:p>
        </w:tc>
        <w:sdt>
          <w:sdtPr>
            <w:rPr>
              <w:rFonts w:ascii="Times New Roman" w:eastAsia="Times New Roman" w:hAnsi="Times New Roman"/>
              <w:b/>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vAlign w:val="center"/>
          </w:tcPr>
          <w:p w:rsidR="00607234" w:rsidRPr="00AA01A1" w:rsidRDefault="00607234" w:rsidP="009243A8">
            <w:pPr>
              <w:spacing w:after="0" w:line="240" w:lineRule="auto"/>
              <w:rPr>
                <w:rFonts w:ascii="Times New Roman" w:eastAsia="Times New Roman" w:hAnsi="Times New Roman"/>
                <w:b/>
              </w:rPr>
            </w:pPr>
            <w:r w:rsidRPr="00AA01A1">
              <w:rPr>
                <w:rFonts w:ascii="Times New Roman" w:eastAsia="Times New Roman" w:hAnsi="Times New Roman"/>
                <w:b/>
              </w:rPr>
              <w:t>Žiadne</w:t>
            </w:r>
          </w:p>
        </w:tc>
        <w:sdt>
          <w:sdtPr>
            <w:rPr>
              <w:rFonts w:ascii="Times New Roman" w:eastAsia="Times New Roman" w:hAnsi="Times New Roman"/>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607234" w:rsidRPr="00AA01A1" w:rsidRDefault="00607234" w:rsidP="009243A8">
                <w:pPr>
                  <w:spacing w:after="0" w:line="240" w:lineRule="auto"/>
                  <w:jc w:val="center"/>
                  <w:rPr>
                    <w:rFonts w:ascii="Times New Roman" w:eastAsia="Times New Roman" w:hAnsi="Times New Roman"/>
                    <w:b/>
                  </w:rPr>
                </w:pPr>
                <w:r w:rsidRPr="00AA01A1">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vAlign w:val="center"/>
          </w:tcPr>
          <w:p w:rsidR="00607234" w:rsidRPr="00AA01A1" w:rsidRDefault="00607234" w:rsidP="009243A8">
            <w:pPr>
              <w:spacing w:after="0" w:line="240" w:lineRule="auto"/>
              <w:ind w:left="54"/>
              <w:rPr>
                <w:rFonts w:ascii="Times New Roman" w:eastAsia="Times New Roman" w:hAnsi="Times New Roman"/>
                <w:b/>
              </w:rPr>
            </w:pPr>
            <w:r w:rsidRPr="00AA01A1">
              <w:rPr>
                <w:rFonts w:ascii="Times New Roman" w:eastAsia="Times New Roman" w:hAnsi="Times New Roman"/>
                <w:b/>
              </w:rPr>
              <w:t>Negatívne</w:t>
            </w:r>
          </w:p>
        </w:tc>
      </w:tr>
      <w:tr w:rsidR="00607234" w:rsidRPr="00AA01A1" w:rsidTr="00E42161">
        <w:tc>
          <w:tcPr>
            <w:tcW w:w="9176" w:type="dxa"/>
            <w:gridSpan w:val="7"/>
            <w:tcBorders>
              <w:top w:val="single" w:sz="4" w:space="0" w:color="auto"/>
              <w:left w:val="single" w:sz="4" w:space="0" w:color="auto"/>
              <w:bottom w:val="nil"/>
              <w:right w:val="single" w:sz="4" w:space="0" w:color="auto"/>
            </w:tcBorders>
            <w:shd w:val="clear" w:color="auto" w:fill="E2E2E2"/>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t>Poznámky</w:t>
            </w:r>
          </w:p>
        </w:tc>
      </w:tr>
      <w:tr w:rsidR="00607234" w:rsidRPr="00AA01A1" w:rsidTr="00E42161">
        <w:trPr>
          <w:trHeight w:val="216"/>
        </w:trPr>
        <w:tc>
          <w:tcPr>
            <w:tcW w:w="9176" w:type="dxa"/>
            <w:gridSpan w:val="7"/>
            <w:tcBorders>
              <w:top w:val="nil"/>
              <w:left w:val="single" w:sz="4" w:space="0" w:color="auto"/>
              <w:bottom w:val="single" w:sz="4" w:space="0" w:color="FFFFFF"/>
              <w:right w:val="single" w:sz="4" w:space="0" w:color="auto"/>
            </w:tcBorders>
            <w:shd w:val="clear" w:color="auto" w:fill="auto"/>
          </w:tcPr>
          <w:p w:rsidR="00607234" w:rsidRPr="00AA01A1" w:rsidRDefault="00607234" w:rsidP="009243A8">
            <w:pPr>
              <w:spacing w:after="0" w:line="240" w:lineRule="auto"/>
              <w:ind w:left="426"/>
              <w:contextualSpacing/>
              <w:jc w:val="both"/>
              <w:rPr>
                <w:rFonts w:ascii="Times New Roman" w:hAnsi="Times New Roman"/>
              </w:rPr>
            </w:pPr>
            <w:r w:rsidRPr="00AA01A1">
              <w:rPr>
                <w:rFonts w:ascii="Times New Roman" w:hAnsi="Times New Roman"/>
              </w:rPr>
              <w:t xml:space="preserve">Podľa záverov Európskej komisie  z 15. 10. 2014, podľa ktorého v slovenskom systéme zdravotného poistenia prevládajú sociálne ciele, jedná sa o systém založený najmä na zásade solidarity, pričom Komisia dospela k záveru, že dotknuté činnosti (výkon verejného zdravotného poistenia) nemajú ekonomickú </w:t>
            </w:r>
            <w:r w:rsidRPr="00AA01A1">
              <w:rPr>
                <w:rFonts w:ascii="Times New Roman" w:hAnsi="Times New Roman"/>
              </w:rPr>
              <w:lastRenderedPageBreak/>
              <w:t>povahu. (</w:t>
            </w:r>
            <w:hyperlink r:id="rId8" w:history="1">
              <w:r w:rsidRPr="00AA01A1">
                <w:rPr>
                  <w:rStyle w:val="Hypertextovprepojenie"/>
                  <w:rFonts w:ascii="Times New Roman" w:hAnsi="Times New Roman"/>
                </w:rPr>
                <w:t>http://europa.eu/rapid/press-release_IP-14-1158_sk.htm</w:t>
              </w:r>
            </w:hyperlink>
            <w:r w:rsidRPr="00AA01A1">
              <w:rPr>
                <w:rFonts w:ascii="Times New Roman" w:hAnsi="Times New Roman"/>
              </w:rPr>
              <w:t xml:space="preserve"> ). Tento záver sa vzťahuje na osobitný spôsob, akým je táto činnosť na Slovensku organizovaná a vykonávaná, a týka sa preto tohto konkrétneho systému v Slovenskej republike. </w:t>
            </w:r>
          </w:p>
        </w:tc>
      </w:tr>
      <w:tr w:rsidR="00607234" w:rsidRPr="00AA01A1" w:rsidTr="00E42161">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lastRenderedPageBreak/>
              <w:t>Kontakt na spracovateľa</w:t>
            </w:r>
          </w:p>
        </w:tc>
      </w:tr>
      <w:tr w:rsidR="00607234" w:rsidRPr="00AA01A1" w:rsidTr="00E42161">
        <w:trPr>
          <w:trHeight w:val="58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607234" w:rsidRPr="00AA01A1" w:rsidRDefault="00607234" w:rsidP="009243A8">
            <w:pPr>
              <w:pStyle w:val="Normlnywebov"/>
              <w:spacing w:before="0" w:beforeAutospacing="0" w:after="0" w:afterAutospacing="0"/>
              <w:rPr>
                <w:sz w:val="20"/>
                <w:szCs w:val="20"/>
              </w:rPr>
            </w:pPr>
            <w:r w:rsidRPr="00AA01A1">
              <w:rPr>
                <w:sz w:val="20"/>
                <w:szCs w:val="20"/>
              </w:rPr>
              <w:t>Ministerstvo zdravotníctva SR</w:t>
            </w:r>
          </w:p>
          <w:p w:rsidR="00607234" w:rsidRPr="00AA01A1" w:rsidRDefault="00607234" w:rsidP="009243A8">
            <w:pPr>
              <w:pStyle w:val="Normlnywebov"/>
              <w:spacing w:before="0" w:beforeAutospacing="0" w:after="0" w:afterAutospacing="0"/>
              <w:rPr>
                <w:sz w:val="20"/>
                <w:szCs w:val="20"/>
              </w:rPr>
            </w:pPr>
            <w:r w:rsidRPr="00AA01A1">
              <w:rPr>
                <w:sz w:val="20"/>
                <w:szCs w:val="20"/>
              </w:rPr>
              <w:t>Sekcia financovania</w:t>
            </w:r>
          </w:p>
          <w:p w:rsidR="00607234" w:rsidRPr="00AA01A1" w:rsidRDefault="00607234" w:rsidP="009243A8">
            <w:pPr>
              <w:pStyle w:val="Normlnywebov"/>
              <w:spacing w:before="0" w:beforeAutospacing="0" w:after="0" w:afterAutospacing="0"/>
              <w:rPr>
                <w:sz w:val="20"/>
                <w:szCs w:val="20"/>
              </w:rPr>
            </w:pPr>
            <w:r w:rsidRPr="00AA01A1">
              <w:rPr>
                <w:sz w:val="20"/>
                <w:szCs w:val="20"/>
              </w:rPr>
              <w:t>Odbor poisťovníctva</w:t>
            </w:r>
          </w:p>
          <w:p w:rsidR="00607234" w:rsidRPr="00AA01A1" w:rsidRDefault="005A7A72" w:rsidP="009243A8">
            <w:pPr>
              <w:pStyle w:val="Normlnywebov"/>
              <w:spacing w:before="0" w:beforeAutospacing="0" w:after="0" w:afterAutospacing="0"/>
              <w:rPr>
                <w:sz w:val="20"/>
                <w:szCs w:val="20"/>
              </w:rPr>
            </w:pPr>
            <w:hyperlink r:id="rId9" w:history="1">
              <w:r w:rsidR="00607234" w:rsidRPr="00AA01A1">
                <w:rPr>
                  <w:rStyle w:val="Hypertextovprepojenie"/>
                  <w:sz w:val="20"/>
                  <w:szCs w:val="20"/>
                </w:rPr>
                <w:t>zakon580@health.gov.sk</w:t>
              </w:r>
            </w:hyperlink>
            <w:r w:rsidR="00607234" w:rsidRPr="00AA01A1">
              <w:rPr>
                <w:sz w:val="20"/>
                <w:szCs w:val="20"/>
              </w:rPr>
              <w:t>                                            </w:t>
            </w:r>
          </w:p>
          <w:p w:rsidR="00607234" w:rsidRPr="00AA01A1" w:rsidRDefault="00607234" w:rsidP="009243A8">
            <w:pPr>
              <w:pStyle w:val="Normlnywebov"/>
              <w:spacing w:before="0" w:beforeAutospacing="0" w:after="0" w:afterAutospacing="0"/>
              <w:rPr>
                <w:sz w:val="20"/>
                <w:szCs w:val="20"/>
              </w:rPr>
            </w:pPr>
            <w:r w:rsidRPr="00AA01A1">
              <w:rPr>
                <w:sz w:val="20"/>
                <w:szCs w:val="20"/>
              </w:rPr>
              <w:t>Ing. Marián Janiš</w:t>
            </w:r>
          </w:p>
          <w:p w:rsidR="00607234" w:rsidRPr="00AA01A1" w:rsidRDefault="00607234" w:rsidP="009243A8">
            <w:pPr>
              <w:spacing w:after="0" w:line="240" w:lineRule="auto"/>
              <w:rPr>
                <w:rFonts w:ascii="Times New Roman" w:eastAsia="Times New Roman" w:hAnsi="Times New Roman"/>
                <w:i/>
              </w:rPr>
            </w:pPr>
            <w:r w:rsidRPr="00AA01A1">
              <w:rPr>
                <w:rFonts w:ascii="Times New Roman" w:hAnsi="Times New Roman"/>
              </w:rPr>
              <w:t>tel.: 02 / 59 373 350</w:t>
            </w:r>
          </w:p>
        </w:tc>
      </w:tr>
      <w:tr w:rsidR="00607234" w:rsidRPr="00AA01A1" w:rsidTr="00E42161">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607234" w:rsidRPr="00AA01A1" w:rsidRDefault="00607234" w:rsidP="00607234">
            <w:pPr>
              <w:numPr>
                <w:ilvl w:val="0"/>
                <w:numId w:val="10"/>
              </w:numPr>
              <w:spacing w:after="0" w:line="240" w:lineRule="auto"/>
              <w:ind w:left="426"/>
              <w:contextualSpacing/>
              <w:rPr>
                <w:rFonts w:ascii="Times New Roman" w:hAnsi="Times New Roman"/>
                <w:b/>
              </w:rPr>
            </w:pPr>
            <w:r w:rsidRPr="00AA01A1">
              <w:rPr>
                <w:rFonts w:ascii="Times New Roman" w:hAnsi="Times New Roman"/>
                <w:b/>
              </w:rPr>
              <w:t>Zdroje</w:t>
            </w:r>
          </w:p>
        </w:tc>
      </w:tr>
      <w:tr w:rsidR="00607234" w:rsidRPr="00AA01A1" w:rsidTr="00E42161">
        <w:trPr>
          <w:trHeight w:val="40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607234" w:rsidRPr="00AA01A1" w:rsidRDefault="00607234" w:rsidP="009243A8">
            <w:pPr>
              <w:spacing w:after="0" w:line="240" w:lineRule="auto"/>
              <w:rPr>
                <w:rFonts w:ascii="Times New Roman" w:eastAsia="Times New Roman" w:hAnsi="Times New Roman"/>
                <w:i/>
              </w:rPr>
            </w:pPr>
            <w:r w:rsidRPr="00AA01A1">
              <w:rPr>
                <w:rFonts w:ascii="Times New Roman" w:eastAsia="Times New Roman" w:hAnsi="Times New Roman"/>
              </w:rPr>
              <w:t>IZA MZ SR, údaje od zdravotných poisťovní, údaje od Úradu pre dohľad nad zdravotnou starostlivosťou.</w:t>
            </w:r>
          </w:p>
        </w:tc>
      </w:tr>
      <w:tr w:rsidR="00607234" w:rsidRPr="00AA01A1" w:rsidTr="00E42161">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607234" w:rsidRPr="00AA01A1" w:rsidRDefault="00607234" w:rsidP="00190114">
            <w:pPr>
              <w:numPr>
                <w:ilvl w:val="0"/>
                <w:numId w:val="10"/>
              </w:numPr>
              <w:spacing w:after="0" w:line="240" w:lineRule="auto"/>
              <w:ind w:left="451"/>
              <w:contextualSpacing/>
              <w:rPr>
                <w:rFonts w:ascii="Times New Roman" w:hAnsi="Times New Roman"/>
                <w:b/>
              </w:rPr>
            </w:pPr>
            <w:r w:rsidRPr="00AA01A1">
              <w:rPr>
                <w:rFonts w:ascii="Times New Roman" w:hAnsi="Times New Roman"/>
                <w:b/>
              </w:rPr>
              <w:t xml:space="preserve">Stanovisko Komisie na posudzovanie vybraných vplyvov z PPK č. </w:t>
            </w:r>
            <w:r w:rsidR="00190114" w:rsidRPr="00AA01A1">
              <w:rPr>
                <w:rFonts w:ascii="Times New Roman" w:hAnsi="Times New Roman"/>
                <w:b/>
              </w:rPr>
              <w:t>087/2024</w:t>
            </w:r>
            <w:r w:rsidRPr="00AA01A1">
              <w:rPr>
                <w:rFonts w:ascii="Times New Roman" w:hAnsi="Times New Roman"/>
              </w:rPr>
              <w:t xml:space="preserve"> </w:t>
            </w:r>
          </w:p>
          <w:p w:rsidR="00607234" w:rsidRPr="00AA01A1" w:rsidRDefault="00607234" w:rsidP="009243A8">
            <w:pPr>
              <w:spacing w:after="0" w:line="240" w:lineRule="auto"/>
              <w:ind w:left="502"/>
              <w:rPr>
                <w:rFonts w:ascii="Times New Roman" w:eastAsia="Times New Roman" w:hAnsi="Times New Roman"/>
                <w:b/>
              </w:rPr>
            </w:pPr>
            <w:r w:rsidRPr="00AA01A1">
              <w:rPr>
                <w:rFonts w:ascii="Times New Roman" w:hAnsi="Times New Roman"/>
              </w:rPr>
              <w:t>(v prípade, ak sa uskutočnilo v zmysle bodu 8.1 Jednotnej metodiky)</w:t>
            </w:r>
          </w:p>
        </w:tc>
      </w:tr>
      <w:tr w:rsidR="00607234" w:rsidRPr="00AA01A1" w:rsidTr="00E42161">
        <w:trPr>
          <w:trHeight w:val="839"/>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07234" w:rsidRPr="00AA01A1" w:rsidTr="009243A8">
              <w:trPr>
                <w:trHeight w:val="396"/>
              </w:trPr>
              <w:tc>
                <w:tcPr>
                  <w:tcW w:w="2552" w:type="dxa"/>
                </w:tcPr>
                <w:p w:rsidR="00607234" w:rsidRPr="00AA01A1" w:rsidRDefault="005A7A72" w:rsidP="009243A8">
                  <w:pPr>
                    <w:spacing w:after="0" w:line="240" w:lineRule="auto"/>
                    <w:rPr>
                      <w:rFonts w:ascii="Times New Roman" w:eastAsia="Times New Roman" w:hAnsi="Times New Roman"/>
                    </w:rPr>
                  </w:pPr>
                  <w:sdt>
                    <w:sdtPr>
                      <w:rPr>
                        <w:rFonts w:ascii="Times New Roman" w:eastAsia="Times New Roman" w:hAnsi="Times New Roman"/>
                      </w:rPr>
                      <w:id w:val="-1874910888"/>
                      <w14:checkbox>
                        <w14:checked w14:val="0"/>
                        <w14:checkedState w14:val="2612" w14:font="MS Gothic"/>
                        <w14:uncheckedState w14:val="2610" w14:font="MS Gothic"/>
                      </w14:checkbox>
                    </w:sdtPr>
                    <w:sdtEndPr/>
                    <w:sdtContent>
                      <w:r w:rsidR="00607234" w:rsidRPr="00AA01A1">
                        <w:rPr>
                          <w:rFonts w:ascii="Segoe UI Symbol" w:eastAsia="MS Gothic" w:hAnsi="Segoe UI Symbol" w:cs="Segoe UI Symbol"/>
                        </w:rPr>
                        <w:t>☐</w:t>
                      </w:r>
                    </w:sdtContent>
                  </w:sdt>
                  <w:r w:rsidR="00607234" w:rsidRPr="00AA01A1">
                    <w:rPr>
                      <w:rFonts w:ascii="Times New Roman" w:eastAsia="Times New Roman" w:hAnsi="Times New Roman"/>
                    </w:rPr>
                    <w:t xml:space="preserve">  Súhlasné </w:t>
                  </w:r>
                </w:p>
              </w:tc>
              <w:tc>
                <w:tcPr>
                  <w:tcW w:w="3827" w:type="dxa"/>
                </w:tcPr>
                <w:p w:rsidR="00607234" w:rsidRPr="00AA01A1" w:rsidRDefault="005A7A72" w:rsidP="009243A8">
                  <w:pPr>
                    <w:spacing w:after="0" w:line="240" w:lineRule="auto"/>
                    <w:rPr>
                      <w:rFonts w:ascii="Times New Roman" w:eastAsia="Times New Roman" w:hAnsi="Times New Roman"/>
                    </w:rPr>
                  </w:pPr>
                  <w:sdt>
                    <w:sdtPr>
                      <w:rPr>
                        <w:rFonts w:ascii="Times New Roman" w:eastAsia="Times New Roman" w:hAnsi="Times New Roman"/>
                      </w:rPr>
                      <w:id w:val="1697888127"/>
                      <w14:checkbox>
                        <w14:checked w14:val="0"/>
                        <w14:checkedState w14:val="2612" w14:font="MS Gothic"/>
                        <w14:uncheckedState w14:val="2610" w14:font="MS Gothic"/>
                      </w14:checkbox>
                    </w:sdtPr>
                    <w:sdtEndPr/>
                    <w:sdtContent>
                      <w:r w:rsidR="00607234" w:rsidRPr="00AA01A1">
                        <w:rPr>
                          <w:rFonts w:ascii="Segoe UI Symbol" w:eastAsia="MS Gothic" w:hAnsi="Segoe UI Symbol" w:cs="Segoe UI Symbol"/>
                        </w:rPr>
                        <w:t>☐</w:t>
                      </w:r>
                    </w:sdtContent>
                  </w:sdt>
                  <w:r w:rsidR="00607234" w:rsidRPr="00AA01A1">
                    <w:rPr>
                      <w:rFonts w:ascii="Times New Roman" w:eastAsia="Times New Roman" w:hAnsi="Times New Roman"/>
                    </w:rPr>
                    <w:t xml:space="preserve">  Súhlasné s návrhom na dopracovanie</w:t>
                  </w:r>
                </w:p>
              </w:tc>
              <w:tc>
                <w:tcPr>
                  <w:tcW w:w="2534" w:type="dxa"/>
                </w:tcPr>
                <w:p w:rsidR="00607234" w:rsidRPr="00AA01A1" w:rsidRDefault="005A7A72" w:rsidP="009243A8">
                  <w:pPr>
                    <w:spacing w:after="0" w:line="240" w:lineRule="auto"/>
                    <w:ind w:right="459"/>
                    <w:rPr>
                      <w:rFonts w:ascii="Times New Roman" w:eastAsia="Times New Roman" w:hAnsi="Times New Roman"/>
                    </w:rPr>
                  </w:pPr>
                  <w:sdt>
                    <w:sdtPr>
                      <w:rPr>
                        <w:rFonts w:ascii="Times New Roman" w:eastAsia="Times New Roman" w:hAnsi="Times New Roman"/>
                      </w:rPr>
                      <w:id w:val="-647822913"/>
                      <w14:checkbox>
                        <w14:checked w14:val="1"/>
                        <w14:checkedState w14:val="2612" w14:font="MS Gothic"/>
                        <w14:uncheckedState w14:val="2610" w14:font="MS Gothic"/>
                      </w14:checkbox>
                    </w:sdtPr>
                    <w:sdtEndPr/>
                    <w:sdtContent>
                      <w:r w:rsidR="005368A8" w:rsidRPr="00AA01A1">
                        <w:rPr>
                          <w:rFonts w:ascii="Segoe UI Symbol" w:eastAsia="MS Gothic" w:hAnsi="Segoe UI Symbol" w:cs="Segoe UI Symbol"/>
                        </w:rPr>
                        <w:t>☒</w:t>
                      </w:r>
                    </w:sdtContent>
                  </w:sdt>
                  <w:r w:rsidR="00607234" w:rsidRPr="00AA01A1">
                    <w:rPr>
                      <w:rFonts w:ascii="Times New Roman" w:eastAsia="Times New Roman" w:hAnsi="Times New Roman"/>
                    </w:rPr>
                    <w:t xml:space="preserve">  Nesúhlasné</w:t>
                  </w:r>
                </w:p>
              </w:tc>
            </w:tr>
          </w:tbl>
          <w:p w:rsidR="00607234" w:rsidRPr="00AA01A1" w:rsidRDefault="00607234" w:rsidP="009243A8">
            <w:pPr>
              <w:spacing w:after="0" w:line="240" w:lineRule="auto"/>
              <w:jc w:val="both"/>
              <w:rPr>
                <w:rFonts w:ascii="Times New Roman" w:eastAsia="Times New Roman" w:hAnsi="Times New Roman"/>
              </w:rPr>
            </w:pPr>
            <w:r w:rsidRPr="00AA01A1">
              <w:rPr>
                <w:rFonts w:ascii="Times New Roman" w:eastAsia="Times New Roman" w:hAnsi="Times New Roman"/>
              </w:rPr>
              <w:t>Uveďte pripomienky zo stanoviska Komisie z časti II. spolu s Vaším vyhodnotením:</w:t>
            </w:r>
          </w:p>
          <w:p w:rsidR="005368A8" w:rsidRPr="00AA01A1" w:rsidRDefault="005368A8" w:rsidP="005368A8">
            <w:pPr>
              <w:spacing w:after="0" w:line="240" w:lineRule="auto"/>
              <w:jc w:val="both"/>
              <w:rPr>
                <w:rFonts w:ascii="Times New Roman" w:eastAsia="Times New Roman" w:hAnsi="Times New Roman"/>
              </w:rPr>
            </w:pPr>
          </w:p>
          <w:p w:rsidR="005368A8" w:rsidRPr="00AA01A1" w:rsidRDefault="005368A8" w:rsidP="005368A8">
            <w:pPr>
              <w:spacing w:after="0" w:line="240" w:lineRule="auto"/>
              <w:jc w:val="both"/>
              <w:rPr>
                <w:rFonts w:ascii="Times New Roman" w:eastAsia="Times New Roman" w:hAnsi="Times New Roman"/>
              </w:rPr>
            </w:pPr>
            <w:r w:rsidRPr="00AA01A1">
              <w:rPr>
                <w:rFonts w:ascii="Times New Roman" w:eastAsia="Times New Roman" w:hAnsi="Times New Roman"/>
              </w:rPr>
              <w:t>Komisia uplatňuje k materiálu nasledovné pripomienky a odporúčania:</w:t>
            </w:r>
          </w:p>
          <w:p w:rsidR="005368A8" w:rsidRPr="00AA01A1" w:rsidRDefault="005368A8" w:rsidP="005368A8">
            <w:pPr>
              <w:spacing w:after="0" w:line="240" w:lineRule="auto"/>
              <w:jc w:val="both"/>
              <w:rPr>
                <w:rFonts w:ascii="Times New Roman" w:eastAsia="Times New Roman" w:hAnsi="Times New Roman"/>
              </w:rPr>
            </w:pPr>
          </w:p>
          <w:p w:rsidR="005368A8" w:rsidRPr="00AA01A1" w:rsidRDefault="005368A8" w:rsidP="005368A8">
            <w:pPr>
              <w:spacing w:after="0" w:line="240" w:lineRule="auto"/>
              <w:jc w:val="both"/>
              <w:rPr>
                <w:rFonts w:ascii="Times New Roman" w:eastAsia="Times New Roman" w:hAnsi="Times New Roman"/>
                <w:b/>
              </w:rPr>
            </w:pPr>
            <w:r w:rsidRPr="00AA01A1">
              <w:rPr>
                <w:rFonts w:ascii="Times New Roman" w:eastAsia="Times New Roman" w:hAnsi="Times New Roman"/>
                <w:b/>
              </w:rPr>
              <w:t>K vplyvom na podnikateľské prostredie</w:t>
            </w:r>
          </w:p>
          <w:p w:rsidR="005368A8" w:rsidRPr="00AA01A1" w:rsidRDefault="005368A8" w:rsidP="005368A8">
            <w:pPr>
              <w:spacing w:after="0" w:line="240" w:lineRule="auto"/>
              <w:jc w:val="both"/>
              <w:rPr>
                <w:rFonts w:ascii="Times New Roman" w:eastAsia="Times New Roman" w:hAnsi="Times New Roman"/>
              </w:rPr>
            </w:pPr>
            <w:r w:rsidRPr="00AA01A1">
              <w:rPr>
                <w:rFonts w:ascii="Times New Roman" w:eastAsia="Times New Roman" w:hAnsi="Times New Roman"/>
              </w:rPr>
              <w:t>Komisia žiada predkladateľa o odstránenie pozitívneho vplyvu v Doložke vybraných vplyvov alebo žiada úpravu Analýzy vplyvov na podnikateľské prostredie a priloženie Kalkulačky nákladov.</w:t>
            </w:r>
          </w:p>
          <w:p w:rsidR="005368A8" w:rsidRPr="00AA01A1" w:rsidRDefault="005368A8" w:rsidP="005368A8">
            <w:pPr>
              <w:spacing w:after="0" w:line="240" w:lineRule="auto"/>
              <w:jc w:val="both"/>
              <w:rPr>
                <w:rFonts w:ascii="Times New Roman" w:eastAsia="Times New Roman" w:hAnsi="Times New Roman"/>
              </w:rPr>
            </w:pPr>
            <w:r w:rsidRPr="00AA01A1">
              <w:rPr>
                <w:rFonts w:ascii="Times New Roman" w:eastAsia="Times New Roman" w:hAnsi="Times New Roman"/>
              </w:rPr>
              <w:t>Odôvodnenie: Predložený materiál uvádza pozitívny vplyv na podnikateľské prostredie, ktorý ale podľa lokalizácie predkladateľa nie je možné identifikovať vo vlastnom materiáli. Ak sa daný vplyv nenachádza vo vlastnom materiáli je potrebné odstrániť vyznačenie pozitívneho vplyvu. V prípade, že materiál pozitívny vplyv obsahuje, je potrebné aby predkladateľ daný vplyv uviedol v Analýze vplyvov na podnikateľské prostredie s doplnenou lokalizáciou a opisom výpočtu a zdrojmi, z ktorých predkladateľ čerpal pri určení jednotlivých hodnôt vo výpočte. V prípade výpočtov vplyvu je potrebné priložiť k materiálu aj Kalkulačku nákladov pre potrebu kontroly kvantifikácie.</w:t>
            </w:r>
          </w:p>
          <w:p w:rsidR="005368A8" w:rsidRPr="00AA01A1" w:rsidRDefault="005368A8" w:rsidP="005368A8">
            <w:pPr>
              <w:spacing w:after="0" w:line="240" w:lineRule="auto"/>
              <w:jc w:val="both"/>
              <w:rPr>
                <w:rFonts w:ascii="Times New Roman" w:eastAsia="Times New Roman" w:hAnsi="Times New Roman"/>
              </w:rPr>
            </w:pPr>
          </w:p>
          <w:p w:rsidR="005368A8" w:rsidRPr="00AA01A1" w:rsidRDefault="005368A8" w:rsidP="005368A8">
            <w:pPr>
              <w:spacing w:after="0" w:line="240" w:lineRule="auto"/>
              <w:jc w:val="both"/>
              <w:rPr>
                <w:rFonts w:ascii="Times New Roman" w:eastAsia="Times New Roman" w:hAnsi="Times New Roman"/>
                <w:i/>
              </w:rPr>
            </w:pPr>
            <w:r w:rsidRPr="00AA01A1">
              <w:rPr>
                <w:rFonts w:ascii="Times New Roman" w:eastAsia="Times New Roman" w:hAnsi="Times New Roman"/>
              </w:rPr>
              <w:t>S</w:t>
            </w:r>
            <w:r w:rsidRPr="00AA01A1">
              <w:rPr>
                <w:rFonts w:ascii="Times New Roman" w:eastAsia="Times New Roman" w:hAnsi="Times New Roman"/>
                <w:i/>
              </w:rPr>
              <w:t>tanovisko predkladateľa: opravená lokalizácia. Kalkulačka nákladov priložená.</w:t>
            </w:r>
          </w:p>
          <w:p w:rsidR="005368A8" w:rsidRPr="00AA01A1" w:rsidRDefault="005368A8" w:rsidP="005368A8">
            <w:pPr>
              <w:spacing w:after="0" w:line="240" w:lineRule="auto"/>
              <w:jc w:val="both"/>
              <w:rPr>
                <w:rFonts w:ascii="Times New Roman" w:eastAsia="Times New Roman" w:hAnsi="Times New Roman"/>
                <w:i/>
              </w:rPr>
            </w:pPr>
          </w:p>
          <w:p w:rsidR="005368A8" w:rsidRPr="00AA01A1" w:rsidRDefault="005368A8" w:rsidP="005368A8">
            <w:pPr>
              <w:spacing w:after="0" w:line="240" w:lineRule="auto"/>
              <w:jc w:val="both"/>
              <w:rPr>
                <w:rFonts w:ascii="Times New Roman" w:eastAsia="Times New Roman" w:hAnsi="Times New Roman"/>
                <w:b/>
              </w:rPr>
            </w:pPr>
            <w:r w:rsidRPr="00AA01A1">
              <w:rPr>
                <w:rFonts w:ascii="Times New Roman" w:eastAsia="Times New Roman" w:hAnsi="Times New Roman"/>
                <w:b/>
              </w:rPr>
              <w:t>K vplyvom na rozpočet verejnej správy</w:t>
            </w:r>
          </w:p>
          <w:p w:rsidR="005368A8" w:rsidRPr="00AA01A1" w:rsidRDefault="005368A8" w:rsidP="005368A8">
            <w:pPr>
              <w:spacing w:after="0" w:line="240" w:lineRule="auto"/>
              <w:jc w:val="both"/>
              <w:rPr>
                <w:rFonts w:ascii="Times New Roman" w:eastAsia="Times New Roman" w:hAnsi="Times New Roman"/>
              </w:rPr>
            </w:pPr>
            <w:r w:rsidRPr="00AA01A1">
              <w:rPr>
                <w:rFonts w:ascii="Times New Roman" w:eastAsia="Times New Roman" w:hAnsi="Times New Roman"/>
              </w:rPr>
              <w:t>V doložke vybraných vplyvov je označený pozitívny vplyv na rozpočet verejnej správy, žiadny vplyv na rozpočet VÚC a obcí a žiadny vplyv na limit verejných výdavkov. V analýze vplyvov v tabuľke č. 1/A je kvantifikovaný úbytok príjmov VZP v sume 7,7 mil. eur v roku 2025, v sume 9,2 mil. eur v roku 2026 a v sume 9,7 mil. eur v roku 2027. Zároveň je kvantifikovaná aj úspora výdavkov VZP v sume 15,5 mil. eur v roku 2025, v sume 18,4 mil. eur v roku 2026 a v sume 19,4 mil. eur v roku 2027. Celkový vplyv návrhu predstavuje úsporu výdavkov VZP v sume 7,7 mil. eur v roku 2025, v sume 9,2 mil. eur v roku 2026 a v sume 9,7 mil. eur v roku 2027. Uvedená úspora súvisí s vyradením cca 10 tisíc osôb nad 100 rokov z centrálneho registra poistencov, za ktorých sa nebude hradiť platba za poistencov štátu.</w:t>
            </w:r>
          </w:p>
          <w:p w:rsidR="005368A8" w:rsidRPr="00AA01A1" w:rsidRDefault="005368A8" w:rsidP="005368A8">
            <w:pPr>
              <w:spacing w:after="0" w:line="240" w:lineRule="auto"/>
              <w:jc w:val="both"/>
              <w:rPr>
                <w:rFonts w:ascii="Times New Roman" w:eastAsia="Times New Roman" w:hAnsi="Times New Roman"/>
              </w:rPr>
            </w:pPr>
          </w:p>
          <w:p w:rsidR="005368A8" w:rsidRPr="00AA01A1" w:rsidRDefault="005368A8" w:rsidP="005368A8">
            <w:pPr>
              <w:spacing w:after="0" w:line="240" w:lineRule="auto"/>
              <w:jc w:val="both"/>
              <w:rPr>
                <w:rFonts w:ascii="Times New Roman" w:eastAsia="Times New Roman" w:hAnsi="Times New Roman"/>
              </w:rPr>
            </w:pPr>
            <w:r w:rsidRPr="00AA01A1">
              <w:rPr>
                <w:rFonts w:ascii="Times New Roman" w:eastAsia="Times New Roman" w:hAnsi="Times New Roman"/>
              </w:rPr>
              <w:t>Komisia žiada v analýze vplyvov, v súvislosti s rozšírením poskytovanej zdravotnej starostlivosti pre dlžníkov a ľudí bez domova, uviesť podrobnejší výpočet.</w:t>
            </w:r>
          </w:p>
          <w:p w:rsidR="005368A8" w:rsidRPr="00AA01A1" w:rsidRDefault="005368A8" w:rsidP="005368A8">
            <w:pPr>
              <w:spacing w:after="0" w:line="240" w:lineRule="auto"/>
              <w:jc w:val="both"/>
              <w:rPr>
                <w:rFonts w:ascii="Times New Roman" w:eastAsia="Times New Roman" w:hAnsi="Times New Roman"/>
              </w:rPr>
            </w:pPr>
            <w:r w:rsidRPr="00AA01A1">
              <w:rPr>
                <w:rFonts w:ascii="Times New Roman" w:eastAsia="Times New Roman" w:hAnsi="Times New Roman"/>
              </w:rPr>
              <w:t>Odôvodnenie: Výpočet potrebných zdrojov odvíjajúci sa od počtu ľudí (aj to iba tých bez domova, s dlžníkmi odhad výpočtu nepracuje) Komisia považuje za nereálny. Pri vyčíslovaní vplyvu je možné očakávať výrazne zvýšený dopyt po službách všeobecnej ambulantnej starostlivosti ako len uvedených 19 osôb bez domova v roku 2022 alebo 34 v roku 2023.</w:t>
            </w:r>
          </w:p>
          <w:p w:rsidR="005368A8" w:rsidRPr="00AA01A1" w:rsidRDefault="005368A8" w:rsidP="005368A8">
            <w:pPr>
              <w:spacing w:after="0" w:line="240" w:lineRule="auto"/>
              <w:jc w:val="both"/>
              <w:rPr>
                <w:rFonts w:ascii="Times New Roman" w:eastAsia="Times New Roman" w:hAnsi="Times New Roman"/>
              </w:rPr>
            </w:pPr>
          </w:p>
          <w:p w:rsidR="005368A8" w:rsidRPr="00AA01A1" w:rsidRDefault="005368A8" w:rsidP="005368A8">
            <w:pPr>
              <w:spacing w:after="0" w:line="240" w:lineRule="auto"/>
              <w:jc w:val="both"/>
              <w:rPr>
                <w:rFonts w:ascii="Times New Roman" w:eastAsia="Times New Roman" w:hAnsi="Times New Roman"/>
                <w:i/>
              </w:rPr>
            </w:pPr>
            <w:r w:rsidRPr="00AA01A1">
              <w:rPr>
                <w:rFonts w:ascii="Times New Roman" w:eastAsia="Times New Roman" w:hAnsi="Times New Roman"/>
                <w:i/>
              </w:rPr>
              <w:t>Stanovisko predkladateľa: obmedzenie poskytovania zdravotnej starostlivosti pre dlžníkov nie je nástroj na šetrenie zdrojov verejného zdravotného poistenia, ale nástroj na účinnejšie vymáhanie dlžného poistného. Zdravotná starostlivosť, ktorá má byť poskytovaná osobám, ktorým je v súčasnosti rozsah poskytovania obmedzený kvôli existencii ich dlhu bude poskytnutá v budúcnosti, potom, ako dôjde k úhrade ich dlhu. Z tohto dôvodu nie je možné vnímať jej skoršie poskytnutie ako zvýšenie výdavkov verejného zdravotného poistenia, keďže tieto výdavky by boli realizované aj tak neskôr (a pravdepodobne vo vyššej výške</w:t>
            </w:r>
            <w:r w:rsidR="0026420B" w:rsidRPr="00AA01A1">
              <w:rPr>
                <w:rFonts w:ascii="Times New Roman" w:eastAsia="Times New Roman" w:hAnsi="Times New Roman"/>
                <w:i/>
              </w:rPr>
              <w:t xml:space="preserve"> ako v súčasnosti).</w:t>
            </w:r>
          </w:p>
          <w:p w:rsidR="005368A8" w:rsidRPr="00AA01A1" w:rsidRDefault="0026420B" w:rsidP="005368A8">
            <w:pPr>
              <w:spacing w:after="0" w:line="240" w:lineRule="auto"/>
              <w:jc w:val="both"/>
              <w:rPr>
                <w:rFonts w:ascii="Times New Roman" w:eastAsia="Times New Roman" w:hAnsi="Times New Roman"/>
                <w:i/>
              </w:rPr>
            </w:pPr>
            <w:r w:rsidRPr="00AA01A1">
              <w:rPr>
                <w:rFonts w:ascii="Times New Roman" w:eastAsia="Times New Roman" w:hAnsi="Times New Roman"/>
                <w:i/>
              </w:rPr>
              <w:t xml:space="preserve">Ako zvýšenie výdavkov verejného zdravotného poistenia by bolo možné posudzovať iba tú zdravotnú starostlivosť, ktorá  bude poskytovaná dlžníkom, ktorým sa bez jej poskytnutia zhoršil časom stavom natoľko, že by zomreli (a teda by už pre nich v budúcnosti poskytnutie zdravotnej starostlivosti nebolo relevantné). MZ SR nemá </w:t>
            </w:r>
            <w:r w:rsidRPr="00AA01A1">
              <w:rPr>
                <w:rFonts w:ascii="Times New Roman" w:eastAsia="Times New Roman" w:hAnsi="Times New Roman"/>
                <w:i/>
              </w:rPr>
              <w:lastRenderedPageBreak/>
              <w:t>k dispozícii analýzu o počte zbytočných úmrtí v dôsledku odopierania plného rozsahu zdravotnej starostlivosti dlžníkom.</w:t>
            </w:r>
          </w:p>
          <w:p w:rsidR="0026420B" w:rsidRPr="00AA01A1" w:rsidRDefault="0026420B" w:rsidP="005368A8">
            <w:pPr>
              <w:spacing w:after="0" w:line="240" w:lineRule="auto"/>
              <w:jc w:val="both"/>
              <w:rPr>
                <w:rFonts w:ascii="Times New Roman" w:eastAsia="Times New Roman" w:hAnsi="Times New Roman"/>
              </w:rPr>
            </w:pPr>
          </w:p>
          <w:p w:rsidR="005368A8" w:rsidRPr="00AA01A1" w:rsidRDefault="005368A8" w:rsidP="005368A8">
            <w:pPr>
              <w:spacing w:after="0" w:line="240" w:lineRule="auto"/>
              <w:jc w:val="both"/>
              <w:rPr>
                <w:rFonts w:ascii="Times New Roman" w:eastAsia="Times New Roman" w:hAnsi="Times New Roman"/>
              </w:rPr>
            </w:pPr>
            <w:r w:rsidRPr="00AA01A1">
              <w:rPr>
                <w:rFonts w:ascii="Times New Roman" w:eastAsia="Times New Roman" w:hAnsi="Times New Roman"/>
              </w:rPr>
              <w:t>V analýze vplyvov v tabuľke č. 4 Komisia žiada upraviť v bežných výdavkoch riadok „Sociálnej poisťovni a zdravotným poisťovniam (641003)“ na správne zaradenie EKRK: Na platené poistné za skupiny osôb ustanovené zákonom, ide o  program 07A01  - poistné za poistencov štátu EKRK 642031. Zároveň je z technického hľadiska potrebné v tabuľke č. 1/A vyplniť sumárne riadky „- vplyv na štátny rozpočet“ a „- vplyv na ostatné subjekty verejnej správy“.</w:t>
            </w:r>
          </w:p>
          <w:p w:rsidR="0026420B" w:rsidRPr="00AA01A1" w:rsidRDefault="0026420B" w:rsidP="005368A8">
            <w:pPr>
              <w:spacing w:after="0" w:line="240" w:lineRule="auto"/>
              <w:jc w:val="both"/>
              <w:rPr>
                <w:rFonts w:ascii="Times New Roman" w:eastAsia="Times New Roman" w:hAnsi="Times New Roman"/>
              </w:rPr>
            </w:pPr>
          </w:p>
          <w:p w:rsidR="0026420B" w:rsidRPr="00AA01A1" w:rsidRDefault="0026420B" w:rsidP="005368A8">
            <w:pPr>
              <w:spacing w:after="0" w:line="240" w:lineRule="auto"/>
              <w:jc w:val="both"/>
              <w:rPr>
                <w:rFonts w:ascii="Times New Roman" w:eastAsia="Times New Roman" w:hAnsi="Times New Roman"/>
                <w:i/>
              </w:rPr>
            </w:pPr>
            <w:r w:rsidRPr="00AA01A1">
              <w:rPr>
                <w:rFonts w:ascii="Times New Roman" w:eastAsia="Times New Roman" w:hAnsi="Times New Roman"/>
                <w:i/>
              </w:rPr>
              <w:t>Stanovisko predkladateľa: označenie riadkov opravené v zmysle pripomienky. Sumárne riadky vyplnené.</w:t>
            </w:r>
          </w:p>
          <w:p w:rsidR="005368A8" w:rsidRPr="00AA01A1" w:rsidRDefault="005368A8" w:rsidP="005368A8">
            <w:pPr>
              <w:spacing w:after="0" w:line="240" w:lineRule="auto"/>
              <w:jc w:val="both"/>
              <w:rPr>
                <w:rFonts w:ascii="Times New Roman" w:eastAsia="Times New Roman" w:hAnsi="Times New Roman"/>
              </w:rPr>
            </w:pPr>
          </w:p>
          <w:p w:rsidR="005368A8" w:rsidRPr="00AA01A1" w:rsidRDefault="005368A8" w:rsidP="005368A8">
            <w:pPr>
              <w:spacing w:after="0" w:line="240" w:lineRule="auto"/>
              <w:jc w:val="both"/>
              <w:rPr>
                <w:rFonts w:ascii="Times New Roman" w:eastAsia="Times New Roman" w:hAnsi="Times New Roman"/>
              </w:rPr>
            </w:pPr>
            <w:r w:rsidRPr="00AA01A1">
              <w:rPr>
                <w:rFonts w:ascii="Times New Roman" w:eastAsia="Times New Roman" w:hAnsi="Times New Roman"/>
              </w:rPr>
              <w:t>Komisia zároveň upozorňuje, že v marci 2024 bola zverejnená nová makroekonomická prognóza Inštitútu finančnej politiky MF SR, ktorá bola použitá aj pri zostavovaní návrhu rozpočtu verejnej správy 2025 až 2027 (rozpisový list). Na základe uvedených skutočností Komisia žiada o aktualizáciu výpočtov v analýze vplyvov na roky 2025 až 2027.</w:t>
            </w:r>
          </w:p>
          <w:p w:rsidR="002E7D33" w:rsidRPr="00AA01A1" w:rsidRDefault="002E7D33" w:rsidP="005368A8">
            <w:pPr>
              <w:spacing w:after="0" w:line="240" w:lineRule="auto"/>
              <w:jc w:val="both"/>
              <w:rPr>
                <w:rFonts w:ascii="Times New Roman" w:eastAsia="Times New Roman" w:hAnsi="Times New Roman"/>
              </w:rPr>
            </w:pPr>
          </w:p>
          <w:p w:rsidR="002E7D33" w:rsidRPr="00AA01A1" w:rsidRDefault="002E7D33" w:rsidP="005368A8">
            <w:pPr>
              <w:spacing w:after="0" w:line="240" w:lineRule="auto"/>
              <w:jc w:val="both"/>
              <w:rPr>
                <w:rFonts w:ascii="Times New Roman" w:eastAsia="Times New Roman" w:hAnsi="Times New Roman"/>
                <w:i/>
              </w:rPr>
            </w:pPr>
            <w:r w:rsidRPr="00AA01A1">
              <w:rPr>
                <w:rFonts w:ascii="Times New Roman" w:eastAsia="Times New Roman" w:hAnsi="Times New Roman"/>
                <w:i/>
              </w:rPr>
              <w:t>Stanovisko predkladateľa: výpočty aktualizované</w:t>
            </w:r>
            <w:r w:rsidR="00BE0D13" w:rsidRPr="00AA01A1">
              <w:rPr>
                <w:rFonts w:ascii="Times New Roman" w:eastAsia="Times New Roman" w:hAnsi="Times New Roman"/>
                <w:i/>
              </w:rPr>
              <w:t xml:space="preserve"> podľa prognózy z marca 2024.</w:t>
            </w:r>
          </w:p>
          <w:p w:rsidR="005368A8" w:rsidRPr="00AA01A1" w:rsidRDefault="005368A8" w:rsidP="005368A8">
            <w:pPr>
              <w:spacing w:after="0" w:line="240" w:lineRule="auto"/>
              <w:jc w:val="both"/>
              <w:rPr>
                <w:rFonts w:ascii="Times New Roman" w:eastAsia="Times New Roman" w:hAnsi="Times New Roman"/>
              </w:rPr>
            </w:pPr>
          </w:p>
          <w:p w:rsidR="005368A8" w:rsidRPr="00AA01A1" w:rsidRDefault="005368A8" w:rsidP="005368A8">
            <w:pPr>
              <w:spacing w:after="0" w:line="240" w:lineRule="auto"/>
              <w:jc w:val="both"/>
              <w:rPr>
                <w:rFonts w:ascii="Times New Roman" w:eastAsia="Times New Roman" w:hAnsi="Times New Roman"/>
              </w:rPr>
            </w:pPr>
            <w:r w:rsidRPr="00AA01A1">
              <w:rPr>
                <w:rFonts w:ascii="Times New Roman" w:eastAsia="Times New Roman" w:hAnsi="Times New Roman"/>
              </w:rPr>
              <w:t>V doložke vybraných vplyvov je označený žiadny vplyv na limit verejných výdavkov, avšak z materiálu vyplýva úspora výdavkov VZP. V tejto súvislosti je potrebné označiť pozitívny vplyv na limit verejných výdavkov a uvedené zohľadniť v tabuľke č. 1/B a č. 4/B v analýze vplyvov.</w:t>
            </w:r>
          </w:p>
          <w:p w:rsidR="002E7D33" w:rsidRPr="00AA01A1" w:rsidRDefault="002E7D33" w:rsidP="005368A8">
            <w:pPr>
              <w:spacing w:after="0" w:line="240" w:lineRule="auto"/>
              <w:jc w:val="both"/>
              <w:rPr>
                <w:rFonts w:ascii="Times New Roman" w:eastAsia="Times New Roman" w:hAnsi="Times New Roman"/>
              </w:rPr>
            </w:pPr>
          </w:p>
          <w:p w:rsidR="002E7D33" w:rsidRPr="00AA01A1" w:rsidRDefault="002E7D33" w:rsidP="005368A8">
            <w:pPr>
              <w:spacing w:after="0" w:line="240" w:lineRule="auto"/>
              <w:jc w:val="both"/>
              <w:rPr>
                <w:rFonts w:ascii="Times New Roman" w:eastAsia="Times New Roman" w:hAnsi="Times New Roman"/>
                <w:i/>
              </w:rPr>
            </w:pPr>
            <w:r w:rsidRPr="00AA01A1">
              <w:rPr>
                <w:rFonts w:ascii="Times New Roman" w:eastAsia="Times New Roman" w:hAnsi="Times New Roman"/>
                <w:i/>
              </w:rPr>
              <w:t>Stanovisko predkladateľa: pozitívny vplyv na limit verejných výdavkov vyznačený.</w:t>
            </w:r>
          </w:p>
          <w:p w:rsidR="005368A8" w:rsidRPr="00AA01A1" w:rsidRDefault="005368A8" w:rsidP="005368A8">
            <w:pPr>
              <w:spacing w:after="0" w:line="240" w:lineRule="auto"/>
              <w:jc w:val="both"/>
              <w:rPr>
                <w:rFonts w:ascii="Times New Roman" w:eastAsia="Times New Roman" w:hAnsi="Times New Roman"/>
              </w:rPr>
            </w:pPr>
          </w:p>
          <w:p w:rsidR="005368A8" w:rsidRPr="00AA01A1" w:rsidRDefault="005368A8" w:rsidP="005368A8">
            <w:pPr>
              <w:spacing w:after="0" w:line="240" w:lineRule="auto"/>
              <w:jc w:val="both"/>
              <w:rPr>
                <w:rFonts w:ascii="Times New Roman" w:eastAsia="Times New Roman" w:hAnsi="Times New Roman"/>
              </w:rPr>
            </w:pPr>
            <w:r w:rsidRPr="00AA01A1">
              <w:rPr>
                <w:rFonts w:ascii="Times New Roman" w:eastAsia="Times New Roman" w:hAnsi="Times New Roman"/>
              </w:rPr>
              <w:t>K sociálnym vplyvom</w:t>
            </w:r>
          </w:p>
          <w:p w:rsidR="005368A8" w:rsidRPr="00AA01A1" w:rsidRDefault="005368A8" w:rsidP="005368A8">
            <w:pPr>
              <w:spacing w:after="0" w:line="240" w:lineRule="auto"/>
              <w:jc w:val="both"/>
              <w:rPr>
                <w:rFonts w:ascii="Times New Roman" w:eastAsia="Times New Roman" w:hAnsi="Times New Roman"/>
              </w:rPr>
            </w:pPr>
            <w:r w:rsidRPr="00AA01A1">
              <w:rPr>
                <w:rFonts w:ascii="Times New Roman" w:eastAsia="Times New Roman" w:hAnsi="Times New Roman"/>
              </w:rPr>
              <w:t>V časti 4.1 analýzy sociálnych vplyvov sa popisuje  vplyv na hospodárenie domácností a v časti 4.2 sa popisuje prístup ku zdrojom. V tejto súvislosti Komisia odporúča opatrenie z časti 4.1.1.b) vypustiť a zhodnotiť iba v bode 4.2 analýzy sociálnych vplyvov</w:t>
            </w:r>
          </w:p>
          <w:p w:rsidR="002E7D33" w:rsidRPr="00AA01A1" w:rsidRDefault="002E7D33" w:rsidP="005368A8">
            <w:pPr>
              <w:spacing w:after="0" w:line="240" w:lineRule="auto"/>
              <w:jc w:val="both"/>
              <w:rPr>
                <w:rFonts w:ascii="Times New Roman" w:eastAsia="Times New Roman" w:hAnsi="Times New Roman"/>
              </w:rPr>
            </w:pPr>
          </w:p>
          <w:p w:rsidR="002E7D33" w:rsidRPr="00AA01A1" w:rsidRDefault="002E7D33" w:rsidP="005368A8">
            <w:pPr>
              <w:spacing w:after="0" w:line="240" w:lineRule="auto"/>
              <w:jc w:val="both"/>
              <w:rPr>
                <w:rFonts w:ascii="Times New Roman" w:eastAsia="Times New Roman" w:hAnsi="Times New Roman"/>
                <w:i/>
              </w:rPr>
            </w:pPr>
            <w:r w:rsidRPr="00AA01A1">
              <w:rPr>
                <w:rFonts w:ascii="Times New Roman" w:eastAsia="Times New Roman" w:hAnsi="Times New Roman"/>
                <w:i/>
              </w:rPr>
              <w:t>Stanovisko predkladateľa: opatrenie z časti 4.1.1.b) vypustené.</w:t>
            </w:r>
          </w:p>
          <w:p w:rsidR="005368A8" w:rsidRPr="00AA01A1" w:rsidRDefault="005368A8" w:rsidP="009243A8">
            <w:pPr>
              <w:spacing w:after="0" w:line="240" w:lineRule="auto"/>
              <w:jc w:val="both"/>
              <w:rPr>
                <w:rFonts w:ascii="Times New Roman" w:eastAsia="Times New Roman" w:hAnsi="Times New Roman"/>
              </w:rPr>
            </w:pPr>
          </w:p>
        </w:tc>
      </w:tr>
      <w:tr w:rsidR="00607234" w:rsidRPr="00AA01A1" w:rsidTr="00E42161">
        <w:tblPrEx>
          <w:tblBorders>
            <w:insideH w:val="single" w:sz="4" w:space="0" w:color="FFFFFF"/>
            <w:insideV w:val="single" w:sz="4" w:space="0" w:color="FFFFFF"/>
          </w:tblBorders>
        </w:tblPrEx>
        <w:tc>
          <w:tcPr>
            <w:tcW w:w="9176" w:type="dxa"/>
            <w:gridSpan w:val="7"/>
            <w:tcBorders>
              <w:top w:val="single" w:sz="4" w:space="0" w:color="auto"/>
              <w:bottom w:val="single" w:sz="4" w:space="0" w:color="FFFFFF"/>
            </w:tcBorders>
            <w:shd w:val="clear" w:color="auto" w:fill="E2E2E2"/>
          </w:tcPr>
          <w:p w:rsidR="00607234" w:rsidRPr="00AA01A1" w:rsidRDefault="00607234" w:rsidP="00607234">
            <w:pPr>
              <w:numPr>
                <w:ilvl w:val="0"/>
                <w:numId w:val="10"/>
              </w:numPr>
              <w:spacing w:after="0" w:line="240" w:lineRule="auto"/>
              <w:ind w:left="450" w:hanging="425"/>
              <w:contextualSpacing/>
              <w:jc w:val="both"/>
              <w:rPr>
                <w:rFonts w:ascii="Times New Roman" w:hAnsi="Times New Roman"/>
                <w:b/>
              </w:rPr>
            </w:pPr>
            <w:r w:rsidRPr="00AA01A1">
              <w:rPr>
                <w:rFonts w:ascii="Times New Roman" w:hAnsi="Times New Roman"/>
                <w:b/>
              </w:rPr>
              <w:lastRenderedPageBreak/>
              <w:t>Stanovisko Komisie na posudzovanie vybraných vplyvov zo záverečného posúdenia č. ..........</w:t>
            </w:r>
            <w:r w:rsidRPr="00AA01A1">
              <w:rPr>
                <w:rFonts w:ascii="Times New Roman" w:hAnsi="Times New Roman"/>
              </w:rPr>
              <w:t xml:space="preserve"> (v prípade, ak sa uskutočnilo v zmysle bodu 9.1. Jednotnej metodiky) </w:t>
            </w:r>
          </w:p>
        </w:tc>
      </w:tr>
      <w:tr w:rsidR="00607234" w:rsidRPr="00AA01A1" w:rsidTr="00E42161">
        <w:tblPrEx>
          <w:tblBorders>
            <w:insideH w:val="single" w:sz="4" w:space="0" w:color="FFFFFF"/>
            <w:insideV w:val="single" w:sz="4" w:space="0" w:color="FFFFFF"/>
          </w:tblBorders>
        </w:tblPrEx>
        <w:tc>
          <w:tcPr>
            <w:tcW w:w="9176" w:type="dxa"/>
            <w:gridSpan w:val="7"/>
            <w:tcBorders>
              <w:top w:val="single" w:sz="4" w:space="0" w:color="FFFFFF"/>
              <w:bottom w:val="single" w:sz="4" w:space="0" w:color="auto"/>
            </w:tcBorders>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07234" w:rsidRPr="00AA01A1" w:rsidTr="009243A8">
              <w:trPr>
                <w:trHeight w:val="396"/>
              </w:trPr>
              <w:tc>
                <w:tcPr>
                  <w:tcW w:w="2552" w:type="dxa"/>
                </w:tcPr>
                <w:p w:rsidR="00607234" w:rsidRPr="00AA01A1" w:rsidRDefault="005A7A72" w:rsidP="009243A8">
                  <w:pPr>
                    <w:spacing w:after="0" w:line="240" w:lineRule="auto"/>
                    <w:rPr>
                      <w:rFonts w:ascii="Times New Roman" w:eastAsia="Times New Roman" w:hAnsi="Times New Roman"/>
                      <w:b/>
                    </w:rPr>
                  </w:pPr>
                  <w:sdt>
                    <w:sdtPr>
                      <w:rPr>
                        <w:rFonts w:ascii="Times New Roman" w:eastAsia="Times New Roman" w:hAnsi="Times New Roman"/>
                        <w:b/>
                      </w:rPr>
                      <w:id w:val="888232876"/>
                      <w14:checkbox>
                        <w14:checked w14:val="0"/>
                        <w14:checkedState w14:val="2612" w14:font="MS Gothic"/>
                        <w14:uncheckedState w14:val="2610" w14:font="MS Gothic"/>
                      </w14:checkbox>
                    </w:sdtPr>
                    <w:sdtEndPr/>
                    <w:sdtContent>
                      <w:r w:rsidR="00607234" w:rsidRPr="00AA01A1">
                        <w:rPr>
                          <w:rFonts w:ascii="Segoe UI Symbol" w:eastAsia="MS Gothic" w:hAnsi="Segoe UI Symbol" w:cs="Segoe UI Symbol"/>
                          <w:b/>
                        </w:rPr>
                        <w:t>☐</w:t>
                      </w:r>
                    </w:sdtContent>
                  </w:sdt>
                  <w:r w:rsidR="00607234" w:rsidRPr="00AA01A1">
                    <w:rPr>
                      <w:rFonts w:ascii="Times New Roman" w:eastAsia="Times New Roman" w:hAnsi="Times New Roman"/>
                      <w:b/>
                    </w:rPr>
                    <w:t xml:space="preserve">   Súhlasné </w:t>
                  </w:r>
                </w:p>
              </w:tc>
              <w:tc>
                <w:tcPr>
                  <w:tcW w:w="3827" w:type="dxa"/>
                </w:tcPr>
                <w:p w:rsidR="00607234" w:rsidRPr="00AA01A1" w:rsidRDefault="005A7A72" w:rsidP="009243A8">
                  <w:pPr>
                    <w:spacing w:after="0" w:line="240" w:lineRule="auto"/>
                    <w:rPr>
                      <w:rFonts w:ascii="Times New Roman" w:eastAsia="Times New Roman" w:hAnsi="Times New Roman"/>
                      <w:b/>
                    </w:rPr>
                  </w:pPr>
                  <w:sdt>
                    <w:sdtPr>
                      <w:rPr>
                        <w:rFonts w:ascii="Times New Roman" w:eastAsia="Times New Roman" w:hAnsi="Times New Roman"/>
                        <w:b/>
                      </w:rPr>
                      <w:id w:val="953831761"/>
                      <w14:checkbox>
                        <w14:checked w14:val="0"/>
                        <w14:checkedState w14:val="2612" w14:font="MS Gothic"/>
                        <w14:uncheckedState w14:val="2610" w14:font="MS Gothic"/>
                      </w14:checkbox>
                    </w:sdtPr>
                    <w:sdtEndPr/>
                    <w:sdtContent>
                      <w:r w:rsidR="00607234" w:rsidRPr="00AA01A1">
                        <w:rPr>
                          <w:rFonts w:ascii="Segoe UI Symbol" w:eastAsia="MS Gothic" w:hAnsi="Segoe UI Symbol" w:cs="Segoe UI Symbol"/>
                          <w:b/>
                        </w:rPr>
                        <w:t>☐</w:t>
                      </w:r>
                    </w:sdtContent>
                  </w:sdt>
                  <w:r w:rsidR="00607234" w:rsidRPr="00AA01A1">
                    <w:rPr>
                      <w:rFonts w:ascii="Times New Roman" w:eastAsia="Times New Roman" w:hAnsi="Times New Roman"/>
                      <w:b/>
                    </w:rPr>
                    <w:t xml:space="preserve">  Súhlasné s  návrhom na dopracovanie</w:t>
                  </w:r>
                </w:p>
              </w:tc>
              <w:tc>
                <w:tcPr>
                  <w:tcW w:w="2534" w:type="dxa"/>
                </w:tcPr>
                <w:p w:rsidR="00607234" w:rsidRPr="00AA01A1" w:rsidRDefault="005A7A72" w:rsidP="009243A8">
                  <w:pPr>
                    <w:spacing w:after="0" w:line="240" w:lineRule="auto"/>
                    <w:ind w:right="459"/>
                    <w:rPr>
                      <w:rFonts w:ascii="Times New Roman" w:eastAsia="Times New Roman" w:hAnsi="Times New Roman"/>
                      <w:b/>
                    </w:rPr>
                  </w:pPr>
                  <w:sdt>
                    <w:sdtPr>
                      <w:rPr>
                        <w:rFonts w:ascii="Times New Roman" w:eastAsia="Times New Roman" w:hAnsi="Times New Roman"/>
                        <w:b/>
                      </w:rPr>
                      <w:id w:val="-361740452"/>
                      <w14:checkbox>
                        <w14:checked w14:val="0"/>
                        <w14:checkedState w14:val="2612" w14:font="MS Gothic"/>
                        <w14:uncheckedState w14:val="2610" w14:font="MS Gothic"/>
                      </w14:checkbox>
                    </w:sdtPr>
                    <w:sdtEndPr/>
                    <w:sdtContent>
                      <w:r w:rsidR="00607234" w:rsidRPr="00AA01A1">
                        <w:rPr>
                          <w:rFonts w:ascii="Segoe UI Symbol" w:eastAsia="MS Gothic" w:hAnsi="Segoe UI Symbol" w:cs="Segoe UI Symbol"/>
                          <w:b/>
                        </w:rPr>
                        <w:t>☐</w:t>
                      </w:r>
                    </w:sdtContent>
                  </w:sdt>
                  <w:r w:rsidR="00607234" w:rsidRPr="00AA01A1">
                    <w:rPr>
                      <w:rFonts w:ascii="Times New Roman" w:eastAsia="Times New Roman" w:hAnsi="Times New Roman"/>
                      <w:b/>
                    </w:rPr>
                    <w:t xml:space="preserve">  Nesúhlasné</w:t>
                  </w:r>
                </w:p>
              </w:tc>
            </w:tr>
          </w:tbl>
          <w:p w:rsidR="00607234" w:rsidRPr="00AA01A1" w:rsidRDefault="00607234" w:rsidP="009243A8">
            <w:pPr>
              <w:spacing w:after="0" w:line="240" w:lineRule="auto"/>
              <w:jc w:val="both"/>
              <w:rPr>
                <w:rFonts w:ascii="Times New Roman" w:eastAsia="Times New Roman" w:hAnsi="Times New Roman"/>
                <w:b/>
              </w:rPr>
            </w:pPr>
            <w:r w:rsidRPr="00AA01A1">
              <w:rPr>
                <w:rFonts w:ascii="Times New Roman" w:eastAsia="Times New Roman" w:hAnsi="Times New Roman"/>
                <w:b/>
              </w:rPr>
              <w:t>Uveďte pripomienky zo stanoviska Komisie z časti II. spolu s Vaším vyhodnotením:</w:t>
            </w:r>
          </w:p>
        </w:tc>
      </w:tr>
      <w:tr w:rsidR="00607234" w:rsidRPr="00AA01A1" w:rsidTr="00E42161">
        <w:trPr>
          <w:trHeight w:val="43"/>
        </w:trPr>
        <w:tc>
          <w:tcPr>
            <w:tcW w:w="9176" w:type="dxa"/>
            <w:gridSpan w:val="7"/>
            <w:tcBorders>
              <w:top w:val="single" w:sz="4" w:space="0" w:color="auto"/>
              <w:left w:val="nil"/>
              <w:bottom w:val="nil"/>
              <w:right w:val="nil"/>
            </w:tcBorders>
          </w:tcPr>
          <w:p w:rsidR="00607234" w:rsidRPr="00AA01A1" w:rsidRDefault="00607234" w:rsidP="009243A8">
            <w:pPr>
              <w:spacing w:after="0" w:line="240" w:lineRule="auto"/>
              <w:ind w:left="142" w:hanging="142"/>
              <w:jc w:val="both"/>
              <w:rPr>
                <w:rFonts w:ascii="Times New Roman" w:eastAsia="Times New Roman" w:hAnsi="Times New Roman"/>
              </w:rPr>
            </w:pPr>
            <w:r w:rsidRPr="00AA01A1">
              <w:rPr>
                <w:rFonts w:ascii="Times New Roman" w:eastAsia="Times New Roman" w:hAnsi="Times New Roman"/>
              </w:rPr>
              <w:t>* vyplniť iba v prípade, ak materiál nie je zahrnutý do Plánu práce vlády Slo</w:t>
            </w:r>
            <w:r w:rsidR="00190114" w:rsidRPr="00AA01A1">
              <w:rPr>
                <w:rFonts w:ascii="Times New Roman" w:eastAsia="Times New Roman" w:hAnsi="Times New Roman"/>
              </w:rPr>
              <w:t xml:space="preserve">venskej republiky alebo Plánu </w:t>
            </w:r>
            <w:r w:rsidRPr="00AA01A1">
              <w:rPr>
                <w:rFonts w:ascii="Times New Roman" w:eastAsia="Times New Roman" w:hAnsi="Times New Roman"/>
              </w:rPr>
              <w:t xml:space="preserve"> legislatívnych úloh vlády Slovenskej republiky. </w:t>
            </w:r>
          </w:p>
          <w:p w:rsidR="00607234" w:rsidRPr="00AA01A1" w:rsidRDefault="00607234" w:rsidP="009243A8">
            <w:pPr>
              <w:spacing w:after="0" w:line="240" w:lineRule="auto"/>
              <w:jc w:val="both"/>
              <w:rPr>
                <w:rFonts w:ascii="Times New Roman" w:eastAsia="Times New Roman" w:hAnsi="Times New Roman"/>
              </w:rPr>
            </w:pPr>
            <w:r w:rsidRPr="00AA01A1">
              <w:rPr>
                <w:rFonts w:ascii="Times New Roman" w:eastAsia="Times New Roman" w:hAnsi="Times New Roman"/>
              </w:rPr>
              <w:t>** vyplniť iba v prípade, ak sa záverečné posúdenie vybraných vplyvov uskutočnilo v zmysle bodu 9.1. jednotnej metodiky.</w:t>
            </w:r>
          </w:p>
          <w:p w:rsidR="00607234" w:rsidRPr="00AA01A1" w:rsidRDefault="00607234" w:rsidP="009243A8">
            <w:pPr>
              <w:spacing w:after="0" w:line="240" w:lineRule="auto"/>
              <w:jc w:val="both"/>
              <w:rPr>
                <w:rFonts w:ascii="Times New Roman" w:eastAsia="Times New Roman" w:hAnsi="Times New Roman"/>
              </w:rPr>
            </w:pPr>
            <w:r w:rsidRPr="00AA01A1">
              <w:rPr>
                <w:rFonts w:ascii="Times New Roman" w:eastAsia="Times New Roman" w:hAnsi="Times New Roman"/>
              </w:rPr>
              <w:t>*** posudzovanie sa týka len zmien v I. a II. pilieri univerzálneho systému dôchodkového zabezpečenia s identifikovaným dopadom od 0,1 % HDP (vrátane) na dlhodobom horizonte.</w:t>
            </w:r>
          </w:p>
          <w:p w:rsidR="00607234" w:rsidRPr="00AA01A1" w:rsidRDefault="00607234" w:rsidP="009243A8">
            <w:pPr>
              <w:spacing w:after="0" w:line="240" w:lineRule="auto"/>
              <w:jc w:val="both"/>
              <w:rPr>
                <w:rFonts w:ascii="Times New Roman" w:eastAsia="Times New Roman" w:hAnsi="Times New Roman"/>
                <w:b/>
              </w:rPr>
            </w:pPr>
          </w:p>
        </w:tc>
      </w:tr>
    </w:tbl>
    <w:p w:rsidR="002062D5" w:rsidRPr="00AA01A1" w:rsidRDefault="002062D5" w:rsidP="00607234">
      <w:pPr>
        <w:rPr>
          <w:rFonts w:ascii="Times New Roman" w:hAnsi="Times New Roman"/>
        </w:rPr>
      </w:pPr>
    </w:p>
    <w:sectPr w:rsidR="002062D5" w:rsidRPr="00AA01A1" w:rsidSect="00E42161">
      <w:footerReference w:type="default" r:id="rId1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A72" w:rsidRDefault="005A7A72" w:rsidP="00E42161">
      <w:pPr>
        <w:spacing w:after="0" w:line="240" w:lineRule="auto"/>
      </w:pPr>
      <w:r>
        <w:separator/>
      </w:r>
    </w:p>
  </w:endnote>
  <w:endnote w:type="continuationSeparator" w:id="0">
    <w:p w:rsidR="005A7A72" w:rsidRDefault="005A7A72" w:rsidP="00E4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412398"/>
      <w:docPartObj>
        <w:docPartGallery w:val="Page Numbers (Bottom of Page)"/>
        <w:docPartUnique/>
      </w:docPartObj>
    </w:sdtPr>
    <w:sdtEndPr/>
    <w:sdtContent>
      <w:p w:rsidR="00E42161" w:rsidRDefault="00E42161">
        <w:pPr>
          <w:pStyle w:val="Pta"/>
          <w:jc w:val="right"/>
        </w:pPr>
        <w:r>
          <w:fldChar w:fldCharType="begin"/>
        </w:r>
        <w:r>
          <w:instrText>PAGE   \* MERGEFORMAT</w:instrText>
        </w:r>
        <w:r>
          <w:fldChar w:fldCharType="separate"/>
        </w:r>
        <w:r w:rsidR="002D30D8">
          <w:rPr>
            <w:noProof/>
          </w:rPr>
          <w:t>1</w:t>
        </w:r>
        <w:r>
          <w:fldChar w:fldCharType="end"/>
        </w:r>
      </w:p>
    </w:sdtContent>
  </w:sdt>
  <w:p w:rsidR="00E42161" w:rsidRDefault="00E421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A72" w:rsidRDefault="005A7A72" w:rsidP="00E42161">
      <w:pPr>
        <w:spacing w:after="0" w:line="240" w:lineRule="auto"/>
      </w:pPr>
      <w:r>
        <w:separator/>
      </w:r>
    </w:p>
  </w:footnote>
  <w:footnote w:type="continuationSeparator" w:id="0">
    <w:p w:rsidR="005A7A72" w:rsidRDefault="005A7A72" w:rsidP="00E42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9AD"/>
    <w:multiLevelType w:val="hybridMultilevel"/>
    <w:tmpl w:val="32543CDC"/>
    <w:lvl w:ilvl="0" w:tplc="2110DCFC">
      <w:start w:val="3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5D7906"/>
    <w:multiLevelType w:val="hybridMultilevel"/>
    <w:tmpl w:val="9B7689B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0D383C"/>
    <w:multiLevelType w:val="hybridMultilevel"/>
    <w:tmpl w:val="2A44BB92"/>
    <w:styleLink w:val="Importovantl1"/>
    <w:lvl w:ilvl="0" w:tplc="5FE8D3E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9820534">
      <w:start w:val="1"/>
      <w:numFmt w:val="decimal"/>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1FE813E">
      <w:start w:val="1"/>
      <w:numFmt w:val="decimal"/>
      <w:lvlText w:val="%3."/>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5F65FC6">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3CC6834">
      <w:start w:val="1"/>
      <w:numFmt w:val="decimal"/>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5E7DA8">
      <w:start w:val="1"/>
      <w:numFmt w:val="decimal"/>
      <w:lvlText w:val="%6."/>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780C8F0">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99EB748">
      <w:start w:val="1"/>
      <w:numFmt w:val="decimal"/>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3401356">
      <w:start w:val="1"/>
      <w:numFmt w:val="decimal"/>
      <w:lvlText w:val="%9."/>
      <w:lvlJc w:val="left"/>
      <w:pPr>
        <w:tabs>
          <w:tab w:val="left" w:pos="72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2DF594D"/>
    <w:multiLevelType w:val="hybridMultilevel"/>
    <w:tmpl w:val="272E55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52ED0F2D"/>
    <w:multiLevelType w:val="hybridMultilevel"/>
    <w:tmpl w:val="30F6BB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6A66327"/>
    <w:multiLevelType w:val="hybridMultilevel"/>
    <w:tmpl w:val="8F540838"/>
    <w:lvl w:ilvl="0" w:tplc="5ABA13E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5EA80CB7"/>
    <w:multiLevelType w:val="hybridMultilevel"/>
    <w:tmpl w:val="3C1C5E3C"/>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DA57D3"/>
    <w:multiLevelType w:val="hybridMultilevel"/>
    <w:tmpl w:val="E1202C66"/>
    <w:lvl w:ilvl="0" w:tplc="15DE34D8">
      <w:start w:val="1"/>
      <w:numFmt w:val="decimal"/>
      <w:lvlText w:val="%1."/>
      <w:lvlJc w:val="left"/>
      <w:pPr>
        <w:ind w:left="720"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1" w:tplc="8FBEF5A0">
      <w:start w:val="1"/>
      <w:numFmt w:val="decimal"/>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9D4CF28">
      <w:start w:val="1"/>
      <w:numFmt w:val="decimal"/>
      <w:lvlText w:val="%3."/>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8526C9E">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77C43B0">
      <w:start w:val="1"/>
      <w:numFmt w:val="decimal"/>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22ABEBA">
      <w:start w:val="1"/>
      <w:numFmt w:val="decimal"/>
      <w:lvlText w:val="%6."/>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DCCB946">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0CBA7C">
      <w:start w:val="1"/>
      <w:numFmt w:val="decimal"/>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9444EA4">
      <w:start w:val="1"/>
      <w:numFmt w:val="decimal"/>
      <w:lvlText w:val="%9."/>
      <w:lvlJc w:val="left"/>
      <w:pPr>
        <w:tabs>
          <w:tab w:val="left" w:pos="72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6D051C6D"/>
    <w:multiLevelType w:val="hybridMultilevel"/>
    <w:tmpl w:val="2A44BB92"/>
    <w:numStyleLink w:val="Importovantl1"/>
  </w:abstractNum>
  <w:abstractNum w:abstractNumId="10"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7"/>
  </w:num>
  <w:num w:numId="2">
    <w:abstractNumId w:val="3"/>
  </w:num>
  <w:num w:numId="3">
    <w:abstractNumId w:val="5"/>
  </w:num>
  <w:num w:numId="4">
    <w:abstractNumId w:val="2"/>
  </w:num>
  <w:num w:numId="5">
    <w:abstractNumId w:val="9"/>
  </w:num>
  <w:num w:numId="6">
    <w:abstractNumId w:val="6"/>
  </w:num>
  <w:num w:numId="7">
    <w:abstractNumId w:val="8"/>
  </w:num>
  <w:num w:numId="8">
    <w:abstractNumId w:val="4"/>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10"/>
    <w:rsid w:val="00103466"/>
    <w:rsid w:val="00190114"/>
    <w:rsid w:val="002062D5"/>
    <w:rsid w:val="0026420B"/>
    <w:rsid w:val="002D30D8"/>
    <w:rsid w:val="002E7D33"/>
    <w:rsid w:val="004814FB"/>
    <w:rsid w:val="005368A8"/>
    <w:rsid w:val="005A7A72"/>
    <w:rsid w:val="00607234"/>
    <w:rsid w:val="006F625C"/>
    <w:rsid w:val="00AA01A1"/>
    <w:rsid w:val="00B92962"/>
    <w:rsid w:val="00BA1190"/>
    <w:rsid w:val="00BE0D13"/>
    <w:rsid w:val="00BE7242"/>
    <w:rsid w:val="00C131D0"/>
    <w:rsid w:val="00E42161"/>
    <w:rsid w:val="00E45A97"/>
    <w:rsid w:val="00FE1F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44951-ADA3-4849-9481-76E22E22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1F10"/>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9"/>
    <w:qFormat/>
    <w:rsid w:val="00FE1F10"/>
    <w:pPr>
      <w:keepNext/>
      <w:numPr>
        <w:numId w:val="1"/>
      </w:numPr>
      <w:spacing w:before="240" w:after="60"/>
      <w:outlineLvl w:val="0"/>
    </w:pPr>
    <w:rPr>
      <w:rFonts w:eastAsia="MS Gothic"/>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9"/>
    <w:rsid w:val="00FE1F10"/>
    <w:rPr>
      <w:rFonts w:ascii="Calibri" w:eastAsia="MS Gothic" w:hAnsi="Calibri" w:cs="Times New Roman"/>
      <w:b/>
      <w:bCs/>
      <w:kern w:val="32"/>
      <w:sz w:val="32"/>
      <w:szCs w:val="32"/>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FE1F10"/>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FE1F10"/>
    <w:rPr>
      <w:rFonts w:ascii="Times New Roman" w:eastAsia="Times New Roman" w:hAnsi="Times New Roman" w:cs="Times New Roman"/>
      <w:sz w:val="24"/>
      <w:szCs w:val="24"/>
      <w:lang w:eastAsia="cs-CZ"/>
    </w:rPr>
  </w:style>
  <w:style w:type="character" w:styleId="Zstupntext">
    <w:name w:val="Placeholder Text"/>
    <w:uiPriority w:val="99"/>
    <w:qFormat/>
    <w:rsid w:val="00FE1F10"/>
    <w:rPr>
      <w:rFonts w:ascii="Times New Roman" w:hAnsi="Times New Roman" w:cs="Times New Roman"/>
      <w:color w:val="808080"/>
    </w:rPr>
  </w:style>
  <w:style w:type="paragraph" w:styleId="Hlavika">
    <w:name w:val="header"/>
    <w:basedOn w:val="Normlny"/>
    <w:link w:val="HlavikaChar"/>
    <w:uiPriority w:val="99"/>
    <w:unhideWhenUsed/>
    <w:rsid w:val="00B92962"/>
    <w:pPr>
      <w:tabs>
        <w:tab w:val="center" w:pos="4536"/>
        <w:tab w:val="right" w:pos="9072"/>
      </w:tabs>
    </w:pPr>
  </w:style>
  <w:style w:type="character" w:customStyle="1" w:styleId="HlavikaChar">
    <w:name w:val="Hlavička Char"/>
    <w:basedOn w:val="Predvolenpsmoodseku"/>
    <w:link w:val="Hlavika"/>
    <w:uiPriority w:val="99"/>
    <w:rsid w:val="00B92962"/>
    <w:rPr>
      <w:rFonts w:ascii="Calibri" w:eastAsia="Calibri" w:hAnsi="Calibri" w:cs="Times New Roman"/>
    </w:rPr>
  </w:style>
  <w:style w:type="paragraph" w:styleId="Bezriadkovania">
    <w:name w:val="No Spacing"/>
    <w:link w:val="BezriadkovaniaChar"/>
    <w:qFormat/>
    <w:rsid w:val="00103466"/>
    <w:pPr>
      <w:spacing w:after="0" w:line="240" w:lineRule="auto"/>
    </w:pPr>
    <w:rPr>
      <w:rFonts w:ascii="Calibri" w:eastAsia="Times New Roman" w:hAnsi="Calibri" w:cs="Times New Roman"/>
    </w:rPr>
  </w:style>
  <w:style w:type="character" w:customStyle="1" w:styleId="BezriadkovaniaChar">
    <w:name w:val="Bez riadkovania Char"/>
    <w:link w:val="Bezriadkovania"/>
    <w:locked/>
    <w:rsid w:val="00103466"/>
    <w:rPr>
      <w:rFonts w:ascii="Calibri" w:eastAsia="Times New Roman" w:hAnsi="Calibri" w:cs="Times New Roman"/>
    </w:rPr>
  </w:style>
  <w:style w:type="character" w:customStyle="1" w:styleId="Hyperlink0">
    <w:name w:val="Hyperlink.0"/>
    <w:basedOn w:val="Predvolenpsmoodseku"/>
    <w:rsid w:val="00103466"/>
    <w:rPr>
      <w:rFonts w:ascii="Times New Roman" w:eastAsia="Times New Roman" w:hAnsi="Times New Roman" w:cs="Times New Roman"/>
      <w:outline w:val="0"/>
      <w:color w:val="000000"/>
      <w:sz w:val="24"/>
      <w:szCs w:val="24"/>
      <w:u w:val="none" w:color="000000"/>
      <w:shd w:val="clear" w:color="auto" w:fill="FFFFFF"/>
    </w:rPr>
  </w:style>
  <w:style w:type="numbering" w:customStyle="1" w:styleId="Importovantl1">
    <w:name w:val="Importovaný štýl 1"/>
    <w:rsid w:val="00103466"/>
    <w:pPr>
      <w:numPr>
        <w:numId w:val="4"/>
      </w:numPr>
    </w:pPr>
  </w:style>
  <w:style w:type="paragraph" w:customStyle="1" w:styleId="Predvolen">
    <w:name w:val="Predvolené"/>
    <w:rsid w:val="00103466"/>
    <w:pPr>
      <w:pBdr>
        <w:top w:val="nil"/>
        <w:left w:val="nil"/>
        <w:bottom w:val="nil"/>
        <w:right w:val="nil"/>
        <w:between w:val="nil"/>
        <w:bar w:val="nil"/>
      </w:pBdr>
      <w:spacing w:before="160" w:after="0" w:line="288" w:lineRule="auto"/>
      <w:jc w:val="left"/>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iadne">
    <w:name w:val="Žiadne"/>
    <w:rsid w:val="00103466"/>
  </w:style>
  <w:style w:type="character" w:customStyle="1" w:styleId="Hyperlink1">
    <w:name w:val="Hyperlink.1"/>
    <w:basedOn w:val="iadne"/>
    <w:rsid w:val="00103466"/>
    <w:rPr>
      <w:rFonts w:ascii="Times New Roman" w:eastAsia="Times New Roman" w:hAnsi="Times New Roman" w:cs="Times New Roman"/>
      <w:sz w:val="24"/>
      <w:szCs w:val="24"/>
    </w:rPr>
  </w:style>
  <w:style w:type="paragraph" w:styleId="Podtitul">
    <w:name w:val="Subtitle"/>
    <w:basedOn w:val="Normlny"/>
    <w:link w:val="PodtitulChar"/>
    <w:qFormat/>
    <w:rsid w:val="004814FB"/>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4814FB"/>
    <w:rPr>
      <w:rFonts w:ascii="Times New Roman" w:eastAsia="Times New Roman" w:hAnsi="Times New Roman" w:cs="Times New Roman"/>
      <w:i/>
      <w:iCs/>
      <w:sz w:val="24"/>
      <w:szCs w:val="20"/>
      <w:lang w:eastAsia="sk-SK"/>
    </w:rPr>
  </w:style>
  <w:style w:type="paragraph" w:styleId="Normlnywebov">
    <w:name w:val="Normal (Web)"/>
    <w:aliases w:val="webb"/>
    <w:basedOn w:val="Normlny"/>
    <w:unhideWhenUsed/>
    <w:qFormat/>
    <w:rsid w:val="00C131D0"/>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efault">
    <w:name w:val="Default"/>
    <w:rsid w:val="00C131D0"/>
    <w:pPr>
      <w:autoSpaceDE w:val="0"/>
      <w:autoSpaceDN w:val="0"/>
      <w:adjustRightInd w:val="0"/>
      <w:spacing w:after="0" w:line="240" w:lineRule="auto"/>
      <w:jc w:val="left"/>
    </w:pPr>
    <w:rPr>
      <w:rFonts w:ascii="Calibri" w:eastAsia="Times New Roman" w:hAnsi="Calibri" w:cs="Calibri"/>
      <w:color w:val="000000"/>
      <w:sz w:val="24"/>
      <w:szCs w:val="24"/>
      <w:lang w:eastAsia="sk-SK"/>
    </w:rPr>
  </w:style>
  <w:style w:type="paragraph" w:customStyle="1" w:styleId="elementtoproof">
    <w:name w:val="elementtoproof"/>
    <w:rsid w:val="00C131D0"/>
    <w:pPr>
      <w:pBdr>
        <w:top w:val="nil"/>
        <w:left w:val="nil"/>
        <w:bottom w:val="nil"/>
        <w:right w:val="nil"/>
        <w:between w:val="nil"/>
        <w:bar w:val="nil"/>
      </w:pBdr>
      <w:spacing w:after="0" w:line="240" w:lineRule="auto"/>
      <w:jc w:val="left"/>
    </w:pPr>
    <w:rPr>
      <w:rFonts w:ascii="Times New Roman" w:eastAsia="Arial Unicode MS" w:hAnsi="Times New Roman" w:cs="Arial Unicode MS"/>
      <w:color w:val="000000"/>
      <w:sz w:val="24"/>
      <w:szCs w:val="24"/>
      <w:u w:color="000000"/>
      <w:bdr w:val="nil"/>
      <w:lang w:eastAsia="sk-SK"/>
    </w:rPr>
  </w:style>
  <w:style w:type="character" w:styleId="Hypertextovprepojenie">
    <w:name w:val="Hyperlink"/>
    <w:uiPriority w:val="99"/>
    <w:rsid w:val="00607234"/>
    <w:rPr>
      <w:color w:val="0000FF"/>
      <w:u w:val="single"/>
    </w:rPr>
  </w:style>
  <w:style w:type="table" w:customStyle="1" w:styleId="Mriekatabuky1">
    <w:name w:val="Mriežka tabuľky1"/>
    <w:basedOn w:val="Normlnatabuka"/>
    <w:next w:val="Mriekatabuky"/>
    <w:uiPriority w:val="59"/>
    <w:rsid w:val="00607234"/>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07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E42161"/>
    <w:pPr>
      <w:tabs>
        <w:tab w:val="center" w:pos="4536"/>
        <w:tab w:val="right" w:pos="9072"/>
      </w:tabs>
      <w:spacing w:after="0" w:line="240" w:lineRule="auto"/>
    </w:pPr>
  </w:style>
  <w:style w:type="character" w:customStyle="1" w:styleId="PtaChar">
    <w:name w:val="Päta Char"/>
    <w:basedOn w:val="Predvolenpsmoodseku"/>
    <w:link w:val="Pta"/>
    <w:uiPriority w:val="99"/>
    <w:rsid w:val="00E421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IP-14-1158_sk.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on580@health.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6_Doložka-vybraných-vplyvov"/>
    <f:field ref="objsubject" par="" edit="true" text=""/>
    <f:field ref="objcreatedby" par="" text="Ďurejová, Barbora, Mgr."/>
    <f:field ref="objcreatedat" par="" text="6.6.2024 6:32:03"/>
    <f:field ref="objchangedby" par="" text="Administrator, System"/>
    <f:field ref="objmodifiedat" par="" text="6.6.2024 6:32: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2539</Words>
  <Characters>14474</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Janiš Marián</cp:lastModifiedBy>
  <cp:revision>2</cp:revision>
  <dcterms:created xsi:type="dcterms:W3CDTF">2024-08-01T06:59:00Z</dcterms:created>
  <dcterms:modified xsi:type="dcterms:W3CDTF">2024-08-01T06:59:00Z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Dominika Juck, PhD.</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 6. 2024, 13:37</vt:lpwstr>
  </property>
  <property fmtid="{D5CDD505-2E9C-101B-9397-08002B2CF9AE}" pid="132" name="FSC#SKEDITIONREG@103.510:curruserrolegroup">
    <vt:lpwstr>Odbor legislatívny</vt:lpwstr>
  </property>
  <property fmtid="{D5CDD505-2E9C-101B-9397-08002B2CF9AE}" pid="133" name="FSC#SKEDITIONREG@103.510:currusersubst">
    <vt:lpwstr>Mgr. Barbora Ďurejová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Juck, Dominika, Mgr., PhD.</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03.06.2024</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*COO.2289.100.2.2396227*</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2</vt:lpwstr>
  </property>
  <property fmtid="{D5CDD505-2E9C-101B-9397-08002B2CF9AE}" pid="364" name="FSC#COOELAK@1.1001:CurrentUserEmail">
    <vt:lpwstr>barbora.durejova@health.gov.sk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COO.2145.1000.3.6198679</vt:lpwstr>
  </property>
  <property fmtid="{D5CDD505-2E9C-101B-9397-08002B2CF9AE}" pid="397" name="FSC#FSCFOLIO@1.1001:docpropproject">
    <vt:lpwstr/>
  </property>
  <property fmtid="{D5CDD505-2E9C-101B-9397-08002B2CF9AE}" pid="398" name="FSC#SKEDITIONSLOVLEX@103.510:spravaucastverej">
    <vt:lpwstr/>
  </property>
  <property fmtid="{D5CDD505-2E9C-101B-9397-08002B2CF9AE}" pid="399" name="FSC#SKEDITIONSLOVLEX@103.510:typpredpis">
    <vt:lpwstr>Zákon</vt:lpwstr>
  </property>
  <property fmtid="{D5CDD505-2E9C-101B-9397-08002B2CF9AE}" pid="400" name="FSC#SKEDITIONSLOVLEX@103.510:aktualnyrok">
    <vt:lpwstr>2024</vt:lpwstr>
  </property>
  <property fmtid="{D5CDD505-2E9C-101B-9397-08002B2CF9AE}" pid="401" name="FSC#SKEDITIONSLOVLEX@103.510:cisloparlamenttlac">
    <vt:lpwstr/>
  </property>
  <property fmtid="{D5CDD505-2E9C-101B-9397-08002B2CF9AE}" pid="402" name="FSC#SKEDITIONSLOVLEX@103.510:stavpredpis">
    <vt:lpwstr>Vyhodnotenie medzirezortného pripomienkového konania</vt:lpwstr>
  </property>
  <property fmtid="{D5CDD505-2E9C-101B-9397-08002B2CF9AE}" pid="403" name="FSC#SKEDITIONSLOVLEX@103.510:povodpredpis">
    <vt:lpwstr>Slovlex (eLeg)</vt:lpwstr>
  </property>
  <property fmtid="{D5CDD505-2E9C-101B-9397-08002B2CF9AE}" pid="404" name="FSC#SKEDITIONSLOVLEX@103.510:legoblast">
    <vt:lpwstr>Správne právo_x000d_
Zdravotníctvo</vt:lpwstr>
  </property>
  <property fmtid="{D5CDD505-2E9C-101B-9397-08002B2CF9AE}" pid="405" name="FSC#SKEDITIONSLOVLEX@103.510:uzemplat">
    <vt:lpwstr/>
  </property>
  <property fmtid="{D5CDD505-2E9C-101B-9397-08002B2CF9AE}" pid="406" name="FSC#SKEDITIONSLOVLEX@103.510:vztahypredpis">
    <vt:lpwstr/>
  </property>
  <property fmtid="{D5CDD505-2E9C-101B-9397-08002B2CF9AE}" pid="407" name="FSC#SKEDITIONSLOVLEX@103.510:predkladatel">
    <vt:lpwstr>Mgr. Barbora Ďurejová</vt:lpwstr>
  </property>
  <property fmtid="{D5CDD505-2E9C-101B-9397-08002B2CF9AE}" pid="408" name="FSC#SKEDITIONSLOVLEX@103.510:zodppredkladatel">
    <vt:lpwstr>JUDr. Zuzana Dolinková</vt:lpwstr>
  </property>
  <property fmtid="{D5CDD505-2E9C-101B-9397-08002B2CF9AE}" pid="409" name="FSC#SKEDITIONSLOVLEX@103.510:dalsipredkladatel">
    <vt:lpwstr/>
  </property>
  <property fmtid="{D5CDD505-2E9C-101B-9397-08002B2CF9AE}" pid="410" name="FSC#SKEDITIONSLOVLEX@103.510:nazovpredpis">
    <vt:lpwstr>, ktorým sa mení a dopĺňa zákon č. 580/2004 Z. z. o zdravotnom poistení a o zmene a doplnení zákona č. 95/2002 Z. z. o poisťovníctve a o zmene a doplnení niektorých zákonov v znení neskorších predpisov a ktorým sa menia a dopĺňajú niektoré zákony </vt:lpwstr>
  </property>
  <property fmtid="{D5CDD505-2E9C-101B-9397-08002B2CF9AE}" pid="411" name="FSC#SKEDITIONSLOVLEX@103.510:nazovpredpis1">
    <vt:lpwstr/>
  </property>
  <property fmtid="{D5CDD505-2E9C-101B-9397-08002B2CF9AE}" pid="412" name="FSC#SKEDITIONSLOVLEX@103.510:nazovpredpis2">
    <vt:lpwstr/>
  </property>
  <property fmtid="{D5CDD505-2E9C-101B-9397-08002B2CF9AE}" pid="413" name="FSC#SKEDITIONSLOVLEX@103.510:nazovpredpis3">
    <vt:lpwstr/>
  </property>
  <property fmtid="{D5CDD505-2E9C-101B-9397-08002B2CF9AE}" pid="414" name="FSC#SKEDITIONSLOVLEX@103.510:cislopredpis">
    <vt:lpwstr/>
  </property>
  <property fmtid="{D5CDD505-2E9C-101B-9397-08002B2CF9AE}" pid="415" name="FSC#SKEDITIONSLOVLEX@103.510:zodpinstitucia">
    <vt:lpwstr>Ministerstvo zdravotníctva Slovenskej republiky</vt:lpwstr>
  </property>
  <property fmtid="{D5CDD505-2E9C-101B-9397-08002B2CF9AE}" pid="416" name="FSC#SKEDITIONSLOVLEX@103.510:pripomienkovatelia">
    <vt:lpwstr/>
  </property>
  <property fmtid="{D5CDD505-2E9C-101B-9397-08002B2CF9AE}" pid="417" name="FSC#SKEDITIONSLOVLEX@103.510:autorpredpis">
    <vt:lpwstr/>
  </property>
  <property fmtid="{D5CDD505-2E9C-101B-9397-08002B2CF9AE}" pid="418" name="FSC#SKEDITIONSLOVLEX@103.510:podnetpredpis">
    <vt:lpwstr>Plán legislatívnych úloh vlády na rok 2024 _x000d_
</vt:lpwstr>
  </property>
  <property fmtid="{D5CDD505-2E9C-101B-9397-08002B2CF9AE}" pid="419" name="FSC#SKEDITIONSLOVLEX@103.510:plnynazovpredpis">
    <vt:lpwstr> Zákon, ktorým sa mení a dopĺňa zákon č. 580/2004 Z. z. o zdravotnom poistení a o zmene a doplnení zákona č. 95/2002 Z. z. o poisťovníctve a o zmene a doplnení niektorých zákonov v znení neskorších predpisov a ktorým sa menia a dopĺňajú niektoré zákony </vt:lpwstr>
  </property>
  <property fmtid="{D5CDD505-2E9C-101B-9397-08002B2CF9AE}" pid="420" name="FSC#SKEDITIONSLOVLEX@103.510:plnynazovpredpis1">
    <vt:lpwstr/>
  </property>
  <property fmtid="{D5CDD505-2E9C-101B-9397-08002B2CF9AE}" pid="421" name="FSC#SKEDITIONSLOVLEX@103.510:plnynazovpredpis2">
    <vt:lpwstr/>
  </property>
  <property fmtid="{D5CDD505-2E9C-101B-9397-08002B2CF9AE}" pid="422" name="FSC#SKEDITIONSLOVLEX@103.510:plnynazovpredpis3">
    <vt:lpwstr/>
  </property>
  <property fmtid="{D5CDD505-2E9C-101B-9397-08002B2CF9AE}" pid="423" name="FSC#SKEDITIONSLOVLEX@103.510:rezortcislopredpis">
    <vt:lpwstr>S17515-2024-OL</vt:lpwstr>
  </property>
  <property fmtid="{D5CDD505-2E9C-101B-9397-08002B2CF9AE}" pid="424" name="FSC#SKEDITIONSLOVLEX@103.510:citaciapredpis">
    <vt:lpwstr/>
  </property>
  <property fmtid="{D5CDD505-2E9C-101B-9397-08002B2CF9AE}" pid="425" name="FSC#SKEDITIONSLOVLEX@103.510:spiscislouv">
    <vt:lpwstr/>
  </property>
  <property fmtid="{D5CDD505-2E9C-101B-9397-08002B2CF9AE}" pid="426" name="FSC#SKEDITIONSLOVLEX@103.510:datumschvalpredpis">
    <vt:lpwstr/>
  </property>
  <property fmtid="{D5CDD505-2E9C-101B-9397-08002B2CF9AE}" pid="427" name="FSC#SKEDITIONSLOVLEX@103.510:platneod">
    <vt:lpwstr/>
  </property>
  <property fmtid="{D5CDD505-2E9C-101B-9397-08002B2CF9AE}" pid="428" name="FSC#SKEDITIONSLOVLEX@103.510:platnedo">
    <vt:lpwstr/>
  </property>
  <property fmtid="{D5CDD505-2E9C-101B-9397-08002B2CF9AE}" pid="429" name="FSC#SKEDITIONSLOVLEX@103.510:ucinnostod">
    <vt:lpwstr/>
  </property>
  <property fmtid="{D5CDD505-2E9C-101B-9397-08002B2CF9AE}" pid="430" name="FSC#SKEDITIONSLOVLEX@103.510:ucinnostdo">
    <vt:lpwstr/>
  </property>
  <property fmtid="{D5CDD505-2E9C-101B-9397-08002B2CF9AE}" pid="431" name="FSC#SKEDITIONSLOVLEX@103.510:datumplatnosti">
    <vt:lpwstr/>
  </property>
  <property fmtid="{D5CDD505-2E9C-101B-9397-08002B2CF9AE}" pid="432" name="FSC#SKEDITIONSLOVLEX@103.510:cislolp">
    <vt:lpwstr>LP/2024/273</vt:lpwstr>
  </property>
  <property fmtid="{D5CDD505-2E9C-101B-9397-08002B2CF9AE}" pid="433" name="FSC#SKEDITIONSLOVLEX@103.510:typsprievdok">
    <vt:lpwstr>Doložka vplyvov</vt:lpwstr>
  </property>
  <property fmtid="{D5CDD505-2E9C-101B-9397-08002B2CF9AE}" pid="434" name="FSC#SKEDITIONSLOVLEX@103.510:cislopartlac">
    <vt:lpwstr/>
  </property>
  <property fmtid="{D5CDD505-2E9C-101B-9397-08002B2CF9AE}" pid="435" name="FSC#SKEDITIONSLOVLEX@103.510:AttrStrListDocPropUcelPredmetZmluvy">
    <vt:lpwstr/>
  </property>
  <property fmtid="{D5CDD505-2E9C-101B-9397-08002B2CF9AE}" pid="436" name="FSC#SKEDITIONSLOVLEX@103.510:AttrStrListDocPropUpravaPravFOPRO">
    <vt:lpwstr/>
  </property>
  <property fmtid="{D5CDD505-2E9C-101B-9397-08002B2CF9AE}" pid="437" name="FSC#SKEDITIONSLOVLEX@103.510:AttrStrListDocPropUpravaPredmetuZmluvy">
    <vt:lpwstr/>
  </property>
  <property fmtid="{D5CDD505-2E9C-101B-9397-08002B2CF9AE}" pid="438" name="FSC#SKEDITIONSLOVLEX@103.510:AttrStrListDocPropKategoriaZmluvy74">
    <vt:lpwstr/>
  </property>
  <property fmtid="{D5CDD505-2E9C-101B-9397-08002B2CF9AE}" pid="439" name="FSC#SKEDITIONSLOVLEX@103.510:AttrStrListDocPropKategoriaZmluvy75">
    <vt:lpwstr/>
  </property>
  <property fmtid="{D5CDD505-2E9C-101B-9397-08002B2CF9AE}" pid="440" name="FSC#SKEDITIONSLOVLEX@103.510:AttrStrListDocPropDopadyPrijatiaZmluvy">
    <vt:lpwstr/>
  </property>
  <property fmtid="{D5CDD505-2E9C-101B-9397-08002B2CF9AE}" pid="441" name="FSC#SKEDITIONSLOVLEX@103.510:AttrStrListDocPropProblematikaPPa">
    <vt:lpwstr/>
  </property>
  <property fmtid="{D5CDD505-2E9C-101B-9397-08002B2CF9AE}" pid="442" name="FSC#SKEDITIONSLOVLEX@103.510:AttrStrListDocPropPrimarnePravoEU">
    <vt:lpwstr/>
  </property>
  <property fmtid="{D5CDD505-2E9C-101B-9397-08002B2CF9AE}" pid="443" name="FSC#SKEDITIONSLOVLEX@103.510:AttrStrListDocPropSekundarneLegPravoPO">
    <vt:lpwstr/>
  </property>
  <property fmtid="{D5CDD505-2E9C-101B-9397-08002B2CF9AE}" pid="444" name="FSC#SKEDITIONSLOVLEX@103.510:AttrStrListDocPropSekundarneNelegPravoPO">
    <vt:lpwstr/>
  </property>
  <property fmtid="{D5CDD505-2E9C-101B-9397-08002B2CF9AE}" pid="445" name="FSC#SKEDITIONSLOVLEX@103.510:AttrStrListDocPropSekundarneLegPravoDO">
    <vt:lpwstr/>
  </property>
  <property fmtid="{D5CDD505-2E9C-101B-9397-08002B2CF9AE}" pid="446" name="FSC#SKEDITIONSLOVLEX@103.510:AttrStrListDocPropProblematikaPPb">
    <vt:lpwstr/>
  </property>
  <property fmtid="{D5CDD505-2E9C-101B-9397-08002B2CF9AE}" pid="447" name="FSC#SKEDITIONSLOVLEX@103.510:AttrStrListDocPropNazovPredpisuEU">
    <vt:lpwstr/>
  </property>
  <property fmtid="{D5CDD505-2E9C-101B-9397-08002B2CF9AE}" pid="448" name="FSC#SKEDITIONSLOVLEX@103.510:AttrStrListDocPropLehotaPrebratieSmernice">
    <vt:lpwstr/>
  </property>
  <property fmtid="{D5CDD505-2E9C-101B-9397-08002B2CF9AE}" pid="449" name="FSC#SKEDITIONSLOVLEX@103.510:AttrStrListDocPropLehotaNaPredlozenie">
    <vt:lpwstr/>
  </property>
  <property fmtid="{D5CDD505-2E9C-101B-9397-08002B2CF9AE}" pid="450" name="FSC#SKEDITIONSLOVLEX@103.510:AttrStrListDocPropInfoZaciatokKonania">
    <vt:lpwstr/>
  </property>
  <property fmtid="{D5CDD505-2E9C-101B-9397-08002B2CF9AE}" pid="451" name="FSC#SKEDITIONSLOVLEX@103.510:AttrStrListDocPropInfoUzPreberanePP">
    <vt:lpwstr/>
  </property>
  <property fmtid="{D5CDD505-2E9C-101B-9397-08002B2CF9AE}" pid="452" name="FSC#SKEDITIONSLOVLEX@103.510:AttrStrListDocPropStupenZlucitelnostiPP">
    <vt:lpwstr/>
  </property>
  <property fmtid="{D5CDD505-2E9C-101B-9397-08002B2CF9AE}" pid="453" name="FSC#SKEDITIONSLOVLEX@103.510:AttrStrListDocPropGestorSpolupRezorty">
    <vt:lpwstr/>
  </property>
  <property fmtid="{D5CDD505-2E9C-101B-9397-08002B2CF9AE}" pid="454" name="FSC#SKEDITIONSLOVLEX@103.510:AttrDateDocPropZaciatokPKK">
    <vt:lpwstr/>
  </property>
  <property fmtid="{D5CDD505-2E9C-101B-9397-08002B2CF9AE}" pid="455" name="FSC#SKEDITIONSLOVLEX@103.510:AttrDateDocPropUkonceniePKK">
    <vt:lpwstr/>
  </property>
  <property fmtid="{D5CDD505-2E9C-101B-9397-08002B2CF9AE}" pid="456" name="FSC#SKEDITIONSLOVLEX@103.510:AttrStrDocPropVplyvRozpocetVS">
    <vt:lpwstr/>
  </property>
  <property fmtid="{D5CDD505-2E9C-101B-9397-08002B2CF9AE}" pid="457" name="FSC#SKEDITIONSLOVLEX@103.510:AttrStrDocPropVplyvPodnikatelskeProstr">
    <vt:lpwstr/>
  </property>
  <property fmtid="{D5CDD505-2E9C-101B-9397-08002B2CF9AE}" pid="458" name="FSC#SKEDITIONSLOVLEX@103.510:AttrStrDocPropVplyvSocialny">
    <vt:lpwstr/>
  </property>
  <property fmtid="{D5CDD505-2E9C-101B-9397-08002B2CF9AE}" pid="459" name="FSC#SKEDITIONSLOVLEX@103.510:AttrStrDocPropVplyvNaZivotProstr">
    <vt:lpwstr/>
  </property>
  <property fmtid="{D5CDD505-2E9C-101B-9397-08002B2CF9AE}" pid="460" name="FSC#SKEDITIONSLOVLEX@103.510:AttrStrDocPropVplyvNaInformatizaciu">
    <vt:lpwstr/>
  </property>
  <property fmtid="{D5CDD505-2E9C-101B-9397-08002B2CF9AE}" pid="461" name="FSC#SKEDITIONSLOVLEX@103.510:AttrStrListDocPropPoznamkaVplyv">
    <vt:lpwstr/>
  </property>
  <property fmtid="{D5CDD505-2E9C-101B-9397-08002B2CF9AE}" pid="462" name="FSC#SKEDITIONSLOVLEX@103.510:AttrStrListDocPropAltRiesenia">
    <vt:lpwstr/>
  </property>
  <property fmtid="{D5CDD505-2E9C-101B-9397-08002B2CF9AE}" pid="463" name="FSC#SKEDITIONSLOVLEX@103.510:AttrStrListDocPropStanoviskoGest">
    <vt:lpwstr/>
  </property>
  <property fmtid="{D5CDD505-2E9C-101B-9397-08002B2CF9AE}" pid="464" name="FSC#SKEDITIONSLOVLEX@103.510:AttrStrListDocPropTextKomunike">
    <vt:lpwstr/>
  </property>
  <property fmtid="{D5CDD505-2E9C-101B-9397-08002B2CF9AE}" pid="465" name="FSC#SKEDITIONSLOVLEX@103.510:AttrStrListDocPropUznesenieCastA">
    <vt:lpwstr/>
  </property>
  <property fmtid="{D5CDD505-2E9C-101B-9397-08002B2CF9AE}" pid="466" name="FSC#SKEDITIONSLOVLEX@103.510:AttrStrListDocPropUznesenieZodpovednyA1">
    <vt:lpwstr/>
  </property>
  <property fmtid="{D5CDD505-2E9C-101B-9397-08002B2CF9AE}" pid="467" name="FSC#SKEDITIONSLOVLEX@103.510:AttrStrListDocPropUznesenieTextA1">
    <vt:lpwstr/>
  </property>
  <property fmtid="{D5CDD505-2E9C-101B-9397-08002B2CF9AE}" pid="468" name="FSC#SKEDITIONSLOVLEX@103.510:AttrStrListDocPropUznesenieTerminA1">
    <vt:lpwstr/>
  </property>
  <property fmtid="{D5CDD505-2E9C-101B-9397-08002B2CF9AE}" pid="469" name="FSC#SKEDITIONSLOVLEX@103.510:AttrStrListDocPropUznesenieBODA1">
    <vt:lpwstr/>
  </property>
  <property fmtid="{D5CDD505-2E9C-101B-9397-08002B2CF9AE}" pid="470" name="FSC#SKEDITIONSLOVLEX@103.510:AttrStrListDocPropUznesenieZodpovednyA2">
    <vt:lpwstr/>
  </property>
  <property fmtid="{D5CDD505-2E9C-101B-9397-08002B2CF9AE}" pid="471" name="FSC#SKEDITIONSLOVLEX@103.510:AttrStrListDocPropUznesenieTextA2">
    <vt:lpwstr/>
  </property>
  <property fmtid="{D5CDD505-2E9C-101B-9397-08002B2CF9AE}" pid="472" name="FSC#SKEDITIONSLOVLEX@103.510:AttrStrListDocPropUznesenieTerminA2">
    <vt:lpwstr/>
  </property>
  <property fmtid="{D5CDD505-2E9C-101B-9397-08002B2CF9AE}" pid="473" name="FSC#SKEDITIONSLOVLEX@103.510:AttrStrListDocPropUznesenieBODA3">
    <vt:lpwstr/>
  </property>
  <property fmtid="{D5CDD505-2E9C-101B-9397-08002B2CF9AE}" pid="474" name="FSC#SKEDITIONSLOVLEX@103.510:AttrStrListDocPropUznesenieZodpovednyA3">
    <vt:lpwstr/>
  </property>
  <property fmtid="{D5CDD505-2E9C-101B-9397-08002B2CF9AE}" pid="475" name="FSC#SKEDITIONSLOVLEX@103.510:AttrStrListDocPropUznesenieTextA3">
    <vt:lpwstr/>
  </property>
  <property fmtid="{D5CDD505-2E9C-101B-9397-08002B2CF9AE}" pid="476" name="FSC#SKEDITIONSLOVLEX@103.510:AttrStrListDocPropUznesenieTerminA3">
    <vt:lpwstr/>
  </property>
  <property fmtid="{D5CDD505-2E9C-101B-9397-08002B2CF9AE}" pid="477" name="FSC#SKEDITIONSLOVLEX@103.510:AttrStrListDocPropUznesenieBODA4">
    <vt:lpwstr/>
  </property>
  <property fmtid="{D5CDD505-2E9C-101B-9397-08002B2CF9AE}" pid="478" name="FSC#SKEDITIONSLOVLEX@103.510:AttrStrListDocPropUznesenieZodpovednyA4">
    <vt:lpwstr/>
  </property>
  <property fmtid="{D5CDD505-2E9C-101B-9397-08002B2CF9AE}" pid="479" name="FSC#SKEDITIONSLOVLEX@103.510:AttrStrListDocPropUznesenieTextA4">
    <vt:lpwstr/>
  </property>
  <property fmtid="{D5CDD505-2E9C-101B-9397-08002B2CF9AE}" pid="480" name="FSC#SKEDITIONSLOVLEX@103.510:AttrStrListDocPropUznesenieTerminA4">
    <vt:lpwstr/>
  </property>
  <property fmtid="{D5CDD505-2E9C-101B-9397-08002B2CF9AE}" pid="481" name="FSC#SKEDITIONSLOVLEX@103.510:AttrStrListDocPropUznesenieCastB">
    <vt:lpwstr/>
  </property>
  <property fmtid="{D5CDD505-2E9C-101B-9397-08002B2CF9AE}" pid="482" name="FSC#SKEDITIONSLOVLEX@103.510:AttrStrListDocPropUznesenieBODB1">
    <vt:lpwstr/>
  </property>
  <property fmtid="{D5CDD505-2E9C-101B-9397-08002B2CF9AE}" pid="483" name="FSC#SKEDITIONSLOVLEX@103.510:AttrStrListDocPropUznesenieZodpovednyB1">
    <vt:lpwstr/>
  </property>
  <property fmtid="{D5CDD505-2E9C-101B-9397-08002B2CF9AE}" pid="484" name="FSC#SKEDITIONSLOVLEX@103.510:AttrStrListDocPropUznesenieTextB1">
    <vt:lpwstr/>
  </property>
  <property fmtid="{D5CDD505-2E9C-101B-9397-08002B2CF9AE}" pid="485" name="FSC#SKEDITIONSLOVLEX@103.510:AttrStrListDocPropUznesenieTerminB1">
    <vt:lpwstr/>
  </property>
  <property fmtid="{D5CDD505-2E9C-101B-9397-08002B2CF9AE}" pid="486" name="FSC#SKEDITIONSLOVLEX@103.510:AttrStrListDocPropUznesenieBODB2">
    <vt:lpwstr/>
  </property>
  <property fmtid="{D5CDD505-2E9C-101B-9397-08002B2CF9AE}" pid="487" name="FSC#SKEDITIONSLOVLEX@103.510:AttrStrListDocPropUznesenieZodpovednyB2">
    <vt:lpwstr/>
  </property>
  <property fmtid="{D5CDD505-2E9C-101B-9397-08002B2CF9AE}" pid="488" name="FSC#SKEDITIONSLOVLEX@103.510:AttrStrListDocPropUznesenieTextB2">
    <vt:lpwstr/>
  </property>
  <property fmtid="{D5CDD505-2E9C-101B-9397-08002B2CF9AE}" pid="489" name="FSC#SKEDITIONSLOVLEX@103.510:AttrStrListDocPropUznesenieTerminB2">
    <vt:lpwstr/>
  </property>
  <property fmtid="{D5CDD505-2E9C-101B-9397-08002B2CF9AE}" pid="490" name="FSC#SKEDITIONSLOVLEX@103.510:AttrStrListDocPropUznesenieBODB3">
    <vt:lpwstr/>
  </property>
  <property fmtid="{D5CDD505-2E9C-101B-9397-08002B2CF9AE}" pid="491" name="FSC#SKEDITIONSLOVLEX@103.510:AttrStrListDocPropUznesenieZodpovednyB3">
    <vt:lpwstr/>
  </property>
  <property fmtid="{D5CDD505-2E9C-101B-9397-08002B2CF9AE}" pid="492" name="FSC#SKEDITIONSLOVLEX@103.510:AttrStrListDocPropUznesenieTextB3">
    <vt:lpwstr/>
  </property>
  <property fmtid="{D5CDD505-2E9C-101B-9397-08002B2CF9AE}" pid="493" name="FSC#SKEDITIONSLOVLEX@103.510:AttrStrListDocPropUznesenieTerminB3">
    <vt:lpwstr/>
  </property>
  <property fmtid="{D5CDD505-2E9C-101B-9397-08002B2CF9AE}" pid="494" name="FSC#SKEDITIONSLOVLEX@103.510:AttrStrListDocPropUznesenieBODB4">
    <vt:lpwstr/>
  </property>
  <property fmtid="{D5CDD505-2E9C-101B-9397-08002B2CF9AE}" pid="495" name="FSC#SKEDITIONSLOVLEX@103.510:AttrStrListDocPropUznesenieZodpovednyB4">
    <vt:lpwstr/>
  </property>
  <property fmtid="{D5CDD505-2E9C-101B-9397-08002B2CF9AE}" pid="496" name="FSC#SKEDITIONSLOVLEX@103.510:AttrStrListDocPropUznesenieTextB4">
    <vt:lpwstr/>
  </property>
  <property fmtid="{D5CDD505-2E9C-101B-9397-08002B2CF9AE}" pid="497" name="FSC#SKEDITIONSLOVLEX@103.510:AttrStrListDocPropUznesenieTerminB4">
    <vt:lpwstr/>
  </property>
  <property fmtid="{D5CDD505-2E9C-101B-9397-08002B2CF9AE}" pid="498" name="FSC#SKEDITIONSLOVLEX@103.510:AttrStrListDocPropUznesenieCastC">
    <vt:lpwstr/>
  </property>
  <property fmtid="{D5CDD505-2E9C-101B-9397-08002B2CF9AE}" pid="499" name="FSC#SKEDITIONSLOVLEX@103.510:AttrStrListDocPropUznesenieBODC1">
    <vt:lpwstr/>
  </property>
  <property fmtid="{D5CDD505-2E9C-101B-9397-08002B2CF9AE}" pid="500" name="FSC#SKEDITIONSLOVLEX@103.510:AttrStrListDocPropUznesenieZodpovednyC1">
    <vt:lpwstr/>
  </property>
  <property fmtid="{D5CDD505-2E9C-101B-9397-08002B2CF9AE}" pid="501" name="FSC#SKEDITIONSLOVLEX@103.510:AttrStrListDocPropUznesenieTextC1">
    <vt:lpwstr/>
  </property>
  <property fmtid="{D5CDD505-2E9C-101B-9397-08002B2CF9AE}" pid="502" name="FSC#SKEDITIONSLOVLEX@103.510:AttrStrListDocPropUznesenieTerminC1">
    <vt:lpwstr/>
  </property>
  <property fmtid="{D5CDD505-2E9C-101B-9397-08002B2CF9AE}" pid="503" name="FSC#SKEDITIONSLOVLEX@103.510:AttrStrListDocPropUznesenieBODC2">
    <vt:lpwstr/>
  </property>
  <property fmtid="{D5CDD505-2E9C-101B-9397-08002B2CF9AE}" pid="504" name="FSC#SKEDITIONSLOVLEX@103.510:AttrStrListDocPropUznesenieZodpovednyC2">
    <vt:lpwstr/>
  </property>
  <property fmtid="{D5CDD505-2E9C-101B-9397-08002B2CF9AE}" pid="505" name="FSC#SKEDITIONSLOVLEX@103.510:AttrStrListDocPropUznesenieTextC2">
    <vt:lpwstr/>
  </property>
  <property fmtid="{D5CDD505-2E9C-101B-9397-08002B2CF9AE}" pid="506" name="FSC#SKEDITIONSLOVLEX@103.510:AttrStrListDocPropUznesenieTerminC2">
    <vt:lpwstr/>
  </property>
  <property fmtid="{D5CDD505-2E9C-101B-9397-08002B2CF9AE}" pid="507" name="FSC#SKEDITIONSLOVLEX@103.510:AttrStrListDocPropUznesenieBODC3">
    <vt:lpwstr/>
  </property>
  <property fmtid="{D5CDD505-2E9C-101B-9397-08002B2CF9AE}" pid="508" name="FSC#SKEDITIONSLOVLEX@103.510:AttrStrListDocPropUznesenieZodpovednyC3">
    <vt:lpwstr/>
  </property>
  <property fmtid="{D5CDD505-2E9C-101B-9397-08002B2CF9AE}" pid="509" name="FSC#SKEDITIONSLOVLEX@103.510:AttrStrListDocPropUznesenieTextC3">
    <vt:lpwstr/>
  </property>
  <property fmtid="{D5CDD505-2E9C-101B-9397-08002B2CF9AE}" pid="510" name="FSC#SKEDITIONSLOVLEX@103.510:AttrStrListDocPropUznesenieTerminC3">
    <vt:lpwstr/>
  </property>
  <property fmtid="{D5CDD505-2E9C-101B-9397-08002B2CF9AE}" pid="511" name="FSC#SKEDITIONSLOVLEX@103.510:AttrStrListDocPropUznesenieBODC4">
    <vt:lpwstr/>
  </property>
  <property fmtid="{D5CDD505-2E9C-101B-9397-08002B2CF9AE}" pid="512" name="FSC#SKEDITIONSLOVLEX@103.510:AttrStrListDocPropUznesenieZodpovednyC4">
    <vt:lpwstr/>
  </property>
  <property fmtid="{D5CDD505-2E9C-101B-9397-08002B2CF9AE}" pid="513" name="FSC#SKEDITIONSLOVLEX@103.510:AttrStrListDocPropUznesenieTextC4">
    <vt:lpwstr/>
  </property>
  <property fmtid="{D5CDD505-2E9C-101B-9397-08002B2CF9AE}" pid="514" name="FSC#SKEDITIONSLOVLEX@103.510:AttrStrListDocPropUznesenieTerminC4">
    <vt:lpwstr/>
  </property>
  <property fmtid="{D5CDD505-2E9C-101B-9397-08002B2CF9AE}" pid="515" name="FSC#SKEDITIONSLOVLEX@103.510:AttrStrListDocPropUznesenieCastD">
    <vt:lpwstr/>
  </property>
  <property fmtid="{D5CDD505-2E9C-101B-9397-08002B2CF9AE}" pid="516" name="FSC#SKEDITIONSLOVLEX@103.510:AttrStrListDocPropUznesenieBODD1">
    <vt:lpwstr/>
  </property>
  <property fmtid="{D5CDD505-2E9C-101B-9397-08002B2CF9AE}" pid="517" name="FSC#SKEDITIONSLOVLEX@103.510:AttrStrListDocPropUznesenieZodpovednyD1">
    <vt:lpwstr/>
  </property>
  <property fmtid="{D5CDD505-2E9C-101B-9397-08002B2CF9AE}" pid="518" name="FSC#SKEDITIONSLOVLEX@103.510:AttrStrListDocPropUznesenieTextD1">
    <vt:lpwstr/>
  </property>
  <property fmtid="{D5CDD505-2E9C-101B-9397-08002B2CF9AE}" pid="519" name="FSC#SKEDITIONSLOVLEX@103.510:AttrStrListDocPropUznesenieTerminD1">
    <vt:lpwstr/>
  </property>
  <property fmtid="{D5CDD505-2E9C-101B-9397-08002B2CF9AE}" pid="520" name="FSC#SKEDITIONSLOVLEX@103.510:AttrStrListDocPropUznesenieBODD2">
    <vt:lpwstr/>
  </property>
  <property fmtid="{D5CDD505-2E9C-101B-9397-08002B2CF9AE}" pid="521" name="FSC#SKEDITIONSLOVLEX@103.510:AttrStrListDocPropUznesenieZodpovednyD2">
    <vt:lpwstr/>
  </property>
  <property fmtid="{D5CDD505-2E9C-101B-9397-08002B2CF9AE}" pid="522" name="FSC#SKEDITIONSLOVLEX@103.510:AttrStrListDocPropUznesenieTextD2">
    <vt:lpwstr/>
  </property>
  <property fmtid="{D5CDD505-2E9C-101B-9397-08002B2CF9AE}" pid="523" name="FSC#SKEDITIONSLOVLEX@103.510:AttrStrListDocPropUznesenieTerminD2">
    <vt:lpwstr/>
  </property>
  <property fmtid="{D5CDD505-2E9C-101B-9397-08002B2CF9AE}" pid="524" name="FSC#SKEDITIONSLOVLEX@103.510:AttrStrListDocPropUznesenieBODD3">
    <vt:lpwstr/>
  </property>
  <property fmtid="{D5CDD505-2E9C-101B-9397-08002B2CF9AE}" pid="525" name="FSC#SKEDITIONSLOVLEX@103.510:AttrStrListDocPropUznesenieZodpovednyD3">
    <vt:lpwstr/>
  </property>
  <property fmtid="{D5CDD505-2E9C-101B-9397-08002B2CF9AE}" pid="526" name="FSC#SKEDITIONSLOVLEX@103.510:AttrStrListDocPropUznesenieTextD3">
    <vt:lpwstr/>
  </property>
  <property fmtid="{D5CDD505-2E9C-101B-9397-08002B2CF9AE}" pid="527" name="FSC#SKEDITIONSLOVLEX@103.510:AttrStrListDocPropUznesenieTerminD3">
    <vt:lpwstr/>
  </property>
  <property fmtid="{D5CDD505-2E9C-101B-9397-08002B2CF9AE}" pid="528" name="FSC#SKEDITIONSLOVLEX@103.510:AttrStrListDocPropUznesenieBODD4">
    <vt:lpwstr/>
  </property>
  <property fmtid="{D5CDD505-2E9C-101B-9397-08002B2CF9AE}" pid="529" name="FSC#SKEDITIONSLOVLEX@103.510:AttrStrListDocPropUznesenieZodpovednyD4">
    <vt:lpwstr/>
  </property>
  <property fmtid="{D5CDD505-2E9C-101B-9397-08002B2CF9AE}" pid="530" name="FSC#SKEDITIONSLOVLEX@103.510:AttrStrListDocPropUznesenieTextD4">
    <vt:lpwstr/>
  </property>
  <property fmtid="{D5CDD505-2E9C-101B-9397-08002B2CF9AE}" pid="531" name="FSC#SKEDITIONSLOVLEX@103.510:AttrStrListDocPropUznesenieTerminD4">
    <vt:lpwstr/>
  </property>
  <property fmtid="{D5CDD505-2E9C-101B-9397-08002B2CF9AE}" pid="532" name="FSC#SKEDITIONSLOVLEX@103.510:AttrStrListDocPropUznesenieVykonaju">
    <vt:lpwstr/>
  </property>
  <property fmtid="{D5CDD505-2E9C-101B-9397-08002B2CF9AE}" pid="533" name="FSC#SKEDITIONSLOVLEX@103.510:AttrStrListDocPropUznesenieNaVedomie">
    <vt:lpwstr/>
  </property>
  <property fmtid="{D5CDD505-2E9C-101B-9397-08002B2CF9AE}" pid="534" name="FSC#SKEDITIONSLOVLEX@103.510:funkciaPred">
    <vt:lpwstr/>
  </property>
  <property fmtid="{D5CDD505-2E9C-101B-9397-08002B2CF9AE}" pid="535" name="FSC#SKEDITIONSLOVLEX@103.510:funkciaPredAkuzativ">
    <vt:lpwstr/>
  </property>
  <property fmtid="{D5CDD505-2E9C-101B-9397-08002B2CF9AE}" pid="536" name="FSC#SKEDITIONSLOVLEX@103.510:funkciaPredDativ">
    <vt:lpwstr/>
  </property>
  <property fmtid="{D5CDD505-2E9C-101B-9397-08002B2CF9AE}" pid="537" name="FSC#SKEDITIONSLOVLEX@103.510:funkciaZodpPred">
    <vt:lpwstr>Ministerka zdravotníctva SR</vt:lpwstr>
  </property>
  <property fmtid="{D5CDD505-2E9C-101B-9397-08002B2CF9AE}" pid="538" name="FSC#SKEDITIONSLOVLEX@103.510:funkciaZodpPredAkuzativ">
    <vt:lpwstr>Ministerky zdravotníctva SR</vt:lpwstr>
  </property>
  <property fmtid="{D5CDD505-2E9C-101B-9397-08002B2CF9AE}" pid="539" name="FSC#SKEDITIONSLOVLEX@103.510:funkciaZodpPredDativ">
    <vt:lpwstr>Ministerke zdravotníctva SR</vt:lpwstr>
  </property>
  <property fmtid="{D5CDD505-2E9C-101B-9397-08002B2CF9AE}" pid="540" name="FSC#SKEDITIONSLOVLEX@103.510:funkciaDalsiPred">
    <vt:lpwstr/>
  </property>
  <property fmtid="{D5CDD505-2E9C-101B-9397-08002B2CF9AE}" pid="541" name="FSC#SKEDITIONSLOVLEX@103.510:funkciaDalsiPredAkuzativ">
    <vt:lpwstr/>
  </property>
  <property fmtid="{D5CDD505-2E9C-101B-9397-08002B2CF9AE}" pid="542" name="FSC#SKEDITIONSLOVLEX@103.510:funkciaDalsiPredDativ">
    <vt:lpwstr/>
  </property>
  <property fmtid="{D5CDD505-2E9C-101B-9397-08002B2CF9AE}" pid="543" name="FSC#SKEDITIONSLOVLEX@103.510:predkladateliaObalSD">
    <vt:lpwstr>JUDr. Zuzana Dolinková_x000d_
Ministerka zdravotníctva SR</vt:lpwstr>
  </property>
  <property fmtid="{D5CDD505-2E9C-101B-9397-08002B2CF9AE}" pid="544" name="FSC#SKEDITIONSLOVLEX@103.510:AttrStrListDocPropTextVseobPrilohy">
    <vt:lpwstr/>
  </property>
  <property fmtid="{D5CDD505-2E9C-101B-9397-08002B2CF9AE}" pid="545" name="FSC#SKEDITIONSLOVLEX@103.510:AttrStrListDocPropTextPredklSpravy">
    <vt:lpwstr/>
  </property>
  <property fmtid="{D5CDD505-2E9C-101B-9397-08002B2CF9AE}" pid="546" name="FSC#SKEDITIONSLOVLEX@103.510:vytvorenedna">
    <vt:lpwstr>6. 6. 2024</vt:lpwstr>
  </property>
</Properties>
</file>