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C96389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C96389">
        <w:rPr>
          <w:b/>
          <w:caps/>
          <w:spacing w:val="30"/>
          <w:sz w:val="25"/>
          <w:szCs w:val="25"/>
        </w:rPr>
        <w:t>Doložka zlučiteľnosti</w:t>
      </w:r>
    </w:p>
    <w:p w:rsidR="001F0AA3" w:rsidRPr="00C96389" w:rsidRDefault="00C12975" w:rsidP="00DC377E">
      <w:pPr>
        <w:jc w:val="center"/>
        <w:rPr>
          <w:b/>
          <w:sz w:val="25"/>
          <w:szCs w:val="25"/>
        </w:rPr>
      </w:pPr>
      <w:r w:rsidRPr="00C96389">
        <w:rPr>
          <w:b/>
          <w:sz w:val="25"/>
          <w:szCs w:val="25"/>
        </w:rPr>
        <w:t xml:space="preserve">návrhu </w:t>
      </w:r>
      <w:r w:rsidR="007E3448" w:rsidRPr="00C96389">
        <w:rPr>
          <w:b/>
          <w:sz w:val="25"/>
          <w:szCs w:val="25"/>
        </w:rPr>
        <w:t>zákona</w:t>
      </w:r>
      <w:r w:rsidR="00DC377E" w:rsidRPr="00C96389">
        <w:rPr>
          <w:b/>
          <w:sz w:val="25"/>
          <w:szCs w:val="25"/>
        </w:rPr>
        <w:t xml:space="preserve"> s právom Európskej únie</w:t>
      </w:r>
    </w:p>
    <w:p w:rsidR="00DC377E" w:rsidRPr="00C96389" w:rsidRDefault="00DC377E" w:rsidP="00DC377E">
      <w:pPr>
        <w:jc w:val="center"/>
        <w:rPr>
          <w:b/>
          <w:sz w:val="25"/>
          <w:szCs w:val="25"/>
        </w:rPr>
      </w:pPr>
    </w:p>
    <w:p w:rsidR="00DC377E" w:rsidRPr="00C96389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47" w:type="dxa"/>
          </w:tcPr>
          <w:p w:rsidR="001F0AA3" w:rsidRPr="00C96389" w:rsidRDefault="007E3448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Navrhovateľ zákona</w:t>
            </w:r>
            <w:r w:rsidR="001F0AA3" w:rsidRPr="00C96389">
              <w:rPr>
                <w:b/>
                <w:sz w:val="25"/>
                <w:szCs w:val="25"/>
              </w:rPr>
              <w:t>:</w:t>
            </w:r>
            <w:r w:rsidR="00632C56" w:rsidRPr="00C96389">
              <w:rPr>
                <w:sz w:val="25"/>
                <w:szCs w:val="25"/>
              </w:rPr>
              <w:t xml:space="preserve"> </w:t>
            </w:r>
            <w:r w:rsidR="004A5AE2" w:rsidRPr="00C96389">
              <w:rPr>
                <w:sz w:val="25"/>
                <w:szCs w:val="25"/>
              </w:rPr>
              <w:t xml:space="preserve">Ministerstvo školstva, výskumu, vývoja a mládeže Slovenskej republiky  </w:t>
            </w:r>
          </w:p>
        </w:tc>
      </w:tr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47" w:type="dxa"/>
          </w:tcPr>
          <w:p w:rsidR="006E1D9C" w:rsidRPr="00C96389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47" w:type="dxa"/>
          </w:tcPr>
          <w:p w:rsidR="001F0AA3" w:rsidRPr="00C96389" w:rsidRDefault="001F0AA3" w:rsidP="004A5AE2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 xml:space="preserve">Názov návrhu </w:t>
            </w:r>
            <w:r w:rsidR="007E3448" w:rsidRPr="00C96389">
              <w:rPr>
                <w:b/>
                <w:sz w:val="25"/>
                <w:szCs w:val="25"/>
              </w:rPr>
              <w:t>zákona</w:t>
            </w:r>
            <w:r w:rsidRPr="00C96389">
              <w:rPr>
                <w:b/>
                <w:sz w:val="25"/>
                <w:szCs w:val="25"/>
              </w:rPr>
              <w:t>:</w:t>
            </w:r>
            <w:r w:rsidR="00632C56" w:rsidRPr="00C96389">
              <w:rPr>
                <w:sz w:val="25"/>
                <w:szCs w:val="25"/>
              </w:rPr>
              <w:t xml:space="preserve"> </w:t>
            </w:r>
            <w:r w:rsidR="00632C56" w:rsidRPr="00C96389">
              <w:rPr>
                <w:sz w:val="25"/>
                <w:szCs w:val="25"/>
              </w:rPr>
              <w:fldChar w:fldCharType="begin"/>
            </w:r>
            <w:r w:rsidR="00632C56" w:rsidRPr="00C96389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C96389">
              <w:rPr>
                <w:sz w:val="25"/>
                <w:szCs w:val="25"/>
              </w:rPr>
              <w:fldChar w:fldCharType="separate"/>
            </w:r>
            <w:r w:rsidR="002B791F" w:rsidRPr="00C96389">
              <w:rPr>
                <w:sz w:val="25"/>
                <w:szCs w:val="25"/>
              </w:rPr>
              <w:t xml:space="preserve"> </w:t>
            </w:r>
            <w:r w:rsidR="00632C56" w:rsidRPr="00C96389">
              <w:rPr>
                <w:sz w:val="25"/>
                <w:szCs w:val="25"/>
              </w:rPr>
              <w:fldChar w:fldCharType="end"/>
            </w:r>
            <w:r w:rsidR="004A5AE2" w:rsidRPr="00C96389">
              <w:t xml:space="preserve"> Zákon, ktorým sa mení a dopĺňa  zákon č. 597/2003 Z. z. o financovaní základných škôl, stredných škôl a školských zariadení v znení neskorších predpisov a ktorým sa menia  dopĺňajú niektoré zákony</w:t>
            </w:r>
            <w:r w:rsidR="003C18B1" w:rsidRPr="00C96389">
              <w:rPr>
                <w:sz w:val="25"/>
                <w:szCs w:val="25"/>
              </w:rPr>
              <w:t xml:space="preserve"> </w:t>
            </w:r>
            <w:r w:rsidR="00DB3DB1" w:rsidRPr="00C96389">
              <w:rPr>
                <w:sz w:val="25"/>
                <w:szCs w:val="25"/>
              </w:rPr>
              <w:fldChar w:fldCharType="begin"/>
            </w:r>
            <w:r w:rsidR="00DB3DB1" w:rsidRPr="00C96389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C96389">
              <w:rPr>
                <w:sz w:val="25"/>
                <w:szCs w:val="25"/>
              </w:rPr>
              <w:fldChar w:fldCharType="end"/>
            </w:r>
            <w:r w:rsidR="00DB3DB1" w:rsidRPr="00C96389">
              <w:rPr>
                <w:sz w:val="25"/>
                <w:szCs w:val="25"/>
              </w:rPr>
              <w:fldChar w:fldCharType="begin"/>
            </w:r>
            <w:r w:rsidR="00DB3DB1" w:rsidRPr="00C96389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C96389">
              <w:rPr>
                <w:sz w:val="25"/>
                <w:szCs w:val="25"/>
              </w:rPr>
              <w:fldChar w:fldCharType="end"/>
            </w:r>
            <w:r w:rsidR="00DB3DB1" w:rsidRPr="00C96389">
              <w:rPr>
                <w:sz w:val="25"/>
                <w:szCs w:val="25"/>
              </w:rPr>
              <w:fldChar w:fldCharType="begin"/>
            </w:r>
            <w:r w:rsidR="00DB3DB1" w:rsidRPr="00C96389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C96389">
              <w:rPr>
                <w:sz w:val="25"/>
                <w:szCs w:val="25"/>
              </w:rPr>
              <w:fldChar w:fldCharType="end"/>
            </w:r>
          </w:p>
        </w:tc>
      </w:tr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47" w:type="dxa"/>
          </w:tcPr>
          <w:p w:rsidR="006E1D9C" w:rsidRPr="00C96389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47" w:type="dxa"/>
          </w:tcPr>
          <w:p w:rsidR="001F0AA3" w:rsidRPr="00C96389" w:rsidRDefault="007E3448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Predmet návrhu zákona</w:t>
            </w:r>
            <w:r w:rsidR="001F0AA3" w:rsidRPr="00C96389">
              <w:rPr>
                <w:b/>
                <w:sz w:val="25"/>
                <w:szCs w:val="25"/>
              </w:rPr>
              <w:t>:</w:t>
            </w:r>
          </w:p>
          <w:p w:rsidR="003841E0" w:rsidRPr="00C96389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</w:pPr>
          </w:p>
        </w:tc>
        <w:tc>
          <w:tcPr>
            <w:tcW w:w="9747" w:type="dxa"/>
          </w:tcPr>
          <w:p w:rsidR="007E3448" w:rsidRPr="00C96389" w:rsidRDefault="00384BBD">
            <w:pPr>
              <w:divId w:val="1938097591"/>
              <w:rPr>
                <w:sz w:val="25"/>
                <w:szCs w:val="25"/>
              </w:rPr>
            </w:pPr>
            <w:r w:rsidRPr="00C96389">
              <w:rPr>
                <w:i/>
                <w:iCs/>
                <w:sz w:val="25"/>
                <w:szCs w:val="25"/>
              </w:rPr>
              <w:t>a)</w:t>
            </w:r>
            <w:r w:rsidR="00F4469F" w:rsidRPr="00C96389">
              <w:rPr>
                <w:i/>
                <w:iCs/>
                <w:sz w:val="25"/>
                <w:szCs w:val="25"/>
              </w:rPr>
              <w:t xml:space="preserve"> </w:t>
            </w:r>
            <w:r w:rsidR="00D82D88" w:rsidRPr="00C96389">
              <w:rPr>
                <w:i/>
                <w:iCs/>
                <w:sz w:val="25"/>
                <w:szCs w:val="25"/>
              </w:rPr>
              <w:t xml:space="preserve">je upravený v </w:t>
            </w:r>
            <w:r w:rsidR="00F4469F" w:rsidRPr="00C96389">
              <w:rPr>
                <w:i/>
                <w:iCs/>
                <w:sz w:val="25"/>
                <w:szCs w:val="25"/>
              </w:rPr>
              <w:t xml:space="preserve">primárnom </w:t>
            </w:r>
            <w:r w:rsidR="00D82D88" w:rsidRPr="00C96389">
              <w:rPr>
                <w:i/>
                <w:iCs/>
                <w:sz w:val="25"/>
                <w:szCs w:val="25"/>
              </w:rPr>
              <w:t>práve Európskej únie</w:t>
            </w:r>
            <w:r w:rsidR="00F4469F" w:rsidRPr="00C96389">
              <w:rPr>
                <w:sz w:val="25"/>
                <w:szCs w:val="25"/>
              </w:rPr>
              <w:br/>
            </w:r>
            <w:r w:rsidR="00F4469F" w:rsidRPr="00C96389">
              <w:rPr>
                <w:sz w:val="25"/>
                <w:szCs w:val="25"/>
              </w:rPr>
              <w:br/>
            </w:r>
            <w:r w:rsidR="007E3448" w:rsidRPr="00C96389">
              <w:rPr>
                <w:sz w:val="25"/>
                <w:szCs w:val="25"/>
              </w:rPr>
              <w:t xml:space="preserve">Čl. 10 Zmluvy o fungovaní Európskej únie </w:t>
            </w:r>
          </w:p>
          <w:p w:rsidR="003C18B1" w:rsidRPr="00C96389" w:rsidRDefault="003C18B1">
            <w:pPr>
              <w:divId w:val="1938097591"/>
              <w:rPr>
                <w:sz w:val="25"/>
                <w:szCs w:val="25"/>
              </w:rPr>
            </w:pPr>
          </w:p>
          <w:p w:rsidR="003C18B1" w:rsidRPr="00C96389" w:rsidRDefault="003C18B1">
            <w:pPr>
              <w:divId w:val="1938097591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Hlava XII Zmluvy o fungovaní Európskej únie</w:t>
            </w:r>
          </w:p>
          <w:p w:rsidR="007E3448" w:rsidRPr="00C96389" w:rsidRDefault="007E3448">
            <w:pPr>
              <w:divId w:val="1938097591"/>
              <w:rPr>
                <w:sz w:val="25"/>
                <w:szCs w:val="25"/>
              </w:rPr>
            </w:pPr>
          </w:p>
          <w:p w:rsidR="00B24E86" w:rsidRPr="00C96389" w:rsidRDefault="00384BBD" w:rsidP="007E3448">
            <w:pPr>
              <w:jc w:val="both"/>
              <w:divId w:val="454493356"/>
              <w:rPr>
                <w:sz w:val="25"/>
                <w:szCs w:val="25"/>
              </w:rPr>
            </w:pPr>
            <w:r w:rsidRPr="00C96389">
              <w:rPr>
                <w:i/>
                <w:iCs/>
                <w:sz w:val="25"/>
                <w:szCs w:val="25"/>
              </w:rPr>
              <w:t xml:space="preserve">b) </w:t>
            </w:r>
            <w:r w:rsidR="00D82D88" w:rsidRPr="00C96389">
              <w:rPr>
                <w:i/>
                <w:iCs/>
                <w:sz w:val="25"/>
                <w:szCs w:val="25"/>
              </w:rPr>
              <w:t xml:space="preserve">je upravený v </w:t>
            </w:r>
            <w:r w:rsidR="00F4469F" w:rsidRPr="00C96389">
              <w:rPr>
                <w:i/>
                <w:iCs/>
                <w:sz w:val="25"/>
                <w:szCs w:val="25"/>
              </w:rPr>
              <w:t xml:space="preserve">sekundárnom </w:t>
            </w:r>
            <w:r w:rsidR="00D82D88" w:rsidRPr="00C96389">
              <w:rPr>
                <w:i/>
                <w:iCs/>
                <w:sz w:val="25"/>
                <w:szCs w:val="25"/>
              </w:rPr>
              <w:t>práve Európskej únie</w:t>
            </w:r>
            <w:r w:rsidR="00F4469F" w:rsidRPr="00C96389">
              <w:rPr>
                <w:sz w:val="25"/>
                <w:szCs w:val="25"/>
              </w:rPr>
              <w:br/>
            </w:r>
            <w:r w:rsidR="00F4469F" w:rsidRPr="00C96389">
              <w:rPr>
                <w:sz w:val="25"/>
                <w:szCs w:val="25"/>
              </w:rPr>
              <w:br/>
            </w:r>
            <w:r w:rsidR="00B24E86" w:rsidRPr="00C96389">
              <w:rPr>
                <w:sz w:val="25"/>
                <w:szCs w:val="25"/>
              </w:rPr>
              <w:t xml:space="preserve">Smernica Rady 2000/43/ES z 29. júna 2000, ktorou sa zavádza zásada rovnakého zaobchádzania s osobami bez ohľadu na rasový alebo etnický pôvod (Ú. v. ES L 180, 19. 7. 2000, Mimoriadne vydanie </w:t>
            </w:r>
            <w:proofErr w:type="spellStart"/>
            <w:r w:rsidR="00B24E86" w:rsidRPr="00C96389">
              <w:rPr>
                <w:sz w:val="25"/>
                <w:szCs w:val="25"/>
              </w:rPr>
              <w:t>Ú.v</w:t>
            </w:r>
            <w:proofErr w:type="spellEnd"/>
            <w:r w:rsidR="00B24E86" w:rsidRPr="00C96389">
              <w:rPr>
                <w:sz w:val="25"/>
                <w:szCs w:val="25"/>
              </w:rPr>
              <w:t xml:space="preserve">. EÚ, kap. 20/zv. </w:t>
            </w:r>
            <w:r w:rsidR="00143A39" w:rsidRPr="00C96389">
              <w:rPr>
                <w:sz w:val="25"/>
                <w:szCs w:val="25"/>
              </w:rPr>
              <w:t>00</w:t>
            </w:r>
            <w:r w:rsidR="00B24E86" w:rsidRPr="00C96389">
              <w:rPr>
                <w:sz w:val="25"/>
                <w:szCs w:val="25"/>
              </w:rPr>
              <w:t xml:space="preserve">1); gestor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Úrad</w:t>
            </w:r>
            <w:r w:rsidR="00B24E86" w:rsidRPr="00C96389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vlády</w:t>
            </w:r>
            <w:r w:rsidR="00B24E86" w:rsidRPr="00C96389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Slovenskej</w:t>
            </w:r>
            <w:r w:rsidR="00B24E86" w:rsidRPr="00C96389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republiky</w:t>
            </w:r>
          </w:p>
          <w:p w:rsidR="00C00CCE" w:rsidRDefault="00C00CCE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:rsidR="002E060C" w:rsidRPr="002E060C" w:rsidRDefault="0060393D" w:rsidP="002E060C">
            <w:pPr>
              <w:divId w:val="454493356"/>
              <w:rPr>
                <w:sz w:val="25"/>
                <w:szCs w:val="25"/>
              </w:rPr>
            </w:pPr>
            <w:r w:rsidRPr="0060393D">
              <w:rPr>
                <w:sz w:val="25"/>
                <w:szCs w:val="25"/>
              </w:rPr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60393D">
              <w:rPr>
                <w:sz w:val="25"/>
                <w:szCs w:val="25"/>
              </w:rPr>
              <w:t>aupair</w:t>
            </w:r>
            <w:proofErr w:type="spellEnd"/>
            <w:r w:rsidR="0097798C">
              <w:rPr>
                <w:sz w:val="25"/>
                <w:szCs w:val="25"/>
              </w:rPr>
              <w:t xml:space="preserve"> (prepracované znenie)</w:t>
            </w:r>
            <w:r w:rsidRPr="0060393D">
              <w:rPr>
                <w:sz w:val="25"/>
                <w:szCs w:val="25"/>
              </w:rPr>
              <w:t xml:space="preserve"> (Ú. v. EÚ L 132, 21. 5. 2016); gestor Ministerstvo vnútra Slovenskej republiky</w:t>
            </w:r>
          </w:p>
          <w:p w:rsidR="00F3082A" w:rsidRPr="00C96389" w:rsidRDefault="00F3082A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:rsidR="004A5AE2" w:rsidRPr="00C96389" w:rsidRDefault="004A5AE2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:rsidR="00384BBD" w:rsidRPr="00C96389" w:rsidRDefault="00384BBD" w:rsidP="00D82D88">
            <w:pPr>
              <w:tabs>
                <w:tab w:val="left" w:pos="360"/>
              </w:tabs>
            </w:pPr>
            <w:r w:rsidRPr="00C96389">
              <w:rPr>
                <w:i/>
                <w:iCs/>
                <w:sz w:val="25"/>
                <w:szCs w:val="25"/>
              </w:rPr>
              <w:t xml:space="preserve">c) </w:t>
            </w:r>
            <w:r w:rsidR="00D82D88" w:rsidRPr="00C96389">
              <w:rPr>
                <w:i/>
                <w:iCs/>
                <w:sz w:val="25"/>
                <w:szCs w:val="25"/>
              </w:rPr>
              <w:t xml:space="preserve">nie je upravený </w:t>
            </w:r>
            <w:r w:rsidR="00F4469F" w:rsidRPr="00C96389">
              <w:rPr>
                <w:i/>
                <w:iCs/>
                <w:sz w:val="25"/>
                <w:szCs w:val="25"/>
              </w:rPr>
              <w:t>v judikatúre Súdneho dvora Európskej únie</w:t>
            </w:r>
          </w:p>
        </w:tc>
      </w:tr>
      <w:tr w:rsidR="001F0AA3" w:rsidRPr="00C96389" w:rsidTr="003A49A7">
        <w:tc>
          <w:tcPr>
            <w:tcW w:w="284" w:type="dxa"/>
          </w:tcPr>
          <w:p w:rsidR="001F0AA3" w:rsidRPr="00C96389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47" w:type="dxa"/>
          </w:tcPr>
          <w:p w:rsidR="006E1D9C" w:rsidRPr="00C96389" w:rsidRDefault="006E1D9C" w:rsidP="0023485C">
            <w:pPr>
              <w:tabs>
                <w:tab w:val="left" w:pos="360"/>
              </w:tabs>
            </w:pPr>
          </w:p>
        </w:tc>
      </w:tr>
    </w:tbl>
    <w:p w:rsidR="00F4469F" w:rsidRPr="00C96389" w:rsidRDefault="00F4469F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F4469F" w:rsidRPr="00C96389">
        <w:trPr>
          <w:divId w:val="6681140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9F" w:rsidRPr="00C96389" w:rsidRDefault="00F4469F">
            <w:pPr>
              <w:spacing w:after="250"/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i/>
                <w:sz w:val="25"/>
                <w:szCs w:val="25"/>
              </w:rPr>
            </w:pPr>
            <w:r w:rsidRPr="00C96389">
              <w:rPr>
                <w:i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9F" w:rsidRPr="00C96389" w:rsidRDefault="00F4469F" w:rsidP="007E3448">
            <w:pPr>
              <w:spacing w:after="250"/>
              <w:jc w:val="both"/>
              <w:rPr>
                <w:i/>
                <w:sz w:val="25"/>
                <w:szCs w:val="25"/>
              </w:rPr>
            </w:pPr>
            <w:r w:rsidRPr="00C96389">
              <w:rPr>
                <w:i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FB8" w:rsidRPr="00C96389" w:rsidRDefault="00FE73A0" w:rsidP="00526FB8">
            <w:pPr>
              <w:widowControl/>
              <w:autoSpaceDE/>
              <w:autoSpaceDN/>
              <w:adjustRightInd/>
              <w:spacing w:line="276" w:lineRule="auto"/>
              <w:ind w:right="44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bezpredmetné</w:t>
            </w:r>
          </w:p>
          <w:p w:rsidR="00526FB8" w:rsidRPr="00C96389" w:rsidRDefault="00526FB8" w:rsidP="00526FB8">
            <w:pPr>
              <w:widowControl/>
              <w:autoSpaceDE/>
              <w:autoSpaceDN/>
              <w:adjustRightInd/>
              <w:spacing w:line="276" w:lineRule="auto"/>
              <w:ind w:right="447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 </w:t>
            </w:r>
          </w:p>
          <w:p w:rsidR="00F4469F" w:rsidRPr="00C96389" w:rsidRDefault="00F4469F" w:rsidP="007E3448">
            <w:pPr>
              <w:spacing w:after="250"/>
              <w:rPr>
                <w:sz w:val="25"/>
                <w:szCs w:val="25"/>
              </w:rPr>
            </w:pP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9F" w:rsidRPr="00C96389" w:rsidRDefault="00F4469F" w:rsidP="008C714C">
            <w:pPr>
              <w:spacing w:after="250"/>
              <w:jc w:val="both"/>
              <w:rPr>
                <w:i/>
                <w:sz w:val="25"/>
                <w:szCs w:val="25"/>
              </w:rPr>
            </w:pPr>
            <w:r w:rsidRPr="00C96389">
              <w:rPr>
                <w:i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</w:t>
            </w:r>
            <w:r w:rsidRPr="00C96389">
              <w:rPr>
                <w:i/>
                <w:sz w:val="25"/>
                <w:szCs w:val="25"/>
              </w:rPr>
              <w:lastRenderedPageBreak/>
              <w:t xml:space="preserve">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2B" w:rsidRPr="00C96389" w:rsidRDefault="0057572B" w:rsidP="0057572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Ku dňu predloženia návrhu zákona v oblasti jeho právnej úpravy</w:t>
            </w:r>
          </w:p>
          <w:p w:rsidR="0057572B" w:rsidRPr="00C96389" w:rsidRDefault="0057572B" w:rsidP="0057572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</w:t>
            </w:r>
            <w:r w:rsidR="007E3448" w:rsidRPr="00C96389">
              <w:rPr>
                <w:sz w:val="25"/>
                <w:szCs w:val="25"/>
              </w:rPr>
              <w:t xml:space="preserve"> </w:t>
            </w:r>
            <w:r w:rsidRPr="00C96389">
              <w:rPr>
                <w:sz w:val="25"/>
                <w:szCs w:val="25"/>
              </w:rPr>
              <w:t>nebolo začaté konanie v rámci „EÚ Pilot“</w:t>
            </w:r>
          </w:p>
          <w:p w:rsidR="00F4469F" w:rsidRPr="00C96389" w:rsidRDefault="0057572B" w:rsidP="006A17DF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</w:t>
            </w:r>
            <w:r w:rsidR="007E3448" w:rsidRPr="00C96389">
              <w:rPr>
                <w:sz w:val="25"/>
                <w:szCs w:val="25"/>
              </w:rPr>
              <w:t xml:space="preserve"> </w:t>
            </w:r>
            <w:r w:rsidRPr="00C96389">
              <w:rPr>
                <w:sz w:val="25"/>
                <w:szCs w:val="25"/>
              </w:rPr>
              <w:t>bol začatý postup Európskej komisie podľa čl. 258 a 260 Zmluvy o fungovaní Európskej únie v jej platnom znení</w:t>
            </w:r>
          </w:p>
          <w:p w:rsidR="00617740" w:rsidRPr="00C96389" w:rsidRDefault="00617740" w:rsidP="00617740">
            <w:pPr>
              <w:pStyle w:val="Odsekzoznamu"/>
              <w:numPr>
                <w:ilvl w:val="0"/>
                <w:numId w:val="8"/>
              </w:numPr>
              <w:jc w:val="both"/>
              <w:rPr>
                <w:rStyle w:val="awspan"/>
              </w:rPr>
            </w:pPr>
            <w:r w:rsidRPr="00C96389">
              <w:rPr>
                <w:iCs/>
              </w:rPr>
              <w:t xml:space="preserve">porušenie č. 2015/2025 C(2019) 7279 </w:t>
            </w:r>
            <w:proofErr w:type="spellStart"/>
            <w:r w:rsidRPr="00C96389">
              <w:rPr>
                <w:iCs/>
              </w:rPr>
              <w:t>final</w:t>
            </w:r>
            <w:proofErr w:type="spellEnd"/>
            <w:r w:rsidRPr="00C96389">
              <w:rPr>
                <w:iCs/>
              </w:rPr>
              <w:t xml:space="preserve"> z 10. októbra 2019, odôvodnené stanovisko</w:t>
            </w:r>
            <w:r w:rsidRPr="00C96389">
              <w:rPr>
                <w:rStyle w:val="Odkaznakomentr"/>
                <w:iCs/>
                <w:color w:val="000000"/>
                <w:sz w:val="24"/>
                <w:szCs w:val="24"/>
              </w:rPr>
              <w:t xml:space="preserve"> k</w:t>
            </w:r>
            <w:r w:rsidRPr="00C96389">
              <w:rPr>
                <w:rStyle w:val="Odkaznakomentr"/>
                <w:sz w:val="24"/>
                <w:szCs w:val="24"/>
              </w:rPr>
              <w:t> </w:t>
            </w:r>
            <w:r w:rsidRPr="00C96389">
              <w:rPr>
                <w:rStyle w:val="awspan"/>
                <w:iCs/>
                <w:color w:val="000000"/>
              </w:rPr>
              <w:t>Smernici Rady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2000/43/ES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z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29.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júna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2000,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ktorou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sa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zavádza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zásada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rovnakého zaobchádzania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s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osobami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bez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ohľadu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na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rasový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alebo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etnický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pôvod</w:t>
            </w:r>
          </w:p>
          <w:p w:rsidR="00BC1851" w:rsidRPr="00C96389" w:rsidRDefault="00BC1851" w:rsidP="00BC1851">
            <w:pPr>
              <w:rPr>
                <w:rStyle w:val="awspan"/>
              </w:rPr>
            </w:pPr>
          </w:p>
          <w:p w:rsidR="004A5AE2" w:rsidRPr="00C96389" w:rsidRDefault="004A5AE2" w:rsidP="00C96389">
            <w:pPr>
              <w:pStyle w:val="Odsekzoznamu"/>
              <w:numPr>
                <w:ilvl w:val="0"/>
                <w:numId w:val="8"/>
              </w:numPr>
              <w:jc w:val="both"/>
              <w:rPr>
                <w:iCs/>
              </w:rPr>
            </w:pPr>
            <w:r w:rsidRPr="00C96389">
              <w:rPr>
                <w:iCs/>
              </w:rPr>
              <w:t xml:space="preserve">žaloba vo veci C 799/23 Európska komisia v. Slovenská republika, ktorou Európska komisia Súdnemu dvoru </w:t>
            </w:r>
            <w:r w:rsidR="00BC1851" w:rsidRPr="00C96389">
              <w:rPr>
                <w:iCs/>
              </w:rPr>
              <w:t xml:space="preserve">vo veci </w:t>
            </w:r>
            <w:r w:rsidRPr="00C96389">
              <w:rPr>
                <w:iCs/>
              </w:rPr>
              <w:t>nespln</w:t>
            </w:r>
            <w:r w:rsidR="00BC1851" w:rsidRPr="00C96389">
              <w:rPr>
                <w:iCs/>
              </w:rPr>
              <w:t xml:space="preserve">enia si </w:t>
            </w:r>
            <w:r w:rsidRPr="00C96389">
              <w:rPr>
                <w:iCs/>
              </w:rPr>
              <w:t>povinnosti vyplývajúce z čl. 2 ods. 1 smernice 2000/43/ES, ktorou sa zavádza zásada rovnakého zaobchádzania s osobami bez ohľadu na rasový alebo etnický pôvod</w:t>
            </w:r>
            <w:r w:rsidR="00BC1851" w:rsidRPr="00C96389">
              <w:rPr>
                <w:iCs/>
              </w:rPr>
              <w:t xml:space="preserve"> </w:t>
            </w:r>
            <w:r w:rsidRPr="00C96389">
              <w:rPr>
                <w:iCs/>
              </w:rPr>
              <w:t>v spojení s jej čl. 2 ods. 2 písm. b) a čl. 3 ods. 1 písm. g)</w:t>
            </w:r>
            <w:r w:rsidR="00C96389" w:rsidRPr="00C96389">
              <w:rPr>
                <w:iCs/>
              </w:rPr>
              <w:t xml:space="preserve"> doručená 17. januára 2024</w:t>
            </w:r>
          </w:p>
          <w:p w:rsidR="004A5AE2" w:rsidRPr="00C96389" w:rsidRDefault="004A5AE2" w:rsidP="00526FB8">
            <w:pPr>
              <w:pStyle w:val="Odsekzoznamu"/>
              <w:rPr>
                <w:rStyle w:val="awspan"/>
              </w:rPr>
            </w:pPr>
          </w:p>
          <w:p w:rsidR="00526FB8" w:rsidRPr="00C96389" w:rsidRDefault="00526FB8" w:rsidP="00526FB8">
            <w:pPr>
              <w:pStyle w:val="Odsekzoznamu"/>
              <w:numPr>
                <w:ilvl w:val="0"/>
                <w:numId w:val="10"/>
              </w:numPr>
              <w:jc w:val="both"/>
              <w:rPr>
                <w:rStyle w:val="awspan"/>
              </w:rPr>
            </w:pPr>
            <w:r w:rsidRPr="00C96389">
              <w:rPr>
                <w:rStyle w:val="awspan"/>
              </w:rPr>
              <w:t xml:space="preserve">predložený návrh zákona na uvedené konania reflektuje čiastočne  </w:t>
            </w:r>
          </w:p>
          <w:p w:rsidR="00617740" w:rsidRPr="00C96389" w:rsidRDefault="00617740" w:rsidP="00617740">
            <w:pPr>
              <w:pStyle w:val="Odsekzoznamu"/>
              <w:rPr>
                <w:sz w:val="25"/>
                <w:szCs w:val="25"/>
              </w:rPr>
            </w:pPr>
          </w:p>
          <w:p w:rsidR="00617740" w:rsidRPr="00C96389" w:rsidRDefault="00617740" w:rsidP="00617740">
            <w:pPr>
              <w:jc w:val="both"/>
              <w:rPr>
                <w:sz w:val="25"/>
                <w:szCs w:val="25"/>
              </w:rPr>
            </w:pP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  <w:p w:rsidR="00DB4C7B" w:rsidRPr="00C96389" w:rsidRDefault="00DB4C7B">
            <w:pPr>
              <w:spacing w:after="250"/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Smernica Rady 2000/43/ES bola prebratá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460/1992 Zb. Ústava Slovenskej republiky v 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Národnej rady Slovenskej republiky č. 305/1993 Z. z. o zriadení Slovenského národného strediska pre ľudské práva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73/1998 Z. z. o štátnej službe príslušníkov Policajného zboru, Slovenskej informačnej služby, Zboru väzenskej a justičnej stráže Slovenskej republiky a Železničnej polície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311/2001 Z. z.  Zákonník práce v znení 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315/2001 Z. z. o Hasičskom a záchrannom zbore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461/2003 Z. z. o sociálnom poistení v 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- do zákona č. 5/2004 Z. z. o službách zamestnanosti a o zmene a doplnení niektorých </w:t>
            </w:r>
            <w:r w:rsidRPr="00C96389">
              <w:rPr>
                <w:sz w:val="25"/>
                <w:szCs w:val="25"/>
              </w:rPr>
              <w:lastRenderedPageBreak/>
              <w:t>zákonov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43/2004 Z. z. o starobnom dôchodkovom sporení a o zmene a doplnení niektorých zákonov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365/2004 Z. z. o rovnakom zaobchádzaní v niektorých oblastiach a o ochrane pred diskrimináciou a o zmene a doplnení niektorých zákonov (Antidiskriminačný zákon) v 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576/2004 Z. z. o zdravotnej starostlivosti, službách súvisiacich s poskytovaním zdravotnej starostlivosti a o zmene a doplnení niektorých zákonov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580/2004 Z. z. o zdravotnom poistení a o zmene a doplnení zákona č. 95/2002 Z. z. o poisťovníctve a o zmene a doplnení niektorých zákonov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650/2004 Z. z. o doplnkovom dôchodkovom sporení a o zmene a doplnení niektorých zákonov v 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- do zákona č. 570/2005 Z. z. o brannej povinnosti a o zmene a doplnení niektorých zákonov v znení neskorších predpisov, 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160/2015 Z. z. Civilný sporový poriadok v 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281/2015 Z. z. o štátnej službe profesionálnych vojakov a o zmene a doplnení niektorých zákonov v 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378/2015 Z. z. o dobrovoľnej vojenskej príprave a o zmene a doplnení niektorých zákonov v znení neskorších predpisov,</w:t>
            </w:r>
          </w:p>
          <w:p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55/2017 Z. z. o štátnej službe a o zmene a doplnení niektorých zákonov v znení neskorších predpisov,</w:t>
            </w:r>
          </w:p>
          <w:p w:rsidR="00DB4C7B" w:rsidRPr="00C96389" w:rsidRDefault="00DB4C7B" w:rsidP="00DB4C7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35/2019 Z. z. o finančnej správe a o zmene a doplnení niektorých zákonov v znení neskorších predpisov</w:t>
            </w:r>
            <w:r w:rsidR="004A5AE2" w:rsidRPr="00C96389">
              <w:rPr>
                <w:sz w:val="25"/>
                <w:szCs w:val="25"/>
              </w:rPr>
              <w:t xml:space="preserve"> </w:t>
            </w:r>
          </w:p>
          <w:p w:rsidR="004A5AE2" w:rsidRPr="00C96389" w:rsidRDefault="004A5AE2" w:rsidP="00DB4C7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- do zákona č. 245/2008 Z. z. o výchove a vzdelávaní (školský zákon) a o zmene a doplnení niektorých zákonov v znení neskorších predpisov   </w:t>
            </w:r>
          </w:p>
        </w:tc>
      </w:tr>
      <w:tr w:rsidR="00F4469F" w:rsidRPr="00C96389" w:rsidTr="004A5AE2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4469F" w:rsidRPr="00C96389" w:rsidRDefault="00F4469F" w:rsidP="0050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69F" w:rsidRDefault="00F4469F" w:rsidP="0050308A">
            <w:pPr>
              <w:spacing w:after="250"/>
              <w:jc w:val="both"/>
              <w:rPr>
                <w:sz w:val="25"/>
                <w:szCs w:val="25"/>
              </w:rPr>
            </w:pPr>
          </w:p>
          <w:p w:rsidR="002E060C" w:rsidRPr="002E060C" w:rsidRDefault="002E060C" w:rsidP="002E060C">
            <w:pPr>
              <w:spacing w:after="250"/>
              <w:rPr>
                <w:b/>
                <w:sz w:val="25"/>
                <w:szCs w:val="25"/>
              </w:rPr>
            </w:pPr>
            <w:r w:rsidRPr="002E060C">
              <w:rPr>
                <w:b/>
                <w:sz w:val="25"/>
                <w:szCs w:val="25"/>
              </w:rPr>
              <w:t>Smernica Európskeho parlamentu a Rady (EÚ) 2016/801</w:t>
            </w:r>
            <w:r>
              <w:rPr>
                <w:b/>
                <w:sz w:val="25"/>
                <w:szCs w:val="25"/>
              </w:rPr>
              <w:t xml:space="preserve"> bola prebratá do 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zákona č. 131/2002 Z. z. o vysokých školách a o zmene a doplnení niektorých zákonov v znení neskorších predpisov, 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- zákona č. 596/2003 Z. z. o štátnej správe v školstve a školskej samospráve a o zmene a doplnení niektorých zákonov v znení neskorších predpisov,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5/2004 Z. z. o službách zamestnanosti a o zmene a doplnení niektorých zákonov v znení neskorších predpisov, 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172/2005 Z. z. o organizácii štátnej podpory výskumu a vývoja a o doplnení zákona č. 575/2001 Z. z. o organizácii činnosti vlády a organizácii ústrednej štátnej správy v znení neskorších predpisov v znení neskorších predpisov,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245/2008 Z. z. o výchove a vzdelávaní (školský zákon) a o zmene a doplnení niektorých zákonov v znení neskorších predpisov,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282/2008 Z. z. o podpore práce s mládežou a o zmene a doplnení zákona č. 131/2002 Z. z. o vysokých školách a o zmene a doplnení niektorých zákonov v znení neskorších predpisov v znení neskorších predpisov,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404/2011 Z. z. o pobyte cudzincov a o zmene a doplnení niektorých zákonov v znení neskorších predpisov, </w:t>
            </w:r>
          </w:p>
          <w:p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422/2015 Z. z. o uznávaní dokladov o vzdelaní a o uznávaní odborných kvalifikácií a o zmene a doplnení niektorých zákonov v znení neskorších predpisov.</w:t>
            </w:r>
          </w:p>
          <w:p w:rsidR="002E060C" w:rsidRPr="00C96389" w:rsidRDefault="002E060C" w:rsidP="002E060C">
            <w:pPr>
              <w:spacing w:after="250"/>
              <w:jc w:val="both"/>
              <w:rPr>
                <w:sz w:val="25"/>
                <w:szCs w:val="25"/>
              </w:rPr>
            </w:pP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t xml:space="preserve">Stupeň zlučiteľnosti návrhu </w:t>
            </w:r>
            <w:r w:rsidR="00591317" w:rsidRPr="00C96389">
              <w:rPr>
                <w:b/>
                <w:bCs/>
                <w:sz w:val="25"/>
                <w:szCs w:val="25"/>
              </w:rPr>
              <w:t>zákona</w:t>
            </w:r>
            <w:r w:rsidRPr="00C96389">
              <w:rPr>
                <w:b/>
                <w:bCs/>
                <w:sz w:val="25"/>
                <w:szCs w:val="25"/>
              </w:rPr>
              <w:t xml:space="preserve"> s právom Európskej únie:</w:t>
            </w:r>
          </w:p>
        </w:tc>
      </w:tr>
      <w:tr w:rsidR="00F4469F" w:rsidRPr="00C96389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spacing w:after="25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469F" w:rsidRPr="00C96389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9F" w:rsidRPr="00C96389" w:rsidRDefault="00F4469F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úplne</w:t>
            </w:r>
          </w:p>
        </w:tc>
      </w:tr>
    </w:tbl>
    <w:p w:rsidR="003D0DA4" w:rsidRPr="00C96389" w:rsidRDefault="003D0DA4" w:rsidP="00814DF5">
      <w:pPr>
        <w:tabs>
          <w:tab w:val="left" w:pos="360"/>
        </w:tabs>
        <w:jc w:val="both"/>
      </w:pPr>
    </w:p>
    <w:sectPr w:rsidR="003D0DA4" w:rsidRPr="00C9638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A6" w:rsidRDefault="00646DA6" w:rsidP="004A5AE2">
      <w:r>
        <w:separator/>
      </w:r>
    </w:p>
  </w:endnote>
  <w:endnote w:type="continuationSeparator" w:id="0">
    <w:p w:rsidR="00646DA6" w:rsidRDefault="00646DA6" w:rsidP="004A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A6" w:rsidRDefault="00646DA6" w:rsidP="004A5AE2">
      <w:r>
        <w:separator/>
      </w:r>
    </w:p>
  </w:footnote>
  <w:footnote w:type="continuationSeparator" w:id="0">
    <w:p w:rsidR="00646DA6" w:rsidRDefault="00646DA6" w:rsidP="004A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F34"/>
    <w:multiLevelType w:val="hybridMultilevel"/>
    <w:tmpl w:val="E3E21A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951E9"/>
    <w:multiLevelType w:val="hybridMultilevel"/>
    <w:tmpl w:val="CCA0D59E"/>
    <w:lvl w:ilvl="0" w:tplc="12EC2E3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6B6B"/>
    <w:multiLevelType w:val="hybridMultilevel"/>
    <w:tmpl w:val="09BCB208"/>
    <w:lvl w:ilvl="0" w:tplc="4432A7EE">
      <w:numFmt w:val="bullet"/>
      <w:lvlText w:val="-"/>
      <w:lvlJc w:val="left"/>
      <w:pPr>
        <w:ind w:left="114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E367770"/>
    <w:multiLevelType w:val="hybridMultilevel"/>
    <w:tmpl w:val="0D18B6F4"/>
    <w:lvl w:ilvl="0" w:tplc="40602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03253A"/>
    <w:multiLevelType w:val="hybridMultilevel"/>
    <w:tmpl w:val="F9A601C6"/>
    <w:lvl w:ilvl="0" w:tplc="05D4EA7A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1B23"/>
    <w:rsid w:val="0004319A"/>
    <w:rsid w:val="00046A63"/>
    <w:rsid w:val="00054456"/>
    <w:rsid w:val="00060B72"/>
    <w:rsid w:val="00077E5D"/>
    <w:rsid w:val="00083E6A"/>
    <w:rsid w:val="000C03E4"/>
    <w:rsid w:val="000C5887"/>
    <w:rsid w:val="00117A7E"/>
    <w:rsid w:val="00143A39"/>
    <w:rsid w:val="001619B7"/>
    <w:rsid w:val="001D60ED"/>
    <w:rsid w:val="001F0AA3"/>
    <w:rsid w:val="0020025E"/>
    <w:rsid w:val="0023485C"/>
    <w:rsid w:val="00276A30"/>
    <w:rsid w:val="002902F1"/>
    <w:rsid w:val="002B14DD"/>
    <w:rsid w:val="002B791F"/>
    <w:rsid w:val="002C01AA"/>
    <w:rsid w:val="002E060C"/>
    <w:rsid w:val="002E6AC0"/>
    <w:rsid w:val="002E6D4F"/>
    <w:rsid w:val="00316187"/>
    <w:rsid w:val="003841E0"/>
    <w:rsid w:val="00384BBD"/>
    <w:rsid w:val="003A49A7"/>
    <w:rsid w:val="003A5F6B"/>
    <w:rsid w:val="003C18B1"/>
    <w:rsid w:val="003D0DA4"/>
    <w:rsid w:val="00413A31"/>
    <w:rsid w:val="00432ECD"/>
    <w:rsid w:val="004613A8"/>
    <w:rsid w:val="00482868"/>
    <w:rsid w:val="004A37D8"/>
    <w:rsid w:val="004A3CCB"/>
    <w:rsid w:val="004A5AE2"/>
    <w:rsid w:val="004B1E6E"/>
    <w:rsid w:val="004B693A"/>
    <w:rsid w:val="004E7F23"/>
    <w:rsid w:val="0050308A"/>
    <w:rsid w:val="00526FB8"/>
    <w:rsid w:val="005629FF"/>
    <w:rsid w:val="0057572B"/>
    <w:rsid w:val="00591317"/>
    <w:rsid w:val="00596545"/>
    <w:rsid w:val="0060393D"/>
    <w:rsid w:val="00611CD2"/>
    <w:rsid w:val="00617740"/>
    <w:rsid w:val="00632C56"/>
    <w:rsid w:val="00632E8C"/>
    <w:rsid w:val="00646DA6"/>
    <w:rsid w:val="006A17DF"/>
    <w:rsid w:val="006C0FA0"/>
    <w:rsid w:val="006E1D9C"/>
    <w:rsid w:val="006F3E6F"/>
    <w:rsid w:val="00785F65"/>
    <w:rsid w:val="007E3448"/>
    <w:rsid w:val="007F5B72"/>
    <w:rsid w:val="00814DF5"/>
    <w:rsid w:val="00824CCF"/>
    <w:rsid w:val="00847169"/>
    <w:rsid w:val="008570D4"/>
    <w:rsid w:val="008655C8"/>
    <w:rsid w:val="00865E0E"/>
    <w:rsid w:val="008C1C98"/>
    <w:rsid w:val="008C714C"/>
    <w:rsid w:val="008D070E"/>
    <w:rsid w:val="008E2891"/>
    <w:rsid w:val="008E6F1F"/>
    <w:rsid w:val="00941C67"/>
    <w:rsid w:val="00970F68"/>
    <w:rsid w:val="0097798C"/>
    <w:rsid w:val="009C63EB"/>
    <w:rsid w:val="00A252F5"/>
    <w:rsid w:val="00A43044"/>
    <w:rsid w:val="00AC4F5A"/>
    <w:rsid w:val="00AD7DBA"/>
    <w:rsid w:val="00B128CD"/>
    <w:rsid w:val="00B24E86"/>
    <w:rsid w:val="00B326AA"/>
    <w:rsid w:val="00B4204E"/>
    <w:rsid w:val="00BC1851"/>
    <w:rsid w:val="00BD160B"/>
    <w:rsid w:val="00BE4AAD"/>
    <w:rsid w:val="00BF231B"/>
    <w:rsid w:val="00C00CCE"/>
    <w:rsid w:val="00C12975"/>
    <w:rsid w:val="00C75D37"/>
    <w:rsid w:val="00C90146"/>
    <w:rsid w:val="00C96389"/>
    <w:rsid w:val="00CA5D08"/>
    <w:rsid w:val="00D1178E"/>
    <w:rsid w:val="00D14B99"/>
    <w:rsid w:val="00D217F2"/>
    <w:rsid w:val="00D465F6"/>
    <w:rsid w:val="00D5344B"/>
    <w:rsid w:val="00D7275F"/>
    <w:rsid w:val="00D75FDD"/>
    <w:rsid w:val="00D82D88"/>
    <w:rsid w:val="00DB3DB1"/>
    <w:rsid w:val="00DB4C7B"/>
    <w:rsid w:val="00DC377E"/>
    <w:rsid w:val="00DC3BFE"/>
    <w:rsid w:val="00E00E66"/>
    <w:rsid w:val="00E85F6B"/>
    <w:rsid w:val="00EC5BF8"/>
    <w:rsid w:val="00F3082A"/>
    <w:rsid w:val="00F4469F"/>
    <w:rsid w:val="00FA32F7"/>
    <w:rsid w:val="00FB1272"/>
    <w:rsid w:val="00FC7ECF"/>
    <w:rsid w:val="00FD64BC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883C2B8-D6D9-4457-B124-33C6D18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C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-zlučiteľnosti"/>
    <f:field ref="objsubject" par="" edit="true" text=""/>
    <f:field ref="objcreatedby" par="" text="Ludva, Alexander, Mgr."/>
    <f:field ref="objcreatedat" par="" text="23.5.2024 10:29:00"/>
    <f:field ref="objchangedby" par="" text="Administrator, System"/>
    <f:field ref="objmodifiedat" par="" text="23.5.2024 10:29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3B0F18-8D75-40AE-B9B4-24A8AD18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Ludva Alexander</cp:lastModifiedBy>
  <cp:revision>5</cp:revision>
  <cp:lastPrinted>2022-08-23T07:22:00Z</cp:lastPrinted>
  <dcterms:created xsi:type="dcterms:W3CDTF">2024-06-11T07:40:00Z</dcterms:created>
  <dcterms:modified xsi:type="dcterms:W3CDTF">2024-08-08T07:00:00Z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COO.2145.1000.3.6181164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Alexander Ludva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>Ministerstvo školstva,výskumu,vývoja a mládeže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18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9" name="FSC#SKEDITIONSLOVLEX@103.510:rezortcislopredpis">
    <vt:lpwstr>2024/10482:6 - 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LP/2024/244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Dokument je priložený ako nepovinná príloha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Dokument je priložený ako nepovinná príloha.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Slovenskej republiky</vt:lpwstr>
  </property>
  <property fmtid="{D5CDD505-2E9C-101B-9397-08002B2CF9AE}" pid="138" name="FSC#SKEDITIONSLOVLEX@103.510:funkciaZodpPredAkuzativ">
    <vt:lpwstr>ministrovi školstva, vedy, výskumu a športu Slovenskej republiky</vt:lpwstr>
  </property>
  <property fmtid="{D5CDD505-2E9C-101B-9397-08002B2CF9AE}" pid="139" name="FSC#SKEDITIONSLOVLEX@103.510:funkciaZodpPredDativ">
    <vt:lpwstr>ministra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Tomáš Drucker_x000d_
minister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23. 5. 2024</vt:lpwstr>
  </property>
</Properties>
</file>