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13FC4" w:rsidRDefault="007D5748" w:rsidP="00E13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034B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0A034B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A13454" w:rsidRPr="006C30DD" w:rsidTr="000A034B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Vplyv na rozpočet verejnej správy (v eurách)</w:t>
            </w:r>
          </w:p>
        </w:tc>
      </w:tr>
      <w:tr w:rsidR="00A13454" w:rsidRPr="006C30DD" w:rsidTr="000A034B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2027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13FC4" w:rsidRPr="006C30DD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6C30D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13FC4" w:rsidRPr="004B49B9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13FC4" w:rsidRPr="00FA5B9E" w:rsidRDefault="00A314E0" w:rsidP="00513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49 974 975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13FC4" w:rsidRPr="00FA5B9E" w:rsidRDefault="00FA5B9E" w:rsidP="0057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100 158 852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13FC4" w:rsidRPr="00FA5B9E" w:rsidRDefault="00A314E0" w:rsidP="00047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13FC4" w:rsidRPr="00FA5B9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4B49B9" w:rsidRDefault="00E13FC4" w:rsidP="000A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E13FC4" w:rsidRPr="00FA5B9E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13FC4" w:rsidRPr="00FA5B9E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13FC4" w:rsidRPr="00FA5B9E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13FC4" w:rsidRPr="00FA5B9E" w:rsidRDefault="00E13FC4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13FC4" w:rsidRPr="004B49B9" w:rsidRDefault="00FD5251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Ministerstvo vnútra SR </w:t>
            </w:r>
            <w:r w:rsidR="00D833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/ 0D6 Efektívna verejná </w:t>
            </w:r>
            <w:r w:rsidR="00994D17"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správa</w:t>
            </w:r>
          </w:p>
        </w:tc>
        <w:tc>
          <w:tcPr>
            <w:tcW w:w="1267" w:type="dxa"/>
            <w:noWrap/>
            <w:vAlign w:val="center"/>
          </w:tcPr>
          <w:p w:rsidR="00E13FC4" w:rsidRPr="00FA5B9E" w:rsidRDefault="00A314E0" w:rsidP="000A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36 967 163</w:t>
            </w:r>
          </w:p>
        </w:tc>
        <w:tc>
          <w:tcPr>
            <w:tcW w:w="1267" w:type="dxa"/>
            <w:noWrap/>
            <w:vAlign w:val="center"/>
          </w:tcPr>
          <w:p w:rsidR="00E13FC4" w:rsidRPr="00FA5B9E" w:rsidRDefault="00602282" w:rsidP="0034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72 173 532</w:t>
            </w:r>
          </w:p>
        </w:tc>
        <w:tc>
          <w:tcPr>
            <w:tcW w:w="1267" w:type="dxa"/>
            <w:noWrap/>
            <w:vAlign w:val="center"/>
          </w:tcPr>
          <w:p w:rsidR="00E13FC4" w:rsidRPr="00FA5B9E" w:rsidRDefault="009C17CC" w:rsidP="0034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267" w:type="dxa"/>
            <w:noWrap/>
            <w:vAlign w:val="center"/>
          </w:tcPr>
          <w:p w:rsidR="00E13FC4" w:rsidRPr="00FA5B9E" w:rsidRDefault="009C17CC" w:rsidP="00346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63 371 232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994D17" w:rsidP="00FD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</w:t>
            </w:r>
            <w:r w:rsidR="00FD52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inisterstvo spravodlivosti</w:t>
            </w: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SR</w:t>
            </w:r>
            <w:r w:rsidR="00FD52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</w:t>
            </w: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/ 070 - Väzenstvo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A314E0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6 895 875</w:t>
            </w:r>
          </w:p>
        </w:tc>
        <w:tc>
          <w:tcPr>
            <w:tcW w:w="1267" w:type="dxa"/>
            <w:noWrap/>
          </w:tcPr>
          <w:p w:rsidR="00994D17" w:rsidRPr="00FA5B9E" w:rsidRDefault="00A314E0" w:rsidP="009C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16 872 444</w:t>
            </w:r>
          </w:p>
        </w:tc>
        <w:tc>
          <w:tcPr>
            <w:tcW w:w="1267" w:type="dxa"/>
            <w:noWrap/>
          </w:tcPr>
          <w:p w:rsidR="00EE48F3" w:rsidRPr="00FA5B9E" w:rsidRDefault="009C17C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267" w:type="dxa"/>
            <w:noWrap/>
          </w:tcPr>
          <w:p w:rsidR="00EE48F3" w:rsidRPr="00FA5B9E" w:rsidRDefault="009C17C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13 708 944</w:t>
            </w:r>
          </w:p>
        </w:tc>
      </w:tr>
      <w:tr w:rsidR="00447EDE" w:rsidRPr="006C30DD" w:rsidTr="00FA5B9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447EDE" w:rsidRPr="00447EDE" w:rsidRDefault="00FA5B9E" w:rsidP="00FD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Ministerstvo financií SR / 072 – Výber daní, odvodov, cla a príspevkov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A314E0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5 720 663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FA5B9E" w:rsidP="009C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10 267 944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A314E0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A314E0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7 515 144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FD5251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Národný bezpečnostný úrad </w:t>
            </w:r>
            <w:r w:rsidR="00EE48F3"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/ 0D9 Bezpečnosť informácií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994D17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391 275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9C17C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844 932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9C17C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9C17C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634 032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</w:tr>
      <w:tr w:rsidR="003A1797" w:rsidRPr="006C30DD" w:rsidTr="00602282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3A1797" w:rsidRPr="004B49B9" w:rsidRDefault="003A1797" w:rsidP="003A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A1797" w:rsidRPr="00FA5B9E" w:rsidRDefault="003A1797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49 974 975</w:t>
            </w:r>
          </w:p>
        </w:tc>
        <w:tc>
          <w:tcPr>
            <w:tcW w:w="1267" w:type="dxa"/>
            <w:noWrap/>
          </w:tcPr>
          <w:p w:rsidR="003A1797" w:rsidRPr="00FA5B9E" w:rsidRDefault="00FA5B9E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100 158 852</w:t>
            </w:r>
          </w:p>
        </w:tc>
        <w:tc>
          <w:tcPr>
            <w:tcW w:w="1267" w:type="dxa"/>
            <w:noWrap/>
            <w:vAlign w:val="center"/>
          </w:tcPr>
          <w:p w:rsidR="003A1797" w:rsidRPr="00FA5B9E" w:rsidRDefault="003A1797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  <w:tc>
          <w:tcPr>
            <w:tcW w:w="1267" w:type="dxa"/>
            <w:noWrap/>
            <w:vAlign w:val="center"/>
          </w:tcPr>
          <w:p w:rsidR="003A1797" w:rsidRPr="00FA5B9E" w:rsidRDefault="003A1797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</w:tr>
      <w:tr w:rsidR="003A1797" w:rsidRPr="00062CA1" w:rsidTr="00602282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3A1797" w:rsidRPr="004B49B9" w:rsidRDefault="003A1797" w:rsidP="003A179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3A1797" w:rsidRPr="00FA5B9E" w:rsidRDefault="003A1797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49 974 975</w:t>
            </w:r>
          </w:p>
        </w:tc>
        <w:tc>
          <w:tcPr>
            <w:tcW w:w="1267" w:type="dxa"/>
            <w:noWrap/>
          </w:tcPr>
          <w:p w:rsidR="003A1797" w:rsidRPr="00FA5B9E" w:rsidRDefault="00FA5B9E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100 158 852</w:t>
            </w:r>
          </w:p>
        </w:tc>
        <w:tc>
          <w:tcPr>
            <w:tcW w:w="1267" w:type="dxa"/>
            <w:noWrap/>
            <w:vAlign w:val="center"/>
          </w:tcPr>
          <w:p w:rsidR="003A1797" w:rsidRPr="00FA5B9E" w:rsidRDefault="003A1797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85 229 352</w:t>
            </w:r>
          </w:p>
        </w:tc>
        <w:tc>
          <w:tcPr>
            <w:tcW w:w="1267" w:type="dxa"/>
            <w:noWrap/>
            <w:vAlign w:val="center"/>
          </w:tcPr>
          <w:p w:rsidR="003A1797" w:rsidRPr="00FA5B9E" w:rsidRDefault="003A1797" w:rsidP="003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85 229 352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cantSplit/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0A034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 xml:space="preserve">z toho vplyv nových úloh v zmysle ods. 2 Čl. 6 ústavného zákona č. 493/2011 Z. z. </w:t>
            </w:r>
          </w:p>
          <w:p w:rsidR="00EE48F3" w:rsidRPr="004B49B9" w:rsidRDefault="00EE48F3" w:rsidP="00EE48F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0A034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 xml:space="preserve">z toho vplyv nových úloh v zmysle ods. 2 Čl. 6 ústavného zákona č. 493/2011 Z. z. </w:t>
            </w:r>
          </w:p>
          <w:p w:rsidR="00EE48F3" w:rsidRPr="004B49B9" w:rsidRDefault="00EE48F3" w:rsidP="00EE48F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A13454" w:rsidRPr="006C30DD" w:rsidTr="005B024E">
        <w:trPr>
          <w:trHeight w:val="227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E48F3" w:rsidRPr="004B49B9" w:rsidRDefault="00EE48F3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E48F3" w:rsidRPr="00FA5B9E" w:rsidRDefault="00EE48F3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2069B" w:rsidRPr="00FA5B9E" w:rsidRDefault="0072069B" w:rsidP="00720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E48F3" w:rsidRPr="00FA5B9E" w:rsidRDefault="0072069B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E48F3" w:rsidRPr="00FA5B9E" w:rsidRDefault="0072069B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F47E0C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F47E0C" w:rsidRPr="004B49B9" w:rsidRDefault="00F47E0C" w:rsidP="00EE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F47E0C" w:rsidRPr="00FA5B9E" w:rsidRDefault="00F47E0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F47E0C" w:rsidRPr="00FA5B9E" w:rsidRDefault="00F47E0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F47E0C" w:rsidRPr="00FA5B9E" w:rsidRDefault="00F47E0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F47E0C" w:rsidRPr="00FA5B9E" w:rsidRDefault="00F47E0C" w:rsidP="00E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</w:tr>
      <w:tr w:rsidR="000A58ED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A58ED" w:rsidRPr="004B49B9" w:rsidRDefault="000A58ED" w:rsidP="000A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B871EA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B871EA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B871EA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0A58ED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A58ED" w:rsidRPr="004B49B9" w:rsidRDefault="000A58ED" w:rsidP="000A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0A58ED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A58ED" w:rsidRPr="004B49B9" w:rsidRDefault="000A58ED" w:rsidP="000A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0A58ED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A58ED" w:rsidRPr="004B49B9" w:rsidRDefault="000A58ED" w:rsidP="000A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A58ED" w:rsidRPr="00FA5B9E" w:rsidRDefault="000A58ED" w:rsidP="000A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87804" w:rsidRPr="00FA5B9E" w:rsidRDefault="00F60CEA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87804" w:rsidRPr="00FA5B9E" w:rsidRDefault="00F60CEA" w:rsidP="0057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87804" w:rsidRPr="00FA5B9E" w:rsidRDefault="00F60CEA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87804" w:rsidRPr="00FA5B9E" w:rsidRDefault="00F60CEA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087804" w:rsidRPr="00F47E0C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87804" w:rsidRPr="00087804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87804" w:rsidRPr="00087804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87804" w:rsidRPr="00087804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F60CEA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F60CEA" w:rsidP="0057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F60CEA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F60CEA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0</w:t>
            </w: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94D17" w:rsidRPr="00FA5B9E" w:rsidRDefault="00994D17" w:rsidP="0099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87804" w:rsidRPr="00FA5B9E" w:rsidRDefault="003B430D" w:rsidP="007C7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87804" w:rsidRPr="00FA5B9E" w:rsidRDefault="003B430D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087804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087804" w:rsidRPr="004B49B9" w:rsidRDefault="00087804" w:rsidP="0008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87804" w:rsidRPr="00FA5B9E" w:rsidRDefault="00087804" w:rsidP="00087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FD5251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FD5251" w:rsidRPr="004B49B9" w:rsidRDefault="00FD5251" w:rsidP="00FD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Ministerstvo vnútra SR / 0D6 Efektívna verejná </w:t>
            </w: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správa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D5251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FD5251" w:rsidRPr="004B49B9" w:rsidRDefault="00FD5251" w:rsidP="00FD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inisterstvo spravodlivosti</w:t>
            </w: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</w:t>
            </w: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/ 070 - Väzenstvo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447EDE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447EDE" w:rsidRPr="004B49B9" w:rsidRDefault="00FA5B9E" w:rsidP="00FD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Ministerstvo financií SR / 072 – Výber daní, odvodov, cla a príspevkov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A314E0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A314E0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A314E0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47EDE" w:rsidRPr="00FA5B9E" w:rsidRDefault="00A314E0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FD5251" w:rsidRPr="006C30DD" w:rsidTr="005B024E">
        <w:trPr>
          <w:trHeight w:val="227"/>
          <w:jc w:val="center"/>
        </w:trPr>
        <w:tc>
          <w:tcPr>
            <w:tcW w:w="4661" w:type="dxa"/>
            <w:noWrap/>
            <w:vAlign w:val="center"/>
          </w:tcPr>
          <w:p w:rsidR="00FD5251" w:rsidRPr="004B49B9" w:rsidRDefault="00FD5251" w:rsidP="00FD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Národný bezpečnostný úrad </w:t>
            </w: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/ 0D9 Bezpečnosť informácií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FD5251" w:rsidRPr="00FA5B9E" w:rsidRDefault="00FD5251" w:rsidP="00FD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7C7CC0" w:rsidRPr="006C30DD" w:rsidTr="005B024E">
        <w:trPr>
          <w:trHeight w:val="227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C7CC0" w:rsidRPr="004B49B9" w:rsidRDefault="007C7CC0" w:rsidP="007C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C7CC0" w:rsidRPr="00FA5B9E" w:rsidRDefault="007C7CC0" w:rsidP="007C7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C7CC0" w:rsidRPr="00FA5B9E" w:rsidRDefault="007C7CC0" w:rsidP="007C7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C7CC0" w:rsidRPr="00FA5B9E" w:rsidRDefault="007C7CC0" w:rsidP="007C7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C7CC0" w:rsidRPr="00FA5B9E" w:rsidRDefault="007C7CC0" w:rsidP="007C7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FA5B9E" w:rsidRPr="006C30DD" w:rsidTr="005B024E">
        <w:trPr>
          <w:trHeight w:val="227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FA5B9E" w:rsidRPr="004B49B9" w:rsidRDefault="00FA5B9E" w:rsidP="00FA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B49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49 974 975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100 158 852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</w:tr>
    </w:tbl>
    <w:p w:rsidR="00BA33CA" w:rsidRDefault="00BA33CA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5B024E" w:rsidRDefault="005B024E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7EDE" w:rsidRDefault="00447EDE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7EDE" w:rsidRDefault="00447EDE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Pr="007B7470" w:rsidRDefault="001C721D" w:rsidP="00BA33CA">
      <w:pPr>
        <w:spacing w:after="0"/>
        <w:ind w:left="708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</w:t>
      </w:r>
      <w:r w:rsidR="005001D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1/B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276"/>
      </w:tblGrid>
      <w:tr w:rsidR="00CD1045" w:rsidRPr="006C30DD" w:rsidTr="00B14C62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A31A5" w:rsidRPr="00FA5B9E" w:rsidRDefault="002A31A5" w:rsidP="002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31A5" w:rsidRPr="00F54BCE" w:rsidRDefault="002A31A5" w:rsidP="002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31A5" w:rsidRPr="00F54BCE" w:rsidRDefault="002A31A5" w:rsidP="002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31A5" w:rsidRPr="00F54BCE" w:rsidRDefault="002A31A5" w:rsidP="002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31A5" w:rsidRPr="00F54BCE" w:rsidRDefault="002A31A5" w:rsidP="002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FA5B9E" w:rsidRPr="006C30DD" w:rsidTr="00FA5B9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5B9E" w:rsidRPr="00F54BCE" w:rsidRDefault="00FA5B9E" w:rsidP="00FA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F47E0C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49 974 975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602282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100 158 852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0474C0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0474C0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</w:tr>
      <w:tr w:rsidR="00CD1045" w:rsidRPr="006C30DD" w:rsidTr="00B14C62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F54BCE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F54BCE" w:rsidRDefault="001C721D" w:rsidP="00A1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FA5B9E" w:rsidRDefault="001C721D" w:rsidP="00A1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A10721" w:rsidRDefault="001C721D" w:rsidP="00A1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A10721" w:rsidRDefault="001C721D" w:rsidP="00A1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A314E0" w:rsidRPr="006C30DD" w:rsidTr="009C17C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314E0" w:rsidRPr="00994D17" w:rsidRDefault="00A314E0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 xml:space="preserve">Ministerstvo vnútra SR / 0D6 Efektívna </w:t>
            </w:r>
            <w:r w:rsidRPr="00994D1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 xml:space="preserve">erejná </w:t>
            </w:r>
            <w:r w:rsidRPr="00994D1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>správa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36 967 163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02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72 173 532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0474C0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63 371 232</w:t>
            </w:r>
          </w:p>
        </w:tc>
      </w:tr>
      <w:tr w:rsidR="00A314E0" w:rsidRPr="006C30DD" w:rsidTr="00A314E0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314E0" w:rsidRPr="00994D17" w:rsidRDefault="00A314E0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>Ministerstvo spravodlivosti</w:t>
            </w:r>
            <w:r w:rsidRPr="00994D1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 xml:space="preserve"> SR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 xml:space="preserve"> </w:t>
            </w:r>
            <w:r w:rsidRPr="00994D1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>/ 070 - Väzenstvo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6 895 875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A314E0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A314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16 872 444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0474C0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13 708 944</w:t>
            </w:r>
          </w:p>
        </w:tc>
      </w:tr>
      <w:tr w:rsidR="00FA5B9E" w:rsidRPr="006C30DD" w:rsidTr="00A314E0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A5B9E" w:rsidRDefault="00FA5B9E" w:rsidP="00FA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sk-SK"/>
              </w:rPr>
              <w:t>Ministerstvo financií SR / 072 – Výber daní, odvodov, cla a príspevkov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5 720 663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10 267 944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9E" w:rsidRPr="00FA5B9E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7 515 144</w:t>
            </w:r>
          </w:p>
        </w:tc>
      </w:tr>
      <w:tr w:rsidR="00A314E0" w:rsidRPr="006C30DD" w:rsidTr="009C17C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314E0" w:rsidRPr="00F54BCE" w:rsidRDefault="00A314E0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Národný bezpečnostný úrad </w:t>
            </w:r>
            <w:r w:rsidRPr="00F5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/ 0D9 Bezpečnosť informácií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391 275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844 932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0474C0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4B49B9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634 032</w:t>
            </w:r>
          </w:p>
        </w:tc>
      </w:tr>
      <w:tr w:rsidR="00A314E0" w:rsidRPr="006C30DD" w:rsidTr="00B14C62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14E0" w:rsidRPr="00F54BCE" w:rsidRDefault="00A314E0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54BC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A5B9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A5B9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A5B9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</w:tr>
      <w:tr w:rsidR="00FA5B9E" w:rsidRPr="006C30DD" w:rsidTr="003A1797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5B9E" w:rsidRPr="00F54BCE" w:rsidRDefault="00FA5B9E" w:rsidP="00FA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F47E0C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49 974 975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602282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100 158 852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0474C0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9E" w:rsidRPr="000474C0" w:rsidRDefault="00FA5B9E" w:rsidP="00FA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85 229 352</w:t>
            </w:r>
          </w:p>
        </w:tc>
      </w:tr>
      <w:tr w:rsidR="00A314E0" w:rsidRPr="006C30DD" w:rsidTr="00B14C62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14E0" w:rsidRPr="00F54BCE" w:rsidRDefault="00A314E0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54BC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A5B9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A5B9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E0" w:rsidRPr="00FA5B9E" w:rsidRDefault="00A314E0" w:rsidP="00A3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5B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</w:tr>
      <w:tr w:rsidR="00A314E0" w:rsidRPr="006C30DD" w:rsidTr="00B14C62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314E0" w:rsidRPr="00F54BCE" w:rsidRDefault="00A314E0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F54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FA5B9E" w:rsidRDefault="00A314E0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FA5B9E" w:rsidRDefault="00A314E0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FA5B9E" w:rsidRDefault="00A314E0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E0" w:rsidRPr="00FA5B9E" w:rsidRDefault="00A314E0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</w:tr>
    </w:tbl>
    <w:p w:rsidR="003F35B7" w:rsidRPr="002A31A5" w:rsidRDefault="003F35B7" w:rsidP="005307FC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:rsidR="007D5748" w:rsidRPr="00FD5251" w:rsidRDefault="007D5748" w:rsidP="00FD525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</w:t>
      </w:r>
      <w:r w:rsidR="00FD52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ých pravidlách verejnej správy:</w:t>
      </w:r>
    </w:p>
    <w:p w:rsidR="00457E11" w:rsidRPr="003B430D" w:rsidRDefault="003878CC" w:rsidP="005B02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Predkladaný materiál má negatívny vplyv na rozpočet verejnej správy.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Vzhľadom na uvedené bude potrebné z dôvodu financovania predkladaného materiálu realizovať zvýšenie limitu výdavkov zo strany Ministerstva financií SR v kapitole Ministerstva spravodlivosti SR, Ministerstva vnútra SR</w:t>
      </w:r>
      <w:r w:rsidR="00BD7A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031BE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Slovenskej informačnej služby, Národného bezpečnostného úradu a finančnej správy</w:t>
      </w:r>
      <w:r w:rsidR="002B31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rozpočte roku 2024</w:t>
      </w:r>
      <w:r w:rsidR="00BD7A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2B31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aj v návrh</w:t>
      </w:r>
      <w:r w:rsidR="00031BE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och</w:t>
      </w:r>
      <w:r w:rsidR="002B31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rozpočtu verejnej správy na roky 2025 až 2027</w:t>
      </w:r>
      <w:r w:rsidR="003B43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5834D1" w:rsidRDefault="005834D1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34D1" w:rsidRDefault="005834D1" w:rsidP="003A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C61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materiálu rieši dlhodobú nepriaznivú personálnu situáciu v</w:t>
      </w:r>
      <w:r w:rsidR="00382C3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31B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Policajnom zbore, </w:t>
      </w:r>
      <w:r w:rsidR="00382C3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257C61">
        <w:rPr>
          <w:rFonts w:ascii="Times New Roman" w:eastAsia="Times New Roman" w:hAnsi="Times New Roman" w:cs="Times New Roman"/>
          <w:sz w:val="24"/>
          <w:szCs w:val="24"/>
          <w:lang w:eastAsia="sk-SK"/>
        </w:rPr>
        <w:t>bore</w:t>
      </w:r>
      <w:r w:rsidR="00382C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väz</w:t>
      </w:r>
      <w:r w:rsidR="006271EE">
        <w:rPr>
          <w:rFonts w:ascii="Times New Roman" w:eastAsia="Times New Roman" w:hAnsi="Times New Roman" w:cs="Times New Roman"/>
          <w:sz w:val="24"/>
          <w:szCs w:val="24"/>
          <w:lang w:eastAsia="sk-SK"/>
        </w:rPr>
        <w:t>enskej a justičnej stráže</w:t>
      </w:r>
      <w:r w:rsidR="00E17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31BEA">
        <w:rPr>
          <w:rFonts w:ascii="Times New Roman" w:hAnsi="Times New Roman" w:cs="Times New Roman"/>
          <w:sz w:val="24"/>
          <w:szCs w:val="24"/>
        </w:rPr>
        <w:t>Slovenskej informačnej službe</w:t>
      </w:r>
      <w:r w:rsidR="00BD7A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31BE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Národnom bezpečnostnom úrade a vo f</w:t>
      </w:r>
      <w:r w:rsidR="00BD7ACB">
        <w:rPr>
          <w:rFonts w:ascii="Times New Roman" w:eastAsia="Times New Roman" w:hAnsi="Times New Roman" w:cs="Times New Roman"/>
          <w:sz w:val="24"/>
          <w:szCs w:val="24"/>
          <w:lang w:eastAsia="sk-SK"/>
        </w:rPr>
        <w:t>inančnej správe</w:t>
      </w:r>
      <w:r w:rsidR="00031B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271EE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031B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bezpečnostné </w:t>
      </w:r>
      <w:r w:rsidR="006271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zložky“) </w:t>
      </w:r>
      <w:r w:rsidR="00031B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257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za cieľ realizovať neodkladné opatrenia, ktoré budú smerovať k zlepšeniu tejto situácie a k následnej stabilizácii personálu </w:t>
      </w:r>
      <w:r w:rsidR="00031BEA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bezpečnostných</w:t>
      </w:r>
      <w:r w:rsidR="00382C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31EB">
        <w:rPr>
          <w:rFonts w:ascii="Times New Roman" w:eastAsia="Times New Roman" w:hAnsi="Times New Roman" w:cs="Times New Roman"/>
          <w:sz w:val="24"/>
          <w:szCs w:val="24"/>
          <w:lang w:eastAsia="sk-SK"/>
        </w:rPr>
        <w:t>zložiek</w:t>
      </w:r>
      <w:r w:rsidRPr="00257C6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834D1" w:rsidRDefault="00031BEA" w:rsidP="0058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bude implementovaný </w:t>
      </w:r>
      <w:r>
        <w:rPr>
          <w:rFonts w:ascii="Times New Roman" w:hAnsi="Times New Roman" w:cs="Times New Roman"/>
          <w:sz w:val="24"/>
          <w:szCs w:val="24"/>
        </w:rPr>
        <w:t>Generálnym riaditeľstvom</w:t>
      </w:r>
      <w:r w:rsidR="005834D1">
        <w:rPr>
          <w:rFonts w:ascii="Times New Roman" w:hAnsi="Times New Roman" w:cs="Times New Roman"/>
          <w:sz w:val="24"/>
          <w:szCs w:val="24"/>
        </w:rPr>
        <w:t xml:space="preserve"> zboru a</w:t>
      </w:r>
      <w:r w:rsidR="005B75C4">
        <w:rPr>
          <w:rFonts w:ascii="Times New Roman" w:hAnsi="Times New Roman" w:cs="Times New Roman"/>
          <w:sz w:val="24"/>
          <w:szCs w:val="24"/>
        </w:rPr>
        <w:t> </w:t>
      </w:r>
      <w:r w:rsidR="005834D1">
        <w:rPr>
          <w:rFonts w:ascii="Times New Roman" w:hAnsi="Times New Roman" w:cs="Times New Roman"/>
          <w:sz w:val="24"/>
          <w:szCs w:val="24"/>
        </w:rPr>
        <w:t>ústavov na výkon väzby, ústavov na výkon trestu odňatia slobody, ústavu na výkon trestu odňatia slobody pre mladistvých a nemocnice pre obvinených a</w:t>
      </w:r>
      <w:r w:rsidR="00382C3E">
        <w:rPr>
          <w:rFonts w:ascii="Times New Roman" w:hAnsi="Times New Roman" w:cs="Times New Roman"/>
          <w:sz w:val="24"/>
          <w:szCs w:val="24"/>
        </w:rPr>
        <w:t> </w:t>
      </w:r>
      <w:r w:rsidR="005834D1">
        <w:rPr>
          <w:rFonts w:ascii="Times New Roman" w:hAnsi="Times New Roman" w:cs="Times New Roman"/>
          <w:sz w:val="24"/>
          <w:szCs w:val="24"/>
        </w:rPr>
        <w:t>odsúdených</w:t>
      </w:r>
      <w:r w:rsidR="00382C3E">
        <w:rPr>
          <w:rFonts w:ascii="Times New Roman" w:hAnsi="Times New Roman" w:cs="Times New Roman"/>
          <w:sz w:val="24"/>
          <w:szCs w:val="24"/>
        </w:rPr>
        <w:t>, Ministerstv</w:t>
      </w:r>
      <w:r w:rsidR="00BD7AC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="00382C3E">
        <w:rPr>
          <w:rFonts w:ascii="Times New Roman" w:hAnsi="Times New Roman" w:cs="Times New Roman"/>
          <w:sz w:val="24"/>
          <w:szCs w:val="24"/>
        </w:rPr>
        <w:t xml:space="preserve"> vnútra </w:t>
      </w:r>
      <w:r>
        <w:rPr>
          <w:rFonts w:ascii="Times New Roman" w:hAnsi="Times New Roman" w:cs="Times New Roman"/>
          <w:sz w:val="24"/>
          <w:szCs w:val="24"/>
        </w:rPr>
        <w:t>SR, Slovenskou informačnou službou, Národným bezpečnostným úradom a finančnou správou</w:t>
      </w:r>
      <w:r w:rsidR="005834D1">
        <w:rPr>
          <w:rFonts w:ascii="Times New Roman" w:hAnsi="Times New Roman" w:cs="Times New Roman"/>
          <w:sz w:val="24"/>
          <w:szCs w:val="24"/>
        </w:rPr>
        <w:t>.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lastRenderedPageBreak/>
        <w:t xml:space="preserve"> </w:t>
      </w:r>
      <w:r w:rsidR="005834D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031BEA" w:rsidRPr="007B7470" w:rsidRDefault="00031BEA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E67EC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E67EC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E67EC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E67EC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34D1" w:rsidRPr="004F3A85" w:rsidRDefault="005834D1" w:rsidP="0058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A85">
        <w:rPr>
          <w:rFonts w:ascii="Times New Roman" w:hAnsi="Times New Roman" w:cs="Times New Roman"/>
          <w:b/>
          <w:sz w:val="24"/>
          <w:szCs w:val="24"/>
        </w:rPr>
        <w:t>Výdavková časť rozpočtu verejnej správy:</w:t>
      </w:r>
    </w:p>
    <w:p w:rsidR="009D0D00" w:rsidRDefault="009D0D00" w:rsidP="000A0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B0" w:rsidRPr="00BA118E" w:rsidRDefault="006540B0" w:rsidP="00716C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B0">
        <w:rPr>
          <w:rFonts w:ascii="Times New Roman" w:hAnsi="Times New Roman" w:cs="Times New Roman"/>
          <w:b/>
          <w:sz w:val="24"/>
          <w:szCs w:val="24"/>
        </w:rPr>
        <w:t>MV 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17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A118E">
        <w:rPr>
          <w:rFonts w:ascii="Times New Roman" w:hAnsi="Times New Roman" w:cs="Times New Roman"/>
          <w:sz w:val="24"/>
          <w:szCs w:val="24"/>
        </w:rPr>
        <w:t>výšenie príspevku na bývanie podľa aktuálne platnej leg</w:t>
      </w:r>
      <w:r>
        <w:rPr>
          <w:rFonts w:ascii="Times New Roman" w:hAnsi="Times New Roman" w:cs="Times New Roman"/>
          <w:sz w:val="24"/>
          <w:szCs w:val="24"/>
        </w:rPr>
        <w:t xml:space="preserve">islatívy (§ 141a zákona </w:t>
      </w:r>
      <w:r w:rsidRPr="00BA118E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118E">
        <w:rPr>
          <w:rFonts w:ascii="Times New Roman" w:hAnsi="Times New Roman" w:cs="Times New Roman"/>
          <w:sz w:val="24"/>
          <w:szCs w:val="24"/>
        </w:rPr>
        <w:t xml:space="preserve">73/1998 Z. z. </w:t>
      </w:r>
      <w:r w:rsidRPr="00BA11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štátnej službe príslušníkov Policajného zboru, Slovenskej informačnej služby, Zboru väzenskej a justičnej stráže Slovenskej republiky a Železničnej polície v znení neskorších predpisov</w:t>
      </w:r>
      <w:r w:rsidRPr="00BA118E">
        <w:rPr>
          <w:rFonts w:ascii="Times New Roman" w:hAnsi="Times New Roman" w:cs="Times New Roman"/>
          <w:sz w:val="24"/>
          <w:szCs w:val="24"/>
        </w:rPr>
        <w:t>)</w:t>
      </w:r>
      <w:r w:rsidRPr="00BA1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ACA">
        <w:rPr>
          <w:rFonts w:ascii="Times New Roman" w:hAnsi="Times New Roman" w:cs="Times New Roman"/>
          <w:sz w:val="24"/>
          <w:szCs w:val="24"/>
        </w:rPr>
        <w:t>na maximálnu výšku 7</w:t>
      </w:r>
      <w:r w:rsidR="00BF31EB">
        <w:rPr>
          <w:rFonts w:ascii="Times New Roman" w:hAnsi="Times New Roman" w:cs="Times New Roman"/>
          <w:sz w:val="24"/>
          <w:szCs w:val="24"/>
        </w:rPr>
        <w:t>00 eur mesačne na jedno</w:t>
      </w:r>
      <w:r w:rsidRPr="00BA118E">
        <w:rPr>
          <w:rFonts w:ascii="Times New Roman" w:hAnsi="Times New Roman" w:cs="Times New Roman"/>
          <w:sz w:val="24"/>
          <w:szCs w:val="24"/>
        </w:rPr>
        <w:t xml:space="preserve"> systemizované miesto príslušníka </w:t>
      </w:r>
      <w:r>
        <w:rPr>
          <w:rFonts w:ascii="Times New Roman" w:hAnsi="Times New Roman" w:cs="Times New Roman"/>
          <w:sz w:val="24"/>
          <w:szCs w:val="24"/>
        </w:rPr>
        <w:t xml:space="preserve">Policajného </w:t>
      </w:r>
      <w:r w:rsidRPr="00BA118E">
        <w:rPr>
          <w:rFonts w:ascii="Times New Roman" w:hAnsi="Times New Roman" w:cs="Times New Roman"/>
          <w:sz w:val="24"/>
          <w:szCs w:val="24"/>
        </w:rPr>
        <w:t>zboru</w:t>
      </w:r>
      <w:r w:rsidR="00957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3F00">
        <w:rPr>
          <w:rFonts w:ascii="Times New Roman" w:hAnsi="Times New Roman" w:cs="Times New Roman"/>
          <w:sz w:val="24"/>
          <w:szCs w:val="24"/>
        </w:rPr>
        <w:t xml:space="preserve">priemerne </w:t>
      </w:r>
      <w:r>
        <w:rPr>
          <w:rFonts w:ascii="Times New Roman" w:hAnsi="Times New Roman" w:cs="Times New Roman"/>
          <w:sz w:val="24"/>
          <w:szCs w:val="24"/>
        </w:rPr>
        <w:t xml:space="preserve">o 200 </w:t>
      </w:r>
      <w:r w:rsidR="00883F00">
        <w:rPr>
          <w:rFonts w:ascii="Times New Roman" w:hAnsi="Times New Roman" w:cs="Times New Roman"/>
          <w:sz w:val="24"/>
          <w:szCs w:val="24"/>
        </w:rPr>
        <w:t xml:space="preserve">eur </w:t>
      </w:r>
      <w:r w:rsidR="00E1732C">
        <w:rPr>
          <w:rFonts w:ascii="Times New Roman" w:hAnsi="Times New Roman" w:cs="Times New Roman"/>
          <w:sz w:val="24"/>
          <w:szCs w:val="24"/>
        </w:rPr>
        <w:t>mesačne na</w:t>
      </w:r>
      <w:r w:rsidR="006271EE">
        <w:rPr>
          <w:rFonts w:ascii="Times New Roman" w:hAnsi="Times New Roman" w:cs="Times New Roman"/>
          <w:sz w:val="24"/>
          <w:szCs w:val="24"/>
        </w:rPr>
        <w:t> </w:t>
      </w:r>
      <w:r w:rsidR="00E1732C">
        <w:rPr>
          <w:rFonts w:ascii="Times New Roman" w:hAnsi="Times New Roman" w:cs="Times New Roman"/>
          <w:sz w:val="24"/>
          <w:szCs w:val="24"/>
        </w:rPr>
        <w:t>každého</w:t>
      </w:r>
      <w:r w:rsidR="006271EE">
        <w:rPr>
          <w:rFonts w:ascii="Times New Roman" w:hAnsi="Times New Roman" w:cs="Times New Roman"/>
          <w:sz w:val="24"/>
          <w:szCs w:val="24"/>
        </w:rPr>
        <w:t xml:space="preserve"> príslušníka</w:t>
      </w:r>
      <w:r w:rsidR="00AE67EC" w:rsidRPr="00AE67EC">
        <w:rPr>
          <w:rFonts w:ascii="Times New Roman" w:hAnsi="Times New Roman" w:cs="Times New Roman"/>
          <w:sz w:val="24"/>
          <w:szCs w:val="24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1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572" w:rsidRDefault="006A7572" w:rsidP="00654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B0" w:rsidRPr="00BA118E" w:rsidRDefault="006540B0" w:rsidP="006540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>Aktuálny s</w:t>
      </w:r>
      <w:r w:rsidR="006271EE">
        <w:rPr>
          <w:rFonts w:ascii="Times New Roman" w:hAnsi="Times New Roman" w:cs="Times New Roman"/>
          <w:sz w:val="24"/>
          <w:szCs w:val="24"/>
        </w:rPr>
        <w:t>ystemizovaný počet príslušníkov</w:t>
      </w:r>
      <w:r w:rsidR="00AE67EC">
        <w:rPr>
          <w:rFonts w:ascii="Times New Roman" w:hAnsi="Times New Roman" w:cs="Times New Roman"/>
          <w:sz w:val="24"/>
          <w:szCs w:val="24"/>
        </w:rPr>
        <w:t xml:space="preserve"> 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="006271EE">
        <w:rPr>
          <w:rFonts w:ascii="Times New Roman" w:hAnsi="Times New Roman" w:cs="Times New Roman"/>
          <w:sz w:val="24"/>
          <w:szCs w:val="24"/>
        </w:rPr>
        <w:t xml:space="preserve"> </w:t>
      </w:r>
      <w:r w:rsidRPr="00BA118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271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601</w:t>
      </w:r>
      <w:r w:rsidRPr="00BA118E">
        <w:rPr>
          <w:rFonts w:ascii="Times New Roman" w:hAnsi="Times New Roman" w:cs="Times New Roman"/>
          <w:sz w:val="24"/>
          <w:szCs w:val="24"/>
        </w:rPr>
        <w:t xml:space="preserve"> miest. Ročný celkový </w:t>
      </w:r>
      <w:r>
        <w:rPr>
          <w:rFonts w:ascii="Times New Roman" w:hAnsi="Times New Roman" w:cs="Times New Roman"/>
          <w:sz w:val="24"/>
          <w:szCs w:val="24"/>
        </w:rPr>
        <w:t>vplyv</w:t>
      </w:r>
      <w:r w:rsidRPr="00BA118E">
        <w:rPr>
          <w:rFonts w:ascii="Times New Roman" w:hAnsi="Times New Roman" w:cs="Times New Roman"/>
          <w:sz w:val="24"/>
          <w:szCs w:val="24"/>
        </w:rPr>
        <w:t xml:space="preserve"> na rozpočet </w:t>
      </w:r>
      <w:r>
        <w:rPr>
          <w:rFonts w:ascii="Times New Roman" w:hAnsi="Times New Roman" w:cs="Times New Roman"/>
          <w:sz w:val="24"/>
          <w:szCs w:val="24"/>
        </w:rPr>
        <w:t>Ministerstva vnútra SR</w:t>
      </w:r>
      <w:r w:rsidR="008C0D4D">
        <w:rPr>
          <w:rFonts w:ascii="Times New Roman" w:hAnsi="Times New Roman" w:cs="Times New Roman"/>
          <w:sz w:val="24"/>
          <w:szCs w:val="24"/>
        </w:rPr>
        <w:t xml:space="preserve"> na </w:t>
      </w:r>
      <w:r w:rsidR="00D31E59">
        <w:rPr>
          <w:rFonts w:ascii="Times New Roman" w:hAnsi="Times New Roman" w:cs="Times New Roman"/>
          <w:sz w:val="24"/>
          <w:szCs w:val="24"/>
        </w:rPr>
        <w:t>rok 2025 a</w:t>
      </w:r>
      <w:r w:rsidR="002349B1">
        <w:rPr>
          <w:rFonts w:ascii="Times New Roman" w:hAnsi="Times New Roman" w:cs="Times New Roman"/>
          <w:sz w:val="24"/>
          <w:szCs w:val="24"/>
        </w:rPr>
        <w:t> </w:t>
      </w:r>
      <w:r w:rsidR="00D31E59">
        <w:rPr>
          <w:rFonts w:ascii="Times New Roman" w:hAnsi="Times New Roman" w:cs="Times New Roman"/>
          <w:sz w:val="24"/>
          <w:szCs w:val="24"/>
        </w:rPr>
        <w:t>nasledujúce</w:t>
      </w:r>
      <w:r w:rsidR="002349B1">
        <w:rPr>
          <w:rFonts w:ascii="Times New Roman" w:hAnsi="Times New Roman" w:cs="Times New Roman"/>
          <w:sz w:val="24"/>
          <w:szCs w:val="24"/>
        </w:rPr>
        <w:t xml:space="preserve"> roky</w:t>
      </w:r>
      <w:r w:rsidRPr="00BA118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 w:rsidR="008C0D4D">
        <w:rPr>
          <w:rFonts w:ascii="Times New Roman" w:hAnsi="Times New Roman" w:cs="Times New Roman"/>
          <w:sz w:val="24"/>
          <w:szCs w:val="24"/>
        </w:rPr>
        <w:t>63 371 232</w:t>
      </w:r>
      <w:r w:rsidRPr="00BA118E">
        <w:rPr>
          <w:rFonts w:ascii="Times New Roman" w:hAnsi="Times New Roman" w:cs="Times New Roman"/>
          <w:sz w:val="24"/>
          <w:szCs w:val="24"/>
        </w:rPr>
        <w:t xml:space="preserve"> eur, z toho:</w:t>
      </w:r>
    </w:p>
    <w:p w:rsidR="006540B0" w:rsidRPr="00E106C4" w:rsidRDefault="006540B0" w:rsidP="00E106C4">
      <w:pPr>
        <w:pStyle w:val="Odsekzoznamu"/>
        <w:numPr>
          <w:ilvl w:val="1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 xml:space="preserve">v kategórii </w:t>
      </w:r>
      <w:r>
        <w:rPr>
          <w:rFonts w:ascii="Times New Roman" w:hAnsi="Times New Roman" w:cs="Times New Roman"/>
          <w:sz w:val="24"/>
          <w:szCs w:val="24"/>
        </w:rPr>
        <w:t xml:space="preserve">rozpočtu 640 - </w:t>
      </w:r>
      <w:r w:rsidRPr="00BA118E">
        <w:rPr>
          <w:rFonts w:ascii="Times New Roman" w:hAnsi="Times New Roman" w:cs="Times New Roman"/>
          <w:sz w:val="24"/>
          <w:szCs w:val="24"/>
        </w:rPr>
        <w:t xml:space="preserve">Bežné transfery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8C0D4D">
        <w:rPr>
          <w:rFonts w:ascii="Times New Roman" w:hAnsi="Times New Roman" w:cs="Times New Roman"/>
          <w:sz w:val="24"/>
          <w:szCs w:val="24"/>
        </w:rPr>
        <w:t> 091 200</w:t>
      </w:r>
      <w:r w:rsidRPr="00BA118E">
        <w:rPr>
          <w:rFonts w:ascii="Times New Roman" w:hAnsi="Times New Roman" w:cs="Times New Roman"/>
          <w:sz w:val="24"/>
          <w:szCs w:val="24"/>
        </w:rPr>
        <w:t xml:space="preserve"> eur, </w:t>
      </w:r>
    </w:p>
    <w:p w:rsidR="006540B0" w:rsidRPr="00E106C4" w:rsidRDefault="006540B0" w:rsidP="00E106C4">
      <w:pPr>
        <w:pStyle w:val="Odsekzoznamu"/>
        <w:numPr>
          <w:ilvl w:val="1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 xml:space="preserve">v kategórii </w:t>
      </w:r>
      <w:r>
        <w:rPr>
          <w:rFonts w:ascii="Times New Roman" w:hAnsi="Times New Roman" w:cs="Times New Roman"/>
          <w:sz w:val="24"/>
          <w:szCs w:val="24"/>
        </w:rPr>
        <w:t xml:space="preserve">rozpočtu 620 - </w:t>
      </w:r>
      <w:r w:rsidRPr="00BA118E">
        <w:rPr>
          <w:rFonts w:ascii="Times New Roman" w:hAnsi="Times New Roman" w:cs="Times New Roman"/>
          <w:sz w:val="24"/>
          <w:szCs w:val="24"/>
        </w:rPr>
        <w:t xml:space="preserve">Poistné a príspevok do poisťovní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C0D4D">
        <w:rPr>
          <w:rFonts w:ascii="Times New Roman" w:hAnsi="Times New Roman" w:cs="Times New Roman"/>
          <w:sz w:val="24"/>
          <w:szCs w:val="24"/>
        </w:rPr>
        <w:t> 280 032</w:t>
      </w:r>
      <w:r w:rsidRPr="00BA118E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049" w:rsidRDefault="00C50049" w:rsidP="00A964F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64FE" w:rsidRPr="002752E1" w:rsidRDefault="00A964FE" w:rsidP="00A964F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Vyčíslenie výdavkov Ministerstva vnútra </w:t>
      </w:r>
      <w:r w:rsidR="00AE67EC">
        <w:rPr>
          <w:rFonts w:ascii="Times New Roman" w:hAnsi="Times New Roman" w:cs="Times New Roman"/>
          <w:sz w:val="24"/>
          <w:szCs w:val="24"/>
        </w:rPr>
        <w:t>SR</w:t>
      </w:r>
      <w:r w:rsidR="00BF31EB">
        <w:rPr>
          <w:rFonts w:ascii="Times New Roman" w:hAnsi="Times New Roman" w:cs="Times New Roman"/>
          <w:sz w:val="24"/>
          <w:szCs w:val="24"/>
        </w:rPr>
        <w:t xml:space="preserve"> je uvedené vrátane výdavkov Slovenskej informačnej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0B0" w:rsidRPr="00C50049" w:rsidRDefault="006540B0" w:rsidP="00C5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0B0" w:rsidRDefault="006540B0" w:rsidP="006540B0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MV SR </w:t>
      </w:r>
      <w:r w:rsidRPr="00AA3D72">
        <w:rPr>
          <w:rFonts w:ascii="Times New Roman" w:hAnsi="Times New Roman" w:cs="Times New Roman"/>
          <w:b/>
          <w:sz w:val="24"/>
          <w:szCs w:val="24"/>
        </w:rPr>
        <w:t>b)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4C4ACA">
        <w:rPr>
          <w:rFonts w:ascii="Times New Roman" w:hAnsi="Times New Roman" w:cs="Times New Roman"/>
          <w:sz w:val="24"/>
          <w:szCs w:val="24"/>
        </w:rPr>
        <w:t>zavedenie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E7530B">
        <w:rPr>
          <w:rFonts w:ascii="Times New Roman" w:hAnsi="Times New Roman" w:cs="Times New Roman"/>
          <w:sz w:val="24"/>
          <w:szCs w:val="24"/>
        </w:rPr>
        <w:t xml:space="preserve">dočasného </w:t>
      </w:r>
      <w:r w:rsidR="004C4ACA">
        <w:rPr>
          <w:rFonts w:ascii="Times New Roman" w:hAnsi="Times New Roman" w:cs="Times New Roman"/>
          <w:sz w:val="24"/>
          <w:szCs w:val="24"/>
        </w:rPr>
        <w:t>náborového príspevku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E7530B">
        <w:rPr>
          <w:rFonts w:ascii="Times New Roman" w:hAnsi="Times New Roman" w:cs="Times New Roman"/>
          <w:sz w:val="24"/>
          <w:szCs w:val="24"/>
        </w:rPr>
        <w:t>(</w:t>
      </w:r>
      <w:r w:rsidR="00E7530B" w:rsidRPr="00E7530B">
        <w:rPr>
          <w:rFonts w:ascii="Times New Roman" w:hAnsi="Times New Roman" w:cs="Times New Roman"/>
          <w:sz w:val="24"/>
          <w:szCs w:val="24"/>
        </w:rPr>
        <w:t>§ 287p</w:t>
      </w:r>
      <w:r w:rsidR="00E7530B">
        <w:rPr>
          <w:rFonts w:ascii="Times New Roman" w:hAnsi="Times New Roman" w:cs="Times New Roman"/>
          <w:sz w:val="24"/>
          <w:szCs w:val="24"/>
        </w:rPr>
        <w:t xml:space="preserve"> </w:t>
      </w:r>
      <w:r w:rsidR="004C4ACA">
        <w:rPr>
          <w:rFonts w:ascii="Times New Roman" w:hAnsi="Times New Roman" w:cs="Times New Roman"/>
          <w:sz w:val="24"/>
          <w:szCs w:val="24"/>
        </w:rPr>
        <w:t xml:space="preserve">– </w:t>
      </w:r>
      <w:r w:rsidR="00E7530B">
        <w:rPr>
          <w:rFonts w:ascii="Times New Roman" w:hAnsi="Times New Roman" w:cs="Times New Roman"/>
          <w:sz w:val="24"/>
          <w:szCs w:val="24"/>
        </w:rPr>
        <w:t>Dočasný n</w:t>
      </w:r>
      <w:r w:rsidR="004C4ACA">
        <w:rPr>
          <w:rFonts w:ascii="Times New Roman" w:hAnsi="Times New Roman" w:cs="Times New Roman"/>
          <w:sz w:val="24"/>
          <w:szCs w:val="24"/>
        </w:rPr>
        <w:t xml:space="preserve">áborový príspevok) </w:t>
      </w:r>
      <w:r w:rsidR="00AE67EC">
        <w:rPr>
          <w:rFonts w:ascii="Times New Roman" w:hAnsi="Times New Roman" w:cs="Times New Roman"/>
          <w:sz w:val="24"/>
          <w:szCs w:val="24"/>
        </w:rPr>
        <w:t>podľa</w:t>
      </w:r>
      <w:r w:rsidR="004C4ACA">
        <w:rPr>
          <w:rFonts w:ascii="Times New Roman" w:hAnsi="Times New Roman" w:cs="Times New Roman"/>
          <w:sz w:val="24"/>
          <w:szCs w:val="24"/>
        </w:rPr>
        <w:t xml:space="preserve"> novely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AA3D72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3D72">
        <w:rPr>
          <w:rFonts w:ascii="Times New Roman" w:hAnsi="Times New Roman" w:cs="Times New Roman"/>
          <w:sz w:val="24"/>
          <w:szCs w:val="24"/>
        </w:rPr>
        <w:t xml:space="preserve">73/1998 Z. z. </w:t>
      </w:r>
      <w:r w:rsidRPr="00AA3D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štátnej službe príslušníkov Policajného zboru, Slovenskej informačnej služby, Zboru väzenskej a justičnej stráže Slovenskej republiky a Železni</w:t>
      </w:r>
      <w:r w:rsidR="004C4A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čnej polície v znení neskorších predpisov. 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Priznanie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náborového príspevku sa navrhuje 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príslušníkovi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="00AD7F58">
        <w:rPr>
          <w:rFonts w:ascii="Times New Roman" w:hAnsi="Times New Roman" w:cs="Times New Roman"/>
          <w:sz w:val="24"/>
          <w:szCs w:val="24"/>
        </w:rPr>
        <w:t xml:space="preserve"> v prípravnej štátnej službe</w:t>
      </w:r>
      <w:r w:rsidR="00C93C7B" w:rsidRPr="00C93C7B">
        <w:rPr>
          <w:rFonts w:ascii="Times New Roman" w:hAnsi="Times New Roman" w:cs="Times New Roman"/>
          <w:sz w:val="24"/>
        </w:rPr>
        <w:t xml:space="preserve"> </w:t>
      </w:r>
      <w:r w:rsidR="00C93C7B">
        <w:rPr>
          <w:rFonts w:ascii="Times New Roman" w:hAnsi="Times New Roman" w:cs="Times New Roman"/>
          <w:sz w:val="24"/>
        </w:rPr>
        <w:t>po prijatí do služobného pomeru,</w:t>
      </w:r>
      <w:r w:rsidR="00AD7F58">
        <w:rPr>
          <w:rFonts w:ascii="Times New Roman" w:hAnsi="Times New Roman" w:cs="Times New Roman"/>
          <w:sz w:val="24"/>
        </w:rPr>
        <w:t xml:space="preserve"> získaní policajného vzdelania a</w:t>
      </w:r>
      <w:r w:rsidR="004C4ACA" w:rsidRPr="005A3ABE">
        <w:rPr>
          <w:rFonts w:ascii="Times New Roman" w:hAnsi="Times New Roman" w:cs="Times New Roman"/>
          <w:sz w:val="24"/>
        </w:rPr>
        <w:t> ustanovení do funkcie v sume 5</w:t>
      </w:r>
      <w:r w:rsidR="004C4ACA">
        <w:rPr>
          <w:rFonts w:ascii="Times New Roman" w:hAnsi="Times New Roman" w:cs="Times New Roman"/>
          <w:sz w:val="24"/>
        </w:rPr>
        <w:t> </w:t>
      </w:r>
      <w:r w:rsidR="004C4ACA" w:rsidRPr="005A3ABE">
        <w:rPr>
          <w:rFonts w:ascii="Times New Roman" w:hAnsi="Times New Roman" w:cs="Times New Roman"/>
          <w:sz w:val="24"/>
        </w:rPr>
        <w:t xml:space="preserve">000 </w:t>
      </w:r>
      <w:r w:rsidR="00EA4300">
        <w:rPr>
          <w:rFonts w:ascii="Times New Roman" w:hAnsi="Times New Roman" w:cs="Times New Roman"/>
          <w:sz w:val="24"/>
        </w:rPr>
        <w:t>eur</w:t>
      </w:r>
      <w:r w:rsidR="004C4ACA" w:rsidRPr="005A3ABE">
        <w:rPr>
          <w:rFonts w:ascii="Times New Roman" w:hAnsi="Times New Roman" w:cs="Times New Roman"/>
          <w:sz w:val="24"/>
        </w:rPr>
        <w:t>.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Príslušník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ktorému bude</w:t>
      </w:r>
      <w:r w:rsidR="004C4ACA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priznaný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dočasný </w:t>
      </w:r>
      <w:r w:rsidR="004C4ACA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náborový príspevok 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263A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sume</w:t>
      </w:r>
      <w:r w:rsidR="009629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5 000 eur, je </w:t>
      </w:r>
      <w:r w:rsidR="004C4ACA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vinný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C4ACA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zotrvať v služobnom pomere po dobu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piatich rokov. 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="004C4ACA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torý v služobnom pom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ere nezotrvá po dobu piatich</w:t>
      </w:r>
      <w:r w:rsidR="004C4A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rokov, bude</w:t>
      </w:r>
      <w:r w:rsidR="004C4ACA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povinný vrátiť vyplatenú sumu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 w:rsidR="004C4ACA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náborového </w:t>
      </w:r>
      <w:r w:rsidR="00E173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príspevku alebo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jej pomernú časť.</w:t>
      </w:r>
    </w:p>
    <w:p w:rsidR="004C4ACA" w:rsidRPr="006A7572" w:rsidRDefault="004C4ACA" w:rsidP="006A75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572" w:rsidRPr="006A7572" w:rsidRDefault="006A7572" w:rsidP="006A7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572">
        <w:rPr>
          <w:rFonts w:ascii="Times New Roman" w:hAnsi="Times New Roman" w:cs="Times New Roman"/>
          <w:sz w:val="24"/>
          <w:szCs w:val="24"/>
        </w:rPr>
        <w:t>Aktuálny systemizovaný počet</w:t>
      </w:r>
      <w:r w:rsidR="006271EE">
        <w:rPr>
          <w:rFonts w:ascii="Times New Roman" w:hAnsi="Times New Roman" w:cs="Times New Roman"/>
          <w:sz w:val="24"/>
          <w:szCs w:val="24"/>
        </w:rPr>
        <w:t xml:space="preserve"> príslušníkov</w:t>
      </w:r>
      <w:r w:rsidR="00AE67EC">
        <w:rPr>
          <w:rFonts w:ascii="Times New Roman" w:hAnsi="Times New Roman" w:cs="Times New Roman"/>
          <w:sz w:val="24"/>
          <w:szCs w:val="24"/>
        </w:rPr>
        <w:t xml:space="preserve"> 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="006271EE">
        <w:rPr>
          <w:rFonts w:ascii="Times New Roman" w:hAnsi="Times New Roman" w:cs="Times New Roman"/>
          <w:sz w:val="24"/>
          <w:szCs w:val="24"/>
        </w:rPr>
        <w:t xml:space="preserve"> </w:t>
      </w:r>
      <w:r w:rsidRPr="006A7572">
        <w:rPr>
          <w:rFonts w:ascii="Times New Roman" w:hAnsi="Times New Roman" w:cs="Times New Roman"/>
          <w:sz w:val="24"/>
          <w:szCs w:val="24"/>
        </w:rPr>
        <w:t>je 22 601 funkčných miest. Za</w:t>
      </w:r>
      <w:r w:rsidR="006271EE">
        <w:rPr>
          <w:rFonts w:ascii="Times New Roman" w:hAnsi="Times New Roman" w:cs="Times New Roman"/>
          <w:sz w:val="24"/>
          <w:szCs w:val="24"/>
        </w:rPr>
        <w:t> </w:t>
      </w:r>
      <w:r w:rsidRPr="006A7572">
        <w:rPr>
          <w:rFonts w:ascii="Times New Roman" w:hAnsi="Times New Roman" w:cs="Times New Roman"/>
          <w:sz w:val="24"/>
          <w:szCs w:val="24"/>
        </w:rPr>
        <w:t>predpoklad</w:t>
      </w:r>
      <w:r w:rsidR="006271EE">
        <w:rPr>
          <w:rFonts w:ascii="Times New Roman" w:hAnsi="Times New Roman" w:cs="Times New Roman"/>
          <w:sz w:val="24"/>
          <w:szCs w:val="24"/>
        </w:rPr>
        <w:t>u prijatia 1 0</w:t>
      </w:r>
      <w:r w:rsidR="00957533">
        <w:rPr>
          <w:rFonts w:ascii="Times New Roman" w:hAnsi="Times New Roman" w:cs="Times New Roman"/>
          <w:sz w:val="24"/>
          <w:szCs w:val="24"/>
        </w:rPr>
        <w:t>91</w:t>
      </w:r>
      <w:r w:rsidR="006271EE">
        <w:rPr>
          <w:rFonts w:ascii="Times New Roman" w:hAnsi="Times New Roman" w:cs="Times New Roman"/>
          <w:sz w:val="24"/>
          <w:szCs w:val="24"/>
        </w:rPr>
        <w:t xml:space="preserve"> príslušníkov</w:t>
      </w:r>
      <w:r w:rsidR="00AE67EC">
        <w:rPr>
          <w:rFonts w:ascii="Times New Roman" w:hAnsi="Times New Roman" w:cs="Times New Roman"/>
          <w:sz w:val="24"/>
          <w:szCs w:val="24"/>
        </w:rPr>
        <w:t xml:space="preserve"> 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="006271EE">
        <w:rPr>
          <w:rFonts w:ascii="Times New Roman" w:hAnsi="Times New Roman" w:cs="Times New Roman"/>
          <w:sz w:val="24"/>
          <w:szCs w:val="24"/>
        </w:rPr>
        <w:t xml:space="preserve"> </w:t>
      </w:r>
      <w:r w:rsidRPr="006A7572">
        <w:rPr>
          <w:rFonts w:ascii="Times New Roman" w:hAnsi="Times New Roman" w:cs="Times New Roman"/>
          <w:sz w:val="24"/>
          <w:szCs w:val="24"/>
        </w:rPr>
        <w:t>ročne, s vyplatením príspevku v</w:t>
      </w:r>
      <w:r w:rsidR="00263AF4">
        <w:rPr>
          <w:rFonts w:ascii="Times New Roman" w:hAnsi="Times New Roman" w:cs="Times New Roman"/>
          <w:sz w:val="24"/>
          <w:szCs w:val="24"/>
        </w:rPr>
        <w:t> </w:t>
      </w:r>
      <w:r w:rsidRPr="006A7572">
        <w:rPr>
          <w:rFonts w:ascii="Times New Roman" w:hAnsi="Times New Roman" w:cs="Times New Roman"/>
          <w:sz w:val="24"/>
          <w:szCs w:val="24"/>
        </w:rPr>
        <w:t xml:space="preserve">sume 5 000 </w:t>
      </w:r>
      <w:r w:rsidR="00EA4300">
        <w:rPr>
          <w:rFonts w:ascii="Times New Roman" w:hAnsi="Times New Roman" w:cs="Times New Roman"/>
          <w:sz w:val="24"/>
          <w:szCs w:val="24"/>
        </w:rPr>
        <w:t>eur</w:t>
      </w:r>
      <w:r w:rsidRPr="006A7572">
        <w:rPr>
          <w:rFonts w:ascii="Times New Roman" w:hAnsi="Times New Roman" w:cs="Times New Roman"/>
          <w:sz w:val="24"/>
          <w:szCs w:val="24"/>
        </w:rPr>
        <w:t xml:space="preserve"> na</w:t>
      </w:r>
      <w:r w:rsidR="00263096">
        <w:rPr>
          <w:rFonts w:ascii="Times New Roman" w:hAnsi="Times New Roman" w:cs="Times New Roman"/>
          <w:sz w:val="24"/>
          <w:szCs w:val="24"/>
        </w:rPr>
        <w:t xml:space="preserve"> jedného príslušníka</w:t>
      </w:r>
      <w:r w:rsidR="00AE67EC">
        <w:rPr>
          <w:rFonts w:ascii="Times New Roman" w:hAnsi="Times New Roman" w:cs="Times New Roman"/>
          <w:sz w:val="24"/>
          <w:szCs w:val="24"/>
        </w:rPr>
        <w:t xml:space="preserve"> 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Pr="006A7572">
        <w:rPr>
          <w:rFonts w:ascii="Times New Roman" w:hAnsi="Times New Roman" w:cs="Times New Roman"/>
          <w:sz w:val="24"/>
          <w:szCs w:val="24"/>
        </w:rPr>
        <w:t xml:space="preserve">, predstavuje </w:t>
      </w:r>
      <w:r w:rsidR="000D2F47" w:rsidRPr="009E3E93">
        <w:rPr>
          <w:rFonts w:ascii="Times New Roman" w:hAnsi="Times New Roman" w:cs="Times New Roman"/>
          <w:sz w:val="24"/>
          <w:szCs w:val="24"/>
        </w:rPr>
        <w:t xml:space="preserve">ročný </w:t>
      </w:r>
      <w:r w:rsidRPr="009E3E93">
        <w:rPr>
          <w:rFonts w:ascii="Times New Roman" w:hAnsi="Times New Roman" w:cs="Times New Roman"/>
          <w:sz w:val="24"/>
          <w:szCs w:val="24"/>
        </w:rPr>
        <w:t>celkový</w:t>
      </w:r>
      <w:r w:rsidRPr="006A7572">
        <w:rPr>
          <w:rFonts w:ascii="Times New Roman" w:hAnsi="Times New Roman" w:cs="Times New Roman"/>
          <w:sz w:val="24"/>
          <w:szCs w:val="24"/>
        </w:rPr>
        <w:t xml:space="preserve"> vplyv n</w:t>
      </w:r>
      <w:r w:rsidR="00AE67EC">
        <w:rPr>
          <w:rFonts w:ascii="Times New Roman" w:hAnsi="Times New Roman" w:cs="Times New Roman"/>
          <w:sz w:val="24"/>
          <w:szCs w:val="24"/>
        </w:rPr>
        <w:t>a rozpočet Ministerstva vnútra SR</w:t>
      </w:r>
      <w:r w:rsidR="006F0680">
        <w:rPr>
          <w:rFonts w:ascii="Times New Roman" w:hAnsi="Times New Roman" w:cs="Times New Roman"/>
          <w:sz w:val="24"/>
          <w:szCs w:val="24"/>
        </w:rPr>
        <w:t xml:space="preserve"> </w:t>
      </w:r>
      <w:r w:rsidR="00070B11">
        <w:rPr>
          <w:rFonts w:ascii="Times New Roman" w:hAnsi="Times New Roman" w:cs="Times New Roman"/>
          <w:sz w:val="24"/>
          <w:szCs w:val="24"/>
        </w:rPr>
        <w:t>sumu</w:t>
      </w:r>
      <w:r w:rsidRPr="006A7572">
        <w:rPr>
          <w:rFonts w:ascii="Times New Roman" w:hAnsi="Times New Roman" w:cs="Times New Roman"/>
          <w:sz w:val="24"/>
          <w:szCs w:val="24"/>
        </w:rPr>
        <w:t xml:space="preserve"> 6</w:t>
      </w:r>
      <w:r w:rsidR="006F0680">
        <w:rPr>
          <w:rFonts w:ascii="Times New Roman" w:hAnsi="Times New Roman" w:cs="Times New Roman"/>
          <w:sz w:val="24"/>
          <w:szCs w:val="24"/>
        </w:rPr>
        <w:t> 055 050</w:t>
      </w:r>
      <w:r w:rsidRPr="006A7572">
        <w:rPr>
          <w:rFonts w:ascii="Times New Roman" w:hAnsi="Times New Roman" w:cs="Times New Roman"/>
          <w:sz w:val="24"/>
          <w:szCs w:val="24"/>
        </w:rPr>
        <w:t xml:space="preserve"> </w:t>
      </w:r>
      <w:r w:rsidR="00EA4300">
        <w:rPr>
          <w:rFonts w:ascii="Times New Roman" w:hAnsi="Times New Roman" w:cs="Times New Roman"/>
          <w:sz w:val="24"/>
          <w:szCs w:val="24"/>
        </w:rPr>
        <w:t>eur</w:t>
      </w:r>
      <w:r w:rsidRPr="006A7572">
        <w:rPr>
          <w:rFonts w:ascii="Times New Roman" w:hAnsi="Times New Roman" w:cs="Times New Roman"/>
          <w:sz w:val="24"/>
          <w:szCs w:val="24"/>
        </w:rPr>
        <w:t xml:space="preserve"> z toho:</w:t>
      </w:r>
    </w:p>
    <w:p w:rsidR="00E106C4" w:rsidRDefault="006A7572" w:rsidP="00E106C4">
      <w:pPr>
        <w:pStyle w:val="Odsekzoznamu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106C4">
        <w:rPr>
          <w:rFonts w:ascii="Times New Roman" w:hAnsi="Times New Roman" w:cs="Times New Roman"/>
          <w:sz w:val="24"/>
          <w:szCs w:val="24"/>
        </w:rPr>
        <w:t>v kategórii rozpočtu 640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Bežné transfery</w:t>
      </w:r>
      <w:r w:rsidR="00070B11">
        <w:rPr>
          <w:rFonts w:ascii="Times New Roman" w:hAnsi="Times New Roman" w:cs="Times New Roman"/>
          <w:sz w:val="24"/>
          <w:szCs w:val="24"/>
        </w:rPr>
        <w:t xml:space="preserve"> sumu</w:t>
      </w:r>
      <w:r w:rsidRPr="00E106C4">
        <w:rPr>
          <w:rFonts w:ascii="Times New Roman" w:hAnsi="Times New Roman" w:cs="Times New Roman"/>
          <w:sz w:val="24"/>
          <w:szCs w:val="24"/>
        </w:rPr>
        <w:t xml:space="preserve"> 5 </w:t>
      </w:r>
      <w:r w:rsidR="006F0680">
        <w:rPr>
          <w:rFonts w:ascii="Times New Roman" w:hAnsi="Times New Roman" w:cs="Times New Roman"/>
          <w:sz w:val="24"/>
          <w:szCs w:val="24"/>
        </w:rPr>
        <w:t>455</w:t>
      </w:r>
      <w:r w:rsidRPr="00E106C4">
        <w:rPr>
          <w:rFonts w:ascii="Times New Roman" w:hAnsi="Times New Roman" w:cs="Times New Roman"/>
          <w:sz w:val="24"/>
          <w:szCs w:val="24"/>
        </w:rPr>
        <w:t xml:space="preserve"> 000 eur, </w:t>
      </w:r>
    </w:p>
    <w:p w:rsidR="006A7572" w:rsidRPr="00E106C4" w:rsidRDefault="006A7572" w:rsidP="00E106C4">
      <w:pPr>
        <w:pStyle w:val="Odsekzoznamu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106C4">
        <w:rPr>
          <w:rFonts w:ascii="Times New Roman" w:hAnsi="Times New Roman" w:cs="Times New Roman"/>
          <w:sz w:val="24"/>
          <w:szCs w:val="24"/>
        </w:rPr>
        <w:lastRenderedPageBreak/>
        <w:t>v kategórii rozpočtu 620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Poistné a príspevok do poisťovní</w:t>
      </w:r>
      <w:r w:rsidR="00070B11">
        <w:rPr>
          <w:rFonts w:ascii="Times New Roman" w:hAnsi="Times New Roman" w:cs="Times New Roman"/>
          <w:sz w:val="24"/>
          <w:szCs w:val="24"/>
        </w:rPr>
        <w:t xml:space="preserve"> sumu</w:t>
      </w:r>
      <w:r w:rsidRPr="00E106C4"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>600 05</w:t>
      </w:r>
      <w:r w:rsidRPr="00E106C4">
        <w:rPr>
          <w:rFonts w:ascii="Times New Roman" w:hAnsi="Times New Roman" w:cs="Times New Roman"/>
          <w:sz w:val="24"/>
          <w:szCs w:val="24"/>
        </w:rPr>
        <w:t>0 eur.</w:t>
      </w:r>
    </w:p>
    <w:p w:rsidR="00C50049" w:rsidRDefault="00C50049" w:rsidP="00A96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4FE" w:rsidRDefault="00A964FE" w:rsidP="00A96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4FE">
        <w:rPr>
          <w:rFonts w:ascii="Times New Roman" w:hAnsi="Times New Roman" w:cs="Times New Roman"/>
          <w:sz w:val="24"/>
          <w:szCs w:val="24"/>
        </w:rPr>
        <w:t xml:space="preserve">Vyčíslenie výdavkov Ministerstva vnútra </w:t>
      </w:r>
      <w:r w:rsidR="00AE67EC">
        <w:rPr>
          <w:rFonts w:ascii="Times New Roman" w:hAnsi="Times New Roman" w:cs="Times New Roman"/>
          <w:sz w:val="24"/>
          <w:szCs w:val="24"/>
        </w:rPr>
        <w:t>SR</w:t>
      </w:r>
      <w:r w:rsidRPr="00A964FE">
        <w:rPr>
          <w:rFonts w:ascii="Times New Roman" w:hAnsi="Times New Roman" w:cs="Times New Roman"/>
          <w:sz w:val="24"/>
          <w:szCs w:val="24"/>
        </w:rPr>
        <w:t xml:space="preserve"> je uvedené v</w:t>
      </w:r>
      <w:r w:rsidR="009629BD">
        <w:rPr>
          <w:rFonts w:ascii="Times New Roman" w:hAnsi="Times New Roman" w:cs="Times New Roman"/>
          <w:sz w:val="24"/>
          <w:szCs w:val="24"/>
        </w:rPr>
        <w:t>rátane výdavkov Slovenskej informačnej služby</w:t>
      </w:r>
      <w:r w:rsidRPr="00A964FE">
        <w:rPr>
          <w:rFonts w:ascii="Times New Roman" w:hAnsi="Times New Roman" w:cs="Times New Roman"/>
          <w:sz w:val="24"/>
          <w:szCs w:val="24"/>
        </w:rPr>
        <w:t>.</w:t>
      </w:r>
    </w:p>
    <w:p w:rsidR="009629BD" w:rsidRPr="00A964FE" w:rsidRDefault="009629BD" w:rsidP="00A96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72" w:rsidRPr="006A7572" w:rsidRDefault="006A7572" w:rsidP="006A7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7572">
        <w:rPr>
          <w:rFonts w:ascii="Times New Roman" w:hAnsi="Times New Roman" w:cs="Times New Roman"/>
          <w:b/>
          <w:sz w:val="24"/>
          <w:szCs w:val="24"/>
        </w:rPr>
        <w:t>MV SR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zavedenie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dočasného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stabilizačné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 príspevku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E7530B" w:rsidRP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287o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Dočasný stabilizačný príspevok) 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="00E7530B" w:rsidRP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novely zákona č. 73/1998 Z. z. o štátnej službe príslušníkov Policajného zboru, Slovenskej informačnej služby, Zboru väzenskej a justičnej stráže Slovenskej republiky a Železničnej polície v znení neskorších predpisov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7530B" w:rsidRP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 príslušníkov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ajú odslúžen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 a viac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sume 5 000 eur. Príslušník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ktorému bude priznaný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dočasný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stabilizačný príspevok v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263A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sume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629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5 000 eur, je povinný zotrvať v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služobnom pomere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troch rokov odo dňa priznania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stabilizačného príspevku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Príslušník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v služobnom pomere nezotrvá po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stanovenú dobu, bude povinný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vrátiť vyplatenú sumu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stabilizačného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príspevku alebo jej pomernú časť.</w:t>
      </w:r>
    </w:p>
    <w:p w:rsidR="006A7572" w:rsidRPr="00C50049" w:rsidRDefault="006A7572" w:rsidP="00C5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A7572" w:rsidRPr="00D5381B" w:rsidRDefault="001A0BA2" w:rsidP="001A0BA2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6A7572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oče</w:t>
      </w:r>
      <w:r w:rsidR="00627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 príslušníkov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6A7572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E4E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ktorí budú mať k 31. decembru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2024</w:t>
      </w:r>
      <w:r w:rsidR="009629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odslúžených</w:t>
      </w:r>
      <w:r w:rsid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 rokov a viac</w:t>
      </w:r>
      <w:r w:rsidR="006A7572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</w:t>
      </w:r>
      <w:r w:rsidR="00E65F74">
        <w:rPr>
          <w:rFonts w:ascii="Times New Roman" w:eastAsia="Times New Roman" w:hAnsi="Times New Roman" w:cs="Times New Roman"/>
          <w:sz w:val="24"/>
          <w:szCs w:val="24"/>
          <w:lang w:eastAsia="sk-SK"/>
        </w:rPr>
        <w:t>6 3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88</w:t>
      </w:r>
      <w:r w:rsidR="006A7572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6A7572">
        <w:rPr>
          <w:rFonts w:ascii="Times New Roman" w:hAnsi="Times New Roman" w:cs="Times New Roman"/>
          <w:sz w:val="24"/>
        </w:rPr>
        <w:t>Na</w:t>
      </w:r>
      <w:r w:rsidR="006A6A9A">
        <w:rPr>
          <w:rFonts w:ascii="Times New Roman" w:hAnsi="Times New Roman" w:cs="Times New Roman"/>
          <w:sz w:val="24"/>
        </w:rPr>
        <w:t> </w:t>
      </w:r>
      <w:r w:rsidR="006A7572">
        <w:rPr>
          <w:rFonts w:ascii="Times New Roman" w:hAnsi="Times New Roman" w:cs="Times New Roman"/>
          <w:sz w:val="24"/>
        </w:rPr>
        <w:t xml:space="preserve">základe uvedeného, predstavuje celkový vplyv na rozpočet </w:t>
      </w:r>
      <w:r w:rsidR="006A7572">
        <w:rPr>
          <w:rFonts w:ascii="Times New Roman" w:eastAsia="Times New Roman" w:hAnsi="Times New Roman" w:cs="Times New Roman"/>
          <w:sz w:val="24"/>
          <w:lang w:eastAsia="sk-SK"/>
        </w:rPr>
        <w:t>Ministers</w:t>
      </w:r>
      <w:r>
        <w:rPr>
          <w:rFonts w:ascii="Times New Roman" w:eastAsia="Times New Roman" w:hAnsi="Times New Roman" w:cs="Times New Roman"/>
          <w:sz w:val="24"/>
          <w:lang w:eastAsia="sk-SK"/>
        </w:rPr>
        <w:t>tva vnútra S</w:t>
      </w:r>
      <w:r w:rsidR="00AE67EC">
        <w:rPr>
          <w:rFonts w:ascii="Times New Roman" w:eastAsia="Times New Roman" w:hAnsi="Times New Roman" w:cs="Times New Roman"/>
          <w:sz w:val="24"/>
          <w:lang w:eastAsia="sk-SK"/>
        </w:rPr>
        <w:t xml:space="preserve">R </w:t>
      </w:r>
      <w:r w:rsidR="006F0676">
        <w:rPr>
          <w:rFonts w:ascii="Times New Roman" w:eastAsia="Times New Roman" w:hAnsi="Times New Roman" w:cs="Times New Roman"/>
          <w:sz w:val="24"/>
          <w:lang w:eastAsia="sk-SK"/>
        </w:rPr>
        <w:t xml:space="preserve">na rok 2024 jednorazovo sumu </w:t>
      </w:r>
      <w:r w:rsidR="00FE0DF0">
        <w:rPr>
          <w:rFonts w:ascii="Times New Roman" w:eastAsia="Times New Roman" w:hAnsi="Times New Roman" w:cs="Times New Roman"/>
          <w:sz w:val="24"/>
          <w:lang w:eastAsia="sk-SK"/>
        </w:rPr>
        <w:t>35 453 400</w:t>
      </w:r>
      <w:r w:rsidR="006A7572">
        <w:rPr>
          <w:rFonts w:ascii="Times New Roman" w:eastAsia="Times New Roman" w:hAnsi="Times New Roman" w:cs="Times New Roman"/>
          <w:sz w:val="24"/>
          <w:lang w:eastAsia="sk-SK"/>
        </w:rPr>
        <w:t xml:space="preserve"> eur </w:t>
      </w:r>
      <w:r w:rsidR="006A7572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toho:</w:t>
      </w:r>
    </w:p>
    <w:p w:rsidR="00E106C4" w:rsidRDefault="006A7572" w:rsidP="00E106C4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7572">
        <w:rPr>
          <w:rFonts w:ascii="Times New Roman" w:hAnsi="Times New Roman" w:cs="Times New Roman"/>
          <w:sz w:val="24"/>
          <w:szCs w:val="24"/>
        </w:rPr>
        <w:t>v kategórii rozp</w:t>
      </w:r>
      <w:r w:rsidR="00E106C4">
        <w:rPr>
          <w:rFonts w:ascii="Times New Roman" w:hAnsi="Times New Roman" w:cs="Times New Roman"/>
          <w:sz w:val="24"/>
          <w:szCs w:val="24"/>
        </w:rPr>
        <w:t>očtu 640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Bežné transfery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 w:rsidR="00E106C4">
        <w:rPr>
          <w:rFonts w:ascii="Times New Roman" w:hAnsi="Times New Roman" w:cs="Times New Roman"/>
          <w:sz w:val="24"/>
          <w:szCs w:val="24"/>
        </w:rPr>
        <w:t xml:space="preserve"> </w:t>
      </w:r>
      <w:r w:rsidR="00FE0DF0">
        <w:rPr>
          <w:rFonts w:ascii="Times New Roman" w:hAnsi="Times New Roman" w:cs="Times New Roman"/>
          <w:sz w:val="24"/>
          <w:szCs w:val="24"/>
        </w:rPr>
        <w:t>31 940 000</w:t>
      </w:r>
      <w:r w:rsidR="00E106C4"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6A7572" w:rsidRPr="00E106C4" w:rsidRDefault="006A7572" w:rsidP="00E106C4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6C4">
        <w:rPr>
          <w:rFonts w:ascii="Times New Roman" w:hAnsi="Times New Roman" w:cs="Times New Roman"/>
          <w:sz w:val="24"/>
          <w:szCs w:val="24"/>
        </w:rPr>
        <w:t>v kategór</w:t>
      </w:r>
      <w:r w:rsidR="001A0BA2">
        <w:rPr>
          <w:rFonts w:ascii="Times New Roman" w:hAnsi="Times New Roman" w:cs="Times New Roman"/>
          <w:sz w:val="24"/>
          <w:szCs w:val="24"/>
        </w:rPr>
        <w:t>ii rozpočtu 620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Poistné a príspevok do poisťovní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 w:rsidR="00FE0DF0">
        <w:rPr>
          <w:rFonts w:ascii="Times New Roman" w:hAnsi="Times New Roman" w:cs="Times New Roman"/>
          <w:sz w:val="24"/>
          <w:szCs w:val="24"/>
        </w:rPr>
        <w:t xml:space="preserve"> 3 513 400</w:t>
      </w:r>
      <w:r w:rsidRPr="00E106C4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6A7572" w:rsidRDefault="006A7572" w:rsidP="00716CFE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A7572" w:rsidRPr="006522CA" w:rsidRDefault="001A0BA2" w:rsidP="0071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2025</w:t>
      </w:r>
      <w:r w:rsidR="00263096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predpoklad </w:t>
      </w:r>
      <w:r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počtu</w:t>
      </w:r>
      <w:r w:rsidR="00B14264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A6A9A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príslušníkov</w:t>
      </w:r>
      <w:r w:rsidR="00AE67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 xml:space="preserve">Policajného </w:t>
      </w:r>
      <w:r w:rsidR="00AE67EC" w:rsidRPr="00BA118E">
        <w:rPr>
          <w:rFonts w:ascii="Times New Roman" w:hAnsi="Times New Roman" w:cs="Times New Roman"/>
          <w:sz w:val="24"/>
          <w:szCs w:val="24"/>
        </w:rPr>
        <w:t>zboru</w:t>
      </w:r>
      <w:r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ktorí dosiahnu </w:t>
      </w:r>
      <w:r w:rsidR="00C50049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danom roku </w:t>
      </w:r>
      <w:r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20 odslúžen</w:t>
      </w:r>
      <w:r w:rsidR="00C50049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ých rokov a</w:t>
      </w:r>
      <w:r w:rsidR="00CA7FB3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50049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viac</w:t>
      </w:r>
      <w:r w:rsidR="00CA7FB3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50049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počte cca </w:t>
      </w:r>
      <w:r w:rsidR="006522CA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495</w:t>
      </w:r>
      <w:r w:rsidR="002349B1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63096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čo </w:t>
      </w:r>
      <w:r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predstavuje </w:t>
      </w:r>
      <w:r w:rsidR="00D462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celkový </w:t>
      </w:r>
      <w:r w:rsidR="006A7572" w:rsidRPr="006522CA">
        <w:rPr>
          <w:rFonts w:ascii="Times New Roman" w:hAnsi="Times New Roman" w:cs="Times New Roman"/>
          <w:sz w:val="24"/>
        </w:rPr>
        <w:t xml:space="preserve">vplyv na rozpočet </w:t>
      </w:r>
      <w:r w:rsidR="006A7572" w:rsidRPr="006522CA">
        <w:rPr>
          <w:rFonts w:ascii="Times New Roman" w:eastAsia="Times New Roman" w:hAnsi="Times New Roman" w:cs="Times New Roman"/>
          <w:sz w:val="24"/>
          <w:lang w:eastAsia="sk-SK"/>
        </w:rPr>
        <w:t xml:space="preserve">Ministerstva vnútra </w:t>
      </w:r>
      <w:r w:rsidR="00AE67EC">
        <w:rPr>
          <w:rFonts w:ascii="Times New Roman" w:eastAsia="Times New Roman" w:hAnsi="Times New Roman" w:cs="Times New Roman"/>
          <w:sz w:val="24"/>
          <w:lang w:eastAsia="sk-SK"/>
        </w:rPr>
        <w:t>SR</w:t>
      </w:r>
      <w:r w:rsidRPr="006522CA">
        <w:rPr>
          <w:rFonts w:ascii="Times New Roman" w:eastAsia="Times New Roman" w:hAnsi="Times New Roman" w:cs="Times New Roman"/>
          <w:sz w:val="24"/>
          <w:lang w:eastAsia="sk-SK"/>
        </w:rPr>
        <w:t xml:space="preserve"> na rok 2025 </w:t>
      </w:r>
      <w:r w:rsidR="006A7572" w:rsidRPr="006522CA">
        <w:rPr>
          <w:rFonts w:ascii="Times New Roman" w:eastAsia="Times New Roman" w:hAnsi="Times New Roman" w:cs="Times New Roman"/>
          <w:sz w:val="24"/>
          <w:lang w:eastAsia="sk-SK"/>
        </w:rPr>
        <w:t xml:space="preserve">sumu </w:t>
      </w:r>
      <w:r w:rsidR="006522CA" w:rsidRPr="006522CA">
        <w:rPr>
          <w:rFonts w:ascii="Times New Roman" w:eastAsia="Times New Roman" w:hAnsi="Times New Roman" w:cs="Times New Roman"/>
          <w:sz w:val="24"/>
          <w:lang w:eastAsia="sk-SK"/>
        </w:rPr>
        <w:t>2 747 250</w:t>
      </w:r>
      <w:r w:rsidR="006A7572" w:rsidRPr="006522CA">
        <w:rPr>
          <w:rFonts w:ascii="Times New Roman" w:eastAsia="Times New Roman" w:hAnsi="Times New Roman" w:cs="Times New Roman"/>
          <w:sz w:val="24"/>
          <w:lang w:eastAsia="sk-SK"/>
        </w:rPr>
        <w:t xml:space="preserve"> eur </w:t>
      </w:r>
      <w:r w:rsidR="006A7572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C2BD7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A7572" w:rsidRPr="006522CA">
        <w:rPr>
          <w:rFonts w:ascii="Times New Roman" w:eastAsia="Times New Roman" w:hAnsi="Times New Roman" w:cs="Times New Roman"/>
          <w:sz w:val="24"/>
          <w:szCs w:val="24"/>
          <w:lang w:eastAsia="sk-SK"/>
        </w:rPr>
        <w:t>toho:</w:t>
      </w:r>
    </w:p>
    <w:p w:rsidR="00E106C4" w:rsidRPr="006522CA" w:rsidRDefault="006A7572" w:rsidP="00E106C4">
      <w:pPr>
        <w:pStyle w:val="Odsekzoznamu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22CA">
        <w:rPr>
          <w:rFonts w:ascii="Times New Roman" w:hAnsi="Times New Roman" w:cs="Times New Roman"/>
          <w:sz w:val="24"/>
          <w:szCs w:val="24"/>
        </w:rPr>
        <w:t>v kategórii roz</w:t>
      </w:r>
      <w:r w:rsidR="00E106C4" w:rsidRPr="006522CA">
        <w:rPr>
          <w:rFonts w:ascii="Times New Roman" w:hAnsi="Times New Roman" w:cs="Times New Roman"/>
          <w:sz w:val="24"/>
          <w:szCs w:val="24"/>
        </w:rPr>
        <w:t>počtu 640</w:t>
      </w:r>
      <w:r w:rsidR="00263096" w:rsidRPr="006522CA">
        <w:rPr>
          <w:rFonts w:ascii="Times New Roman" w:hAnsi="Times New Roman" w:cs="Times New Roman"/>
          <w:sz w:val="24"/>
          <w:szCs w:val="24"/>
        </w:rPr>
        <w:t xml:space="preserve"> - Bežné transfery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 w:rsidR="00E106C4" w:rsidRPr="006522CA">
        <w:rPr>
          <w:rFonts w:ascii="Times New Roman" w:hAnsi="Times New Roman" w:cs="Times New Roman"/>
          <w:sz w:val="24"/>
          <w:szCs w:val="24"/>
        </w:rPr>
        <w:t xml:space="preserve"> </w:t>
      </w:r>
      <w:r w:rsidR="006522CA" w:rsidRPr="006522CA">
        <w:rPr>
          <w:rFonts w:ascii="Times New Roman" w:hAnsi="Times New Roman" w:cs="Times New Roman"/>
          <w:sz w:val="24"/>
          <w:szCs w:val="24"/>
        </w:rPr>
        <w:t>2 475</w:t>
      </w:r>
      <w:r w:rsidR="00C50049" w:rsidRPr="006522CA">
        <w:rPr>
          <w:rFonts w:ascii="Times New Roman" w:hAnsi="Times New Roman" w:cs="Times New Roman"/>
          <w:sz w:val="24"/>
          <w:szCs w:val="24"/>
        </w:rPr>
        <w:t xml:space="preserve"> 000</w:t>
      </w:r>
      <w:r w:rsidR="00E106C4" w:rsidRPr="006522CA"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6A7572" w:rsidRPr="006522CA" w:rsidRDefault="006A7572" w:rsidP="00E106C4">
      <w:pPr>
        <w:pStyle w:val="Odsekzoznamu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22CA">
        <w:rPr>
          <w:rFonts w:ascii="Times New Roman" w:hAnsi="Times New Roman" w:cs="Times New Roman"/>
          <w:sz w:val="24"/>
          <w:szCs w:val="24"/>
        </w:rPr>
        <w:t>v kategórii rozpočtu 620</w:t>
      </w:r>
      <w:r w:rsidR="00263096" w:rsidRPr="006522CA">
        <w:rPr>
          <w:rFonts w:ascii="Times New Roman" w:hAnsi="Times New Roman" w:cs="Times New Roman"/>
          <w:sz w:val="24"/>
          <w:szCs w:val="24"/>
        </w:rPr>
        <w:t xml:space="preserve"> - Poistné a príspevok do poisťovní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 w:rsidRPr="006522CA">
        <w:rPr>
          <w:rFonts w:ascii="Times New Roman" w:hAnsi="Times New Roman" w:cs="Times New Roman"/>
          <w:sz w:val="24"/>
          <w:szCs w:val="24"/>
        </w:rPr>
        <w:t xml:space="preserve"> </w:t>
      </w:r>
      <w:r w:rsidR="006522CA" w:rsidRPr="006522CA">
        <w:rPr>
          <w:rFonts w:ascii="Times New Roman" w:hAnsi="Times New Roman" w:cs="Times New Roman"/>
          <w:sz w:val="24"/>
          <w:szCs w:val="24"/>
        </w:rPr>
        <w:t>272 250</w:t>
      </w:r>
      <w:r w:rsidRPr="006522CA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6A7572" w:rsidRDefault="006A7572" w:rsidP="00BB6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049" w:rsidRDefault="00C50049" w:rsidP="00C5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49">
        <w:rPr>
          <w:rFonts w:ascii="Times New Roman" w:hAnsi="Times New Roman" w:cs="Times New Roman"/>
          <w:sz w:val="24"/>
          <w:szCs w:val="24"/>
        </w:rPr>
        <w:t xml:space="preserve">Vyčíslenie výdavkov Ministerstva vnútra </w:t>
      </w:r>
      <w:r w:rsidR="00AE67EC">
        <w:rPr>
          <w:rFonts w:ascii="Times New Roman" w:hAnsi="Times New Roman" w:cs="Times New Roman"/>
          <w:sz w:val="24"/>
          <w:szCs w:val="24"/>
        </w:rPr>
        <w:t>SR je uvedené vrátane výdavkov Slovenskej informačnej služby</w:t>
      </w:r>
      <w:r w:rsidRPr="00C50049">
        <w:rPr>
          <w:rFonts w:ascii="Times New Roman" w:hAnsi="Times New Roman" w:cs="Times New Roman"/>
          <w:sz w:val="24"/>
          <w:szCs w:val="24"/>
        </w:rPr>
        <w:t>.</w:t>
      </w:r>
    </w:p>
    <w:p w:rsidR="00AE67EC" w:rsidRPr="00C50049" w:rsidRDefault="00AE67EC" w:rsidP="00C5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C4" w:rsidRPr="00BA118E" w:rsidRDefault="00E106C4" w:rsidP="00E106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6C4">
        <w:rPr>
          <w:rFonts w:ascii="Times New Roman" w:hAnsi="Times New Roman" w:cs="Times New Roman"/>
          <w:b/>
          <w:sz w:val="24"/>
          <w:szCs w:val="24"/>
        </w:rPr>
        <w:t>ZVJS</w:t>
      </w:r>
      <w:r w:rsidR="00192AC6">
        <w:rPr>
          <w:rFonts w:ascii="Times New Roman" w:hAnsi="Times New Roman" w:cs="Times New Roman"/>
          <w:sz w:val="24"/>
          <w:szCs w:val="24"/>
        </w:rPr>
        <w:t xml:space="preserve"> </w:t>
      </w:r>
      <w:r w:rsidRPr="0081117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A118E">
        <w:rPr>
          <w:rFonts w:ascii="Times New Roman" w:hAnsi="Times New Roman" w:cs="Times New Roman"/>
          <w:sz w:val="24"/>
          <w:szCs w:val="24"/>
        </w:rPr>
        <w:t>výšenie príspevku na bývanie podľa aktuálne platnej leg</w:t>
      </w:r>
      <w:r>
        <w:rPr>
          <w:rFonts w:ascii="Times New Roman" w:hAnsi="Times New Roman" w:cs="Times New Roman"/>
          <w:sz w:val="24"/>
          <w:szCs w:val="24"/>
        </w:rPr>
        <w:t xml:space="preserve">islatívy (§ 141a zákona </w:t>
      </w:r>
      <w:r w:rsidRPr="00BA118E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118E">
        <w:rPr>
          <w:rFonts w:ascii="Times New Roman" w:hAnsi="Times New Roman" w:cs="Times New Roman"/>
          <w:sz w:val="24"/>
          <w:szCs w:val="24"/>
        </w:rPr>
        <w:t xml:space="preserve">73/1998 Z. z. </w:t>
      </w:r>
      <w:r w:rsidRPr="00BA11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štátnej službe príslušníkov Policajného zboru, Slovenskej informačnej služby, Zboru väzenskej a justičnej stráže Slovenskej republiky a Železničnej polície v znení neskorších predpisov</w:t>
      </w:r>
      <w:r w:rsidRPr="00BA118E">
        <w:rPr>
          <w:rFonts w:ascii="Times New Roman" w:hAnsi="Times New Roman" w:cs="Times New Roman"/>
          <w:sz w:val="24"/>
          <w:szCs w:val="24"/>
        </w:rPr>
        <w:t>)</w:t>
      </w:r>
      <w:r w:rsidRPr="00BA1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maximálnu výšku 7</w:t>
      </w:r>
      <w:r w:rsidR="009629BD">
        <w:rPr>
          <w:rFonts w:ascii="Times New Roman" w:hAnsi="Times New Roman" w:cs="Times New Roman"/>
          <w:sz w:val="24"/>
          <w:szCs w:val="24"/>
        </w:rPr>
        <w:t>00 eur mesačne na jedno</w:t>
      </w:r>
      <w:r w:rsidRPr="00BA118E">
        <w:rPr>
          <w:rFonts w:ascii="Times New Roman" w:hAnsi="Times New Roman" w:cs="Times New Roman"/>
          <w:sz w:val="24"/>
          <w:szCs w:val="24"/>
        </w:rPr>
        <w:t xml:space="preserve"> s</w:t>
      </w:r>
      <w:r w:rsidR="00AE67EC">
        <w:rPr>
          <w:rFonts w:ascii="Times New Roman" w:hAnsi="Times New Roman" w:cs="Times New Roman"/>
          <w:sz w:val="24"/>
          <w:szCs w:val="24"/>
        </w:rPr>
        <w:t>ystemizované miesto príslušníka Z</w:t>
      </w:r>
      <w:r w:rsidRPr="00BA118E">
        <w:rPr>
          <w:rFonts w:ascii="Times New Roman" w:hAnsi="Times New Roman" w:cs="Times New Roman"/>
          <w:sz w:val="24"/>
          <w:szCs w:val="24"/>
        </w:rPr>
        <w:t>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EC" w:rsidRPr="00BA11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väzenskej a justičnej stráže Slovenskej republiky</w:t>
      </w:r>
      <w:r w:rsidR="00AE67EC">
        <w:rPr>
          <w:rFonts w:ascii="Times New Roman" w:hAnsi="Times New Roman" w:cs="Times New Roman"/>
          <w:sz w:val="24"/>
          <w:szCs w:val="24"/>
        </w:rPr>
        <w:t xml:space="preserve"> (ďalej len „príslušník zboru“)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3F00">
        <w:rPr>
          <w:rFonts w:ascii="Times New Roman" w:hAnsi="Times New Roman" w:cs="Times New Roman"/>
          <w:sz w:val="24"/>
          <w:szCs w:val="24"/>
        </w:rPr>
        <w:t xml:space="preserve">priemerne </w:t>
      </w:r>
      <w:r>
        <w:rPr>
          <w:rFonts w:ascii="Times New Roman" w:hAnsi="Times New Roman" w:cs="Times New Roman"/>
          <w:sz w:val="24"/>
          <w:szCs w:val="24"/>
        </w:rPr>
        <w:t>o 200 e</w:t>
      </w:r>
      <w:r w:rsidR="00263AF4">
        <w:rPr>
          <w:rFonts w:ascii="Times New Roman" w:hAnsi="Times New Roman" w:cs="Times New Roman"/>
          <w:sz w:val="24"/>
          <w:szCs w:val="24"/>
        </w:rPr>
        <w:t>ur</w:t>
      </w:r>
      <w:r w:rsidR="00883F00">
        <w:rPr>
          <w:rFonts w:ascii="Times New Roman" w:hAnsi="Times New Roman" w:cs="Times New Roman"/>
          <w:sz w:val="24"/>
          <w:szCs w:val="24"/>
        </w:rPr>
        <w:t xml:space="preserve"> </w:t>
      </w:r>
      <w:r w:rsidR="00E1732C">
        <w:rPr>
          <w:rFonts w:ascii="Times New Roman" w:hAnsi="Times New Roman" w:cs="Times New Roman"/>
          <w:sz w:val="24"/>
          <w:szCs w:val="24"/>
        </w:rPr>
        <w:t xml:space="preserve">mesačne na každého </w:t>
      </w:r>
      <w:r w:rsidR="006A6A9A">
        <w:rPr>
          <w:rFonts w:ascii="Times New Roman" w:hAnsi="Times New Roman" w:cs="Times New Roman"/>
          <w:sz w:val="24"/>
          <w:szCs w:val="24"/>
        </w:rPr>
        <w:t>príslušníka</w:t>
      </w:r>
      <w:r w:rsidR="00AE67EC">
        <w:rPr>
          <w:rFonts w:ascii="Times New Roman" w:hAnsi="Times New Roman" w:cs="Times New Roman"/>
          <w:sz w:val="24"/>
          <w:szCs w:val="24"/>
        </w:rPr>
        <w:t xml:space="preserve"> zboru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1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6C4" w:rsidRDefault="00E106C4" w:rsidP="00E10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C4" w:rsidRPr="00BA118E" w:rsidRDefault="00E106C4" w:rsidP="00E10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>Aktuálny s</w:t>
      </w:r>
      <w:r w:rsidR="006A6A9A">
        <w:rPr>
          <w:rFonts w:ascii="Times New Roman" w:hAnsi="Times New Roman" w:cs="Times New Roman"/>
          <w:sz w:val="24"/>
          <w:szCs w:val="24"/>
        </w:rPr>
        <w:t>ystemizovaný počet príslušníkov</w:t>
      </w:r>
      <w:r w:rsidR="00AE67EC">
        <w:rPr>
          <w:rFonts w:ascii="Times New Roman" w:hAnsi="Times New Roman" w:cs="Times New Roman"/>
          <w:sz w:val="24"/>
          <w:szCs w:val="24"/>
        </w:rPr>
        <w:t xml:space="preserve"> zboru</w:t>
      </w:r>
      <w:r w:rsidR="006A6A9A">
        <w:rPr>
          <w:rFonts w:ascii="Times New Roman" w:hAnsi="Times New Roman" w:cs="Times New Roman"/>
          <w:sz w:val="24"/>
          <w:szCs w:val="24"/>
        </w:rPr>
        <w:t xml:space="preserve"> </w:t>
      </w:r>
      <w:r w:rsidRPr="00BA118E">
        <w:rPr>
          <w:rFonts w:ascii="Times New Roman" w:hAnsi="Times New Roman" w:cs="Times New Roman"/>
          <w:sz w:val="24"/>
          <w:szCs w:val="24"/>
        </w:rPr>
        <w:t xml:space="preserve">je </w:t>
      </w:r>
      <w:r w:rsidR="009E6957">
        <w:rPr>
          <w:rFonts w:ascii="Times New Roman" w:hAnsi="Times New Roman" w:cs="Times New Roman"/>
          <w:sz w:val="24"/>
          <w:szCs w:val="24"/>
        </w:rPr>
        <w:t>5 146</w:t>
      </w:r>
      <w:r w:rsidRPr="00BA118E">
        <w:rPr>
          <w:rFonts w:ascii="Times New Roman" w:hAnsi="Times New Roman" w:cs="Times New Roman"/>
          <w:sz w:val="24"/>
          <w:szCs w:val="24"/>
        </w:rPr>
        <w:t xml:space="preserve"> miest. Ročný celkový </w:t>
      </w:r>
      <w:r>
        <w:rPr>
          <w:rFonts w:ascii="Times New Roman" w:hAnsi="Times New Roman" w:cs="Times New Roman"/>
          <w:sz w:val="24"/>
          <w:szCs w:val="24"/>
        </w:rPr>
        <w:t>vplyv</w:t>
      </w:r>
      <w:r w:rsidR="00263AF4">
        <w:rPr>
          <w:rFonts w:ascii="Times New Roman" w:hAnsi="Times New Roman" w:cs="Times New Roman"/>
          <w:sz w:val="24"/>
          <w:szCs w:val="24"/>
        </w:rPr>
        <w:t xml:space="preserve"> na</w:t>
      </w:r>
      <w:r w:rsidR="007C2BD7">
        <w:rPr>
          <w:rFonts w:ascii="Times New Roman" w:hAnsi="Times New Roman" w:cs="Times New Roman"/>
          <w:sz w:val="24"/>
          <w:szCs w:val="24"/>
        </w:rPr>
        <w:t> </w:t>
      </w:r>
      <w:r w:rsidR="00263AF4">
        <w:rPr>
          <w:rFonts w:ascii="Times New Roman" w:hAnsi="Times New Roman" w:cs="Times New Roman"/>
          <w:sz w:val="24"/>
          <w:szCs w:val="24"/>
        </w:rPr>
        <w:t xml:space="preserve">rozpočet </w:t>
      </w:r>
      <w:r w:rsidR="009629BD">
        <w:rPr>
          <w:rFonts w:ascii="Times New Roman" w:hAnsi="Times New Roman" w:cs="Times New Roman"/>
          <w:sz w:val="24"/>
          <w:szCs w:val="24"/>
        </w:rPr>
        <w:t>Z</w:t>
      </w:r>
      <w:r w:rsidR="009629BD" w:rsidRPr="00BA118E">
        <w:rPr>
          <w:rFonts w:ascii="Times New Roman" w:hAnsi="Times New Roman" w:cs="Times New Roman"/>
          <w:sz w:val="24"/>
          <w:szCs w:val="24"/>
        </w:rPr>
        <w:t>boru</w:t>
      </w:r>
      <w:r w:rsidR="009629BD">
        <w:rPr>
          <w:rFonts w:ascii="Times New Roman" w:hAnsi="Times New Roman" w:cs="Times New Roman"/>
          <w:sz w:val="24"/>
          <w:szCs w:val="24"/>
        </w:rPr>
        <w:t xml:space="preserve"> </w:t>
      </w:r>
      <w:r w:rsidR="009629BD" w:rsidRPr="00BA11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väzenskej a justičnej stráže Slovenskej republiky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 w:rsidR="00A94AA2">
        <w:rPr>
          <w:rFonts w:ascii="Times New Roman" w:hAnsi="Times New Roman" w:cs="Times New Roman"/>
          <w:sz w:val="24"/>
          <w:szCs w:val="24"/>
        </w:rPr>
        <w:t xml:space="preserve">na rok 2025 a nasledujúce roky </w:t>
      </w:r>
      <w:r w:rsidRPr="00BA118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 w:rsidR="00D31E59">
        <w:rPr>
          <w:rFonts w:ascii="Times New Roman" w:hAnsi="Times New Roman" w:cs="Times New Roman"/>
          <w:sz w:val="24"/>
          <w:szCs w:val="24"/>
        </w:rPr>
        <w:t>13 708 944</w:t>
      </w:r>
      <w:r w:rsidRPr="00BA118E">
        <w:rPr>
          <w:rFonts w:ascii="Times New Roman" w:hAnsi="Times New Roman" w:cs="Times New Roman"/>
          <w:sz w:val="24"/>
          <w:szCs w:val="24"/>
        </w:rPr>
        <w:t xml:space="preserve"> eur, z toho:</w:t>
      </w:r>
    </w:p>
    <w:p w:rsidR="00E106C4" w:rsidRDefault="00E106C4" w:rsidP="00E106C4">
      <w:pPr>
        <w:pStyle w:val="Odsekzoznamu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 xml:space="preserve">v kategórii </w:t>
      </w:r>
      <w:r>
        <w:rPr>
          <w:rFonts w:ascii="Times New Roman" w:hAnsi="Times New Roman" w:cs="Times New Roman"/>
          <w:sz w:val="24"/>
          <w:szCs w:val="24"/>
        </w:rPr>
        <w:t xml:space="preserve">rozpočtu 640 - </w:t>
      </w:r>
      <w:r w:rsidRPr="00BA118E">
        <w:rPr>
          <w:rFonts w:ascii="Times New Roman" w:hAnsi="Times New Roman" w:cs="Times New Roman"/>
          <w:sz w:val="24"/>
          <w:szCs w:val="24"/>
        </w:rPr>
        <w:t xml:space="preserve">Bežné transfery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 w:rsidR="00D31E59">
        <w:rPr>
          <w:rFonts w:ascii="Times New Roman" w:hAnsi="Times New Roman" w:cs="Times New Roman"/>
          <w:sz w:val="24"/>
          <w:szCs w:val="24"/>
        </w:rPr>
        <w:t>12 350 400</w:t>
      </w:r>
      <w:r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E106C4" w:rsidRPr="00263AF4" w:rsidRDefault="00E106C4" w:rsidP="00263AF4">
      <w:pPr>
        <w:pStyle w:val="Odsekzoznamu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6C4">
        <w:rPr>
          <w:rFonts w:ascii="Times New Roman" w:hAnsi="Times New Roman" w:cs="Times New Roman"/>
          <w:sz w:val="24"/>
          <w:szCs w:val="24"/>
        </w:rPr>
        <w:t xml:space="preserve">v kategórii rozpočtu 620 - Poistné a príspevok do poisťovní v sume </w:t>
      </w:r>
      <w:r w:rsidR="00D31E59">
        <w:rPr>
          <w:rFonts w:ascii="Times New Roman" w:hAnsi="Times New Roman" w:cs="Times New Roman"/>
          <w:sz w:val="24"/>
          <w:szCs w:val="24"/>
        </w:rPr>
        <w:t>1 358 544</w:t>
      </w:r>
      <w:r w:rsidRPr="00E106C4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E106C4" w:rsidRPr="00C50049" w:rsidRDefault="00E106C4" w:rsidP="00C5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6C4" w:rsidRDefault="00E106C4" w:rsidP="00E106C4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ZVJS</w:t>
      </w:r>
      <w:r w:rsidR="00192AC6">
        <w:rPr>
          <w:rFonts w:ascii="Times New Roman" w:hAnsi="Times New Roman" w:cs="Times New Roman"/>
          <w:sz w:val="24"/>
          <w:szCs w:val="24"/>
        </w:rPr>
        <w:t xml:space="preserve"> </w:t>
      </w:r>
      <w:r w:rsidRPr="00AA3D72">
        <w:rPr>
          <w:rFonts w:ascii="Times New Roman" w:hAnsi="Times New Roman" w:cs="Times New Roman"/>
          <w:b/>
          <w:sz w:val="24"/>
          <w:szCs w:val="24"/>
        </w:rPr>
        <w:t>b)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zavedenie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E7530B">
        <w:rPr>
          <w:rFonts w:ascii="Times New Roman" w:hAnsi="Times New Roman" w:cs="Times New Roman"/>
          <w:sz w:val="24"/>
          <w:szCs w:val="24"/>
        </w:rPr>
        <w:t xml:space="preserve">dočasného </w:t>
      </w:r>
      <w:r>
        <w:rPr>
          <w:rFonts w:ascii="Times New Roman" w:hAnsi="Times New Roman" w:cs="Times New Roman"/>
          <w:sz w:val="24"/>
          <w:szCs w:val="24"/>
        </w:rPr>
        <w:t>náborového príspevku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E7530B" w:rsidRPr="00E7530B">
        <w:rPr>
          <w:rFonts w:ascii="Times New Roman" w:hAnsi="Times New Roman" w:cs="Times New Roman"/>
          <w:sz w:val="24"/>
          <w:szCs w:val="24"/>
        </w:rPr>
        <w:t xml:space="preserve">(§ 287p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7530B">
        <w:rPr>
          <w:rFonts w:ascii="Times New Roman" w:hAnsi="Times New Roman" w:cs="Times New Roman"/>
          <w:sz w:val="24"/>
          <w:szCs w:val="24"/>
        </w:rPr>
        <w:t>Dočasný n</w:t>
      </w:r>
      <w:r>
        <w:rPr>
          <w:rFonts w:ascii="Times New Roman" w:hAnsi="Times New Roman" w:cs="Times New Roman"/>
          <w:sz w:val="24"/>
          <w:szCs w:val="24"/>
        </w:rPr>
        <w:t xml:space="preserve">áborový príspevok) </w:t>
      </w:r>
      <w:r w:rsidR="00AE67EC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 xml:space="preserve">novely zákona </w:t>
      </w:r>
      <w:r w:rsidRPr="00AA3D72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3D72">
        <w:rPr>
          <w:rFonts w:ascii="Times New Roman" w:hAnsi="Times New Roman" w:cs="Times New Roman"/>
          <w:sz w:val="24"/>
          <w:szCs w:val="24"/>
        </w:rPr>
        <w:t xml:space="preserve">73/1998 Z. z. </w:t>
      </w:r>
      <w:r w:rsidRPr="00AA3D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štátnej službe príslušníkov Policajného zboru, Slovenskej informačnej služby, Zboru väzenskej a justičnej stráže Slovenskej republiky a Železni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čnej polície v znení neskorších predpisov.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Priznanie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náborového príspevku sa navrhuje príslušníkovi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>zboru</w:t>
      </w:r>
      <w:r w:rsidR="00AE67EC">
        <w:rPr>
          <w:rFonts w:ascii="Times New Roman" w:hAnsi="Times New Roman" w:cs="Times New Roman"/>
          <w:sz w:val="24"/>
        </w:rPr>
        <w:t xml:space="preserve"> </w:t>
      </w:r>
      <w:r w:rsidR="00AD7F58">
        <w:rPr>
          <w:rFonts w:ascii="Times New Roman" w:hAnsi="Times New Roman" w:cs="Times New Roman"/>
          <w:sz w:val="24"/>
        </w:rPr>
        <w:t xml:space="preserve">v prípravnej štátnej službe </w:t>
      </w:r>
      <w:r w:rsidR="00C93C7B">
        <w:rPr>
          <w:rFonts w:ascii="Times New Roman" w:hAnsi="Times New Roman" w:cs="Times New Roman"/>
          <w:sz w:val="24"/>
        </w:rPr>
        <w:t xml:space="preserve">po prijatí do služobného pomeru, </w:t>
      </w:r>
      <w:r w:rsidR="00B14264">
        <w:rPr>
          <w:rFonts w:ascii="Times New Roman" w:hAnsi="Times New Roman" w:cs="Times New Roman"/>
          <w:sz w:val="24"/>
        </w:rPr>
        <w:t xml:space="preserve"> získaní požadovaného </w:t>
      </w:r>
      <w:r w:rsidRPr="005A3ABE">
        <w:rPr>
          <w:rFonts w:ascii="Times New Roman" w:hAnsi="Times New Roman" w:cs="Times New Roman"/>
          <w:sz w:val="24"/>
        </w:rPr>
        <w:t>vzdelania a ustanovení do funkcie v sume 5</w:t>
      </w:r>
      <w:r>
        <w:rPr>
          <w:rFonts w:ascii="Times New Roman" w:hAnsi="Times New Roman" w:cs="Times New Roman"/>
          <w:sz w:val="24"/>
        </w:rPr>
        <w:t> </w:t>
      </w:r>
      <w:r w:rsidRPr="005A3ABE">
        <w:rPr>
          <w:rFonts w:ascii="Times New Roman" w:hAnsi="Times New Roman" w:cs="Times New Roman"/>
          <w:sz w:val="24"/>
        </w:rPr>
        <w:t xml:space="preserve">000 </w:t>
      </w:r>
      <w:r w:rsidR="00EA4300">
        <w:rPr>
          <w:rFonts w:ascii="Times New Roman" w:hAnsi="Times New Roman" w:cs="Times New Roman"/>
          <w:sz w:val="24"/>
        </w:rPr>
        <w:t>eur</w:t>
      </w:r>
      <w:r w:rsidRPr="005A3ABE">
        <w:rPr>
          <w:rFonts w:ascii="Times New Roman" w:hAnsi="Times New Roman" w:cs="Times New Roman"/>
          <w:sz w:val="24"/>
        </w:rPr>
        <w:t>.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Príslušník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>zboru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ktorému bude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priznaný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dočasný 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náborový príspevok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sume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5 000 eur, je po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vinný 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zotrvať v služobnom pomere po dobu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piatich rokov. 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E67EC">
        <w:rPr>
          <w:rFonts w:ascii="Times New Roman" w:hAnsi="Times New Roman" w:cs="Times New Roman"/>
          <w:sz w:val="24"/>
          <w:szCs w:val="24"/>
        </w:rPr>
        <w:t>zboru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torý v slu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žobnom pomere nezotrvá po dobu piatich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rokov, bude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povinný vrátiť vyplatenú sumu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náborového príspevku alebo jej pomernú časť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106C4" w:rsidRPr="006A7572" w:rsidRDefault="00E106C4" w:rsidP="00E10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06C4" w:rsidRPr="006A7572" w:rsidRDefault="00E106C4" w:rsidP="00E106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572">
        <w:rPr>
          <w:rFonts w:ascii="Times New Roman" w:hAnsi="Times New Roman" w:cs="Times New Roman"/>
          <w:sz w:val="24"/>
          <w:szCs w:val="24"/>
        </w:rPr>
        <w:t>Aktuálny systemizovaný počet príslu</w:t>
      </w:r>
      <w:r w:rsidR="00B14264">
        <w:rPr>
          <w:rFonts w:ascii="Times New Roman" w:hAnsi="Times New Roman" w:cs="Times New Roman"/>
          <w:sz w:val="24"/>
          <w:szCs w:val="24"/>
        </w:rPr>
        <w:t>šníkov</w:t>
      </w:r>
      <w:r w:rsidR="00AE67EC">
        <w:rPr>
          <w:rFonts w:ascii="Times New Roman" w:hAnsi="Times New Roman" w:cs="Times New Roman"/>
          <w:sz w:val="24"/>
          <w:szCs w:val="24"/>
        </w:rPr>
        <w:t xml:space="preserve"> zboru</w:t>
      </w:r>
      <w:r w:rsidR="006A6A9A">
        <w:rPr>
          <w:rFonts w:ascii="Times New Roman" w:hAnsi="Times New Roman" w:cs="Times New Roman"/>
          <w:sz w:val="24"/>
          <w:szCs w:val="24"/>
        </w:rPr>
        <w:t xml:space="preserve"> </w:t>
      </w:r>
      <w:r w:rsidR="009E6957">
        <w:rPr>
          <w:rFonts w:ascii="Times New Roman" w:hAnsi="Times New Roman" w:cs="Times New Roman"/>
          <w:sz w:val="24"/>
          <w:szCs w:val="24"/>
        </w:rPr>
        <w:t>je 5 146</w:t>
      </w:r>
      <w:r w:rsidRPr="006A7572">
        <w:rPr>
          <w:rFonts w:ascii="Times New Roman" w:hAnsi="Times New Roman" w:cs="Times New Roman"/>
          <w:sz w:val="24"/>
          <w:szCs w:val="24"/>
        </w:rPr>
        <w:t xml:space="preserve"> funkčných miest. Za predpokladu</w:t>
      </w:r>
      <w:r w:rsidR="00CA7FB3">
        <w:rPr>
          <w:rFonts w:ascii="Times New Roman" w:hAnsi="Times New Roman" w:cs="Times New Roman"/>
          <w:sz w:val="24"/>
          <w:szCs w:val="24"/>
        </w:rPr>
        <w:t xml:space="preserve"> prijatia 350</w:t>
      </w:r>
      <w:r w:rsidR="006A6A9A">
        <w:rPr>
          <w:rFonts w:ascii="Times New Roman" w:hAnsi="Times New Roman" w:cs="Times New Roman"/>
          <w:sz w:val="24"/>
          <w:szCs w:val="24"/>
        </w:rPr>
        <w:t xml:space="preserve"> príslušníkov</w:t>
      </w:r>
      <w:r w:rsidR="00AE67EC">
        <w:rPr>
          <w:rFonts w:ascii="Times New Roman" w:hAnsi="Times New Roman" w:cs="Times New Roman"/>
          <w:sz w:val="24"/>
          <w:szCs w:val="24"/>
        </w:rPr>
        <w:t xml:space="preserve"> zboru</w:t>
      </w:r>
      <w:r w:rsidR="006A6A9A">
        <w:rPr>
          <w:rFonts w:ascii="Times New Roman" w:hAnsi="Times New Roman" w:cs="Times New Roman"/>
          <w:sz w:val="24"/>
          <w:szCs w:val="24"/>
        </w:rPr>
        <w:t xml:space="preserve"> </w:t>
      </w:r>
      <w:r w:rsidRPr="006A7572">
        <w:rPr>
          <w:rFonts w:ascii="Times New Roman" w:hAnsi="Times New Roman" w:cs="Times New Roman"/>
          <w:sz w:val="24"/>
          <w:szCs w:val="24"/>
        </w:rPr>
        <w:t xml:space="preserve">ročne, s vyplatením príspevku v sume 5 </w:t>
      </w:r>
      <w:r w:rsidR="00263096">
        <w:rPr>
          <w:rFonts w:ascii="Times New Roman" w:hAnsi="Times New Roman" w:cs="Times New Roman"/>
          <w:sz w:val="24"/>
          <w:szCs w:val="24"/>
        </w:rPr>
        <w:t xml:space="preserve">000 </w:t>
      </w:r>
      <w:r w:rsidR="00EA4300">
        <w:rPr>
          <w:rFonts w:ascii="Times New Roman" w:hAnsi="Times New Roman" w:cs="Times New Roman"/>
          <w:sz w:val="24"/>
          <w:szCs w:val="24"/>
        </w:rPr>
        <w:t>eur</w:t>
      </w:r>
      <w:r w:rsidR="00263096">
        <w:rPr>
          <w:rFonts w:ascii="Times New Roman" w:hAnsi="Times New Roman" w:cs="Times New Roman"/>
          <w:sz w:val="24"/>
          <w:szCs w:val="24"/>
        </w:rPr>
        <w:t xml:space="preserve"> na jedného príslušníka</w:t>
      </w:r>
      <w:r w:rsidR="00AE67EC">
        <w:rPr>
          <w:rFonts w:ascii="Times New Roman" w:hAnsi="Times New Roman" w:cs="Times New Roman"/>
          <w:sz w:val="24"/>
          <w:szCs w:val="24"/>
        </w:rPr>
        <w:t xml:space="preserve"> zboru</w:t>
      </w:r>
      <w:r w:rsidRPr="006A7572">
        <w:rPr>
          <w:rFonts w:ascii="Times New Roman" w:hAnsi="Times New Roman" w:cs="Times New Roman"/>
          <w:sz w:val="24"/>
          <w:szCs w:val="24"/>
        </w:rPr>
        <w:t xml:space="preserve">, </w:t>
      </w:r>
      <w:r w:rsidRPr="009E3E93">
        <w:rPr>
          <w:rFonts w:ascii="Times New Roman" w:hAnsi="Times New Roman" w:cs="Times New Roman"/>
          <w:sz w:val="24"/>
          <w:szCs w:val="24"/>
        </w:rPr>
        <w:t xml:space="preserve">predstavuje </w:t>
      </w:r>
      <w:r w:rsidR="000D2F47" w:rsidRPr="009E3E93">
        <w:rPr>
          <w:rFonts w:ascii="Times New Roman" w:hAnsi="Times New Roman" w:cs="Times New Roman"/>
          <w:sz w:val="24"/>
          <w:szCs w:val="24"/>
        </w:rPr>
        <w:t xml:space="preserve">ročný </w:t>
      </w:r>
      <w:r w:rsidRPr="009E3E93">
        <w:rPr>
          <w:rFonts w:ascii="Times New Roman" w:hAnsi="Times New Roman" w:cs="Times New Roman"/>
          <w:sz w:val="24"/>
          <w:szCs w:val="24"/>
        </w:rPr>
        <w:t xml:space="preserve">celkový vplyv na rozpočet </w:t>
      </w:r>
      <w:r w:rsidR="009629BD" w:rsidRPr="009E3E93">
        <w:rPr>
          <w:rFonts w:ascii="Times New Roman" w:hAnsi="Times New Roman" w:cs="Times New Roman"/>
          <w:sz w:val="24"/>
          <w:szCs w:val="24"/>
        </w:rPr>
        <w:t xml:space="preserve">Zboru </w:t>
      </w:r>
      <w:r w:rsidR="009629BD" w:rsidRPr="009E3E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väzenskej a justičnej stráže Slovenskej republiky</w:t>
      </w:r>
      <w:r w:rsidRPr="009E3E93">
        <w:rPr>
          <w:rFonts w:ascii="Times New Roman" w:hAnsi="Times New Roman" w:cs="Times New Roman"/>
          <w:sz w:val="24"/>
          <w:szCs w:val="24"/>
        </w:rPr>
        <w:t xml:space="preserve"> </w:t>
      </w:r>
      <w:r w:rsidR="00DD2394" w:rsidRPr="009E3E93">
        <w:rPr>
          <w:rFonts w:ascii="Times New Roman" w:hAnsi="Times New Roman" w:cs="Times New Roman"/>
          <w:sz w:val="24"/>
          <w:szCs w:val="24"/>
        </w:rPr>
        <w:t>sumu</w:t>
      </w:r>
      <w:r w:rsidRPr="009E3E93">
        <w:rPr>
          <w:rFonts w:ascii="Times New Roman" w:hAnsi="Times New Roman" w:cs="Times New Roman"/>
          <w:sz w:val="24"/>
          <w:szCs w:val="24"/>
        </w:rPr>
        <w:t xml:space="preserve"> </w:t>
      </w:r>
      <w:r w:rsidR="006F0680" w:rsidRPr="009E3E93">
        <w:rPr>
          <w:rFonts w:ascii="Times New Roman" w:hAnsi="Times New Roman" w:cs="Times New Roman"/>
          <w:sz w:val="24"/>
          <w:szCs w:val="24"/>
        </w:rPr>
        <w:t>1 942 500</w:t>
      </w:r>
      <w:r w:rsidRPr="009E3E93">
        <w:rPr>
          <w:rFonts w:ascii="Times New Roman" w:hAnsi="Times New Roman" w:cs="Times New Roman"/>
          <w:sz w:val="24"/>
          <w:szCs w:val="24"/>
        </w:rPr>
        <w:t xml:space="preserve"> </w:t>
      </w:r>
      <w:r w:rsidR="00EA4300" w:rsidRPr="009E3E93">
        <w:rPr>
          <w:rFonts w:ascii="Times New Roman" w:hAnsi="Times New Roman" w:cs="Times New Roman"/>
          <w:sz w:val="24"/>
          <w:szCs w:val="24"/>
        </w:rPr>
        <w:t>eur</w:t>
      </w:r>
      <w:r w:rsidRPr="009E3E93">
        <w:rPr>
          <w:rFonts w:ascii="Times New Roman" w:hAnsi="Times New Roman" w:cs="Times New Roman"/>
          <w:sz w:val="24"/>
          <w:szCs w:val="24"/>
        </w:rPr>
        <w:t xml:space="preserve"> z toho</w:t>
      </w:r>
      <w:r w:rsidRPr="006A7572">
        <w:rPr>
          <w:rFonts w:ascii="Times New Roman" w:hAnsi="Times New Roman" w:cs="Times New Roman"/>
          <w:sz w:val="24"/>
          <w:szCs w:val="24"/>
        </w:rPr>
        <w:t>:</w:t>
      </w:r>
    </w:p>
    <w:p w:rsidR="00E106C4" w:rsidRDefault="00E106C4" w:rsidP="00E106C4">
      <w:pPr>
        <w:pStyle w:val="Odsekzoznamu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6C4">
        <w:rPr>
          <w:rFonts w:ascii="Times New Roman" w:hAnsi="Times New Roman" w:cs="Times New Roman"/>
          <w:sz w:val="24"/>
          <w:szCs w:val="24"/>
        </w:rPr>
        <w:t>v kategórii roz</w:t>
      </w:r>
      <w:r>
        <w:rPr>
          <w:rFonts w:ascii="Times New Roman" w:hAnsi="Times New Roman" w:cs="Times New Roman"/>
          <w:sz w:val="24"/>
          <w:szCs w:val="24"/>
        </w:rPr>
        <w:t>počtu 640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Bežné transfery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>1 750 000</w:t>
      </w:r>
      <w:r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E106C4" w:rsidRPr="00E106C4" w:rsidRDefault="00E106C4" w:rsidP="00E106C4">
      <w:pPr>
        <w:pStyle w:val="Odsekzoznamu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6C4">
        <w:rPr>
          <w:rFonts w:ascii="Times New Roman" w:hAnsi="Times New Roman" w:cs="Times New Roman"/>
          <w:sz w:val="24"/>
          <w:szCs w:val="24"/>
        </w:rPr>
        <w:t>v kategórii rozpočtu 620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Poistné a príspevok do poisťovní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 w:rsidRPr="00E106C4"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>192 500</w:t>
      </w:r>
      <w:r w:rsidRPr="00E106C4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E106C4" w:rsidRDefault="00E106C4" w:rsidP="00E10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C4" w:rsidRPr="006A7572" w:rsidRDefault="00E106C4" w:rsidP="00E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ZVJS</w:t>
      </w:r>
      <w:r w:rsidRPr="006A7572">
        <w:rPr>
          <w:rFonts w:ascii="Times New Roman" w:hAnsi="Times New Roman" w:cs="Times New Roman"/>
          <w:b/>
          <w:sz w:val="24"/>
          <w:szCs w:val="24"/>
        </w:rPr>
        <w:t xml:space="preserve">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zavedenie</w:t>
      </w:r>
      <w:r w:rsidR="00602282" w:rsidRP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stabilizačné</w:t>
      </w:r>
      <w:r w:rsidR="00B142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 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príspevku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7530B" w:rsidRP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(§ 287o – Dočasný stabilizačný príspevok) </w:t>
      </w:r>
      <w:r w:rsidR="00AE67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="00E7530B" w:rsidRP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novely zákona č. 73/1998 Z. z. o štátnej službe príslušníkov Policajného zboru, Slovenskej informačnej služby, Zboru väzenskej a justičnej stráže Slovenskej republiky a Železničnej polície v znení neskorších predpisov pre príslušníkov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633C6">
        <w:rPr>
          <w:rFonts w:ascii="Times New Roman" w:hAnsi="Times New Roman" w:cs="Times New Roman"/>
          <w:sz w:val="24"/>
          <w:szCs w:val="24"/>
        </w:rPr>
        <w:t>zboru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ajú odslúžen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 a</w:t>
      </w:r>
      <w:r w:rsidR="00B142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viac v 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sume 5 000 eur. Príslušník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633C6">
        <w:rPr>
          <w:rFonts w:ascii="Times New Roman" w:hAnsi="Times New Roman" w:cs="Times New Roman"/>
          <w:sz w:val="24"/>
          <w:szCs w:val="24"/>
        </w:rPr>
        <w:t>zboru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ktorému bude priznaný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dočasný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stabilizačný príspevok v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sume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5 000 eur, je povinný zotrvať v služobnom pomere po</w:t>
      </w:r>
      <w:r w:rsidR="009629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troch rokov odo dňa priznania</w:t>
      </w:r>
      <w:r w:rsidR="00602282" w:rsidRP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stabilizačného príspevku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Príslušník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633C6">
        <w:rPr>
          <w:rFonts w:ascii="Times New Roman" w:hAnsi="Times New Roman" w:cs="Times New Roman"/>
          <w:sz w:val="24"/>
          <w:szCs w:val="24"/>
        </w:rPr>
        <w:t>zboru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v služobnom pomere nezotrvá po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stanovenú dobu, bude povinný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vrátiť vyplatenú sumu</w:t>
      </w:r>
      <w:r w:rsidR="00602282" w:rsidRP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stabilizačného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príspevku alebo jej pomernú časť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106C4" w:rsidRDefault="00E106C4" w:rsidP="00E106C4">
      <w:pPr>
        <w:pStyle w:val="Odsekzoznamu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50049" w:rsidRPr="00D5381B" w:rsidRDefault="00C50049" w:rsidP="00C5004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6A6A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očet príslušníkov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633C6">
        <w:rPr>
          <w:rFonts w:ascii="Times New Roman" w:hAnsi="Times New Roman" w:cs="Times New Roman"/>
          <w:sz w:val="24"/>
          <w:szCs w:val="24"/>
        </w:rPr>
        <w:t>zboru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ktorí b</w:t>
      </w:r>
      <w:r w:rsidR="00F715D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udú mať k 31. decembru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2024 odslúžených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 rokov a viac</w:t>
      </w:r>
      <w:r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</w:t>
      </w:r>
      <w:r w:rsidR="00AD3BF6">
        <w:rPr>
          <w:rFonts w:ascii="Times New Roman" w:eastAsia="Times New Roman" w:hAnsi="Times New Roman" w:cs="Times New Roman"/>
          <w:sz w:val="24"/>
          <w:szCs w:val="24"/>
          <w:lang w:eastAsia="sk-SK"/>
        </w:rPr>
        <w:t>1 155</w:t>
      </w:r>
      <w:r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hAnsi="Times New Roman" w:cs="Times New Roman"/>
          <w:sz w:val="24"/>
        </w:rPr>
        <w:t>Na</w:t>
      </w:r>
      <w:r w:rsidR="00074C30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základe uvedeného, predstavuje celkový vplyv na rozpočet </w:t>
      </w:r>
      <w:r w:rsidR="002633C6">
        <w:rPr>
          <w:rFonts w:ascii="Times New Roman" w:eastAsia="Times New Roman" w:hAnsi="Times New Roman" w:cs="Times New Roman"/>
          <w:sz w:val="24"/>
          <w:lang w:eastAsia="sk-SK"/>
        </w:rPr>
        <w:t>Z</w:t>
      </w:r>
      <w:r w:rsidR="00074C30">
        <w:rPr>
          <w:rFonts w:ascii="Times New Roman" w:eastAsia="Times New Roman" w:hAnsi="Times New Roman" w:cs="Times New Roman"/>
          <w:sz w:val="24"/>
          <w:lang w:eastAsia="sk-SK"/>
        </w:rPr>
        <w:t>boru</w:t>
      </w:r>
      <w:r w:rsidR="006F0676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2633C6">
        <w:rPr>
          <w:rFonts w:ascii="Times New Roman" w:eastAsia="Times New Roman" w:hAnsi="Times New Roman" w:cs="Times New Roman"/>
          <w:sz w:val="24"/>
          <w:lang w:eastAsia="sk-SK"/>
        </w:rPr>
        <w:t>väzenskej a justičnej stráže</w:t>
      </w:r>
      <w:r w:rsidR="009629BD">
        <w:rPr>
          <w:rFonts w:ascii="Times New Roman" w:eastAsia="Times New Roman" w:hAnsi="Times New Roman" w:cs="Times New Roman"/>
          <w:sz w:val="24"/>
          <w:lang w:eastAsia="sk-SK"/>
        </w:rPr>
        <w:t xml:space="preserve"> Slovenskej republiky</w:t>
      </w:r>
      <w:r w:rsidR="002633C6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6F0676">
        <w:rPr>
          <w:rFonts w:ascii="Times New Roman" w:eastAsia="Times New Roman" w:hAnsi="Times New Roman" w:cs="Times New Roman"/>
          <w:sz w:val="24"/>
          <w:lang w:eastAsia="sk-SK"/>
        </w:rPr>
        <w:t xml:space="preserve">na rok 2024 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jednorazovo </w:t>
      </w:r>
      <w:r w:rsidR="006F0676">
        <w:rPr>
          <w:rFonts w:ascii="Times New Roman" w:eastAsia="Times New Roman" w:hAnsi="Times New Roman" w:cs="Times New Roman"/>
          <w:sz w:val="24"/>
          <w:lang w:eastAsia="sk-SK"/>
        </w:rPr>
        <w:t xml:space="preserve">sumu </w:t>
      </w:r>
      <w:r w:rsidR="00AD3BF6">
        <w:rPr>
          <w:rFonts w:ascii="Times New Roman" w:eastAsia="Times New Roman" w:hAnsi="Times New Roman" w:cs="Times New Roman"/>
          <w:sz w:val="24"/>
          <w:lang w:eastAsia="sk-SK"/>
        </w:rPr>
        <w:t>6 410 250</w:t>
      </w:r>
      <w:r w:rsidR="00074C30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eur </w:t>
      </w:r>
      <w:r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toho:</w:t>
      </w:r>
    </w:p>
    <w:p w:rsidR="00943BA9" w:rsidRDefault="00C50049" w:rsidP="00943BA9">
      <w:pPr>
        <w:pStyle w:val="Odsekzoznamu"/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7572">
        <w:rPr>
          <w:rFonts w:ascii="Times New Roman" w:hAnsi="Times New Roman" w:cs="Times New Roman"/>
          <w:sz w:val="24"/>
          <w:szCs w:val="24"/>
        </w:rPr>
        <w:t>v kategórii rozp</w:t>
      </w:r>
      <w:r>
        <w:rPr>
          <w:rFonts w:ascii="Times New Roman" w:hAnsi="Times New Roman" w:cs="Times New Roman"/>
          <w:sz w:val="24"/>
          <w:szCs w:val="24"/>
        </w:rPr>
        <w:t>očtu 640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Bežné transfery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F6">
        <w:rPr>
          <w:rFonts w:ascii="Times New Roman" w:hAnsi="Times New Roman" w:cs="Times New Roman"/>
          <w:sz w:val="24"/>
          <w:szCs w:val="24"/>
        </w:rPr>
        <w:t>5 775</w:t>
      </w:r>
      <w:r w:rsidR="00074C30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C50049" w:rsidRPr="00943BA9" w:rsidRDefault="00C50049" w:rsidP="00943BA9">
      <w:pPr>
        <w:pStyle w:val="Odsekzoznamu"/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3BA9">
        <w:rPr>
          <w:rFonts w:ascii="Times New Roman" w:hAnsi="Times New Roman" w:cs="Times New Roman"/>
          <w:sz w:val="24"/>
          <w:szCs w:val="24"/>
        </w:rPr>
        <w:t>v kategórii rozpočtu 620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Poistné a príspevok do poisťovní</w:t>
      </w:r>
      <w:r w:rsidR="00263096" w:rsidRPr="00943BA9">
        <w:rPr>
          <w:rFonts w:ascii="Times New Roman" w:hAnsi="Times New Roman" w:cs="Times New Roman"/>
          <w:sz w:val="24"/>
          <w:szCs w:val="24"/>
        </w:rPr>
        <w:t xml:space="preserve"> </w:t>
      </w:r>
      <w:r w:rsidR="00D46207">
        <w:rPr>
          <w:rFonts w:ascii="Times New Roman" w:hAnsi="Times New Roman" w:cs="Times New Roman"/>
          <w:sz w:val="24"/>
          <w:szCs w:val="24"/>
        </w:rPr>
        <w:t>sumu</w:t>
      </w:r>
      <w:r w:rsidRPr="00943BA9">
        <w:rPr>
          <w:rFonts w:ascii="Times New Roman" w:hAnsi="Times New Roman" w:cs="Times New Roman"/>
          <w:sz w:val="24"/>
          <w:szCs w:val="24"/>
        </w:rPr>
        <w:t xml:space="preserve"> </w:t>
      </w:r>
      <w:r w:rsidR="00AD3BF6">
        <w:rPr>
          <w:rFonts w:ascii="Times New Roman" w:hAnsi="Times New Roman" w:cs="Times New Roman"/>
          <w:sz w:val="24"/>
          <w:szCs w:val="24"/>
        </w:rPr>
        <w:t>635 250</w:t>
      </w:r>
      <w:r w:rsidRPr="00943BA9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C50049" w:rsidRDefault="00C50049" w:rsidP="00C50049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50049" w:rsidRPr="00712488" w:rsidRDefault="00263096" w:rsidP="00C5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roku 2025 je 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predpoklad </w:t>
      </w:r>
      <w:r w:rsidR="00C500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počtu 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príslušníkov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633C6">
        <w:rPr>
          <w:rFonts w:ascii="Times New Roman" w:hAnsi="Times New Roman" w:cs="Times New Roman"/>
          <w:sz w:val="24"/>
          <w:szCs w:val="24"/>
        </w:rPr>
        <w:t>zboru</w:t>
      </w:r>
      <w:r w:rsidR="00C500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dosiahnu v danom roku 20 odslúžen</w:t>
      </w:r>
      <w:r w:rsidR="00074C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 rokov a</w:t>
      </w:r>
      <w:r w:rsidR="00CA7F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074C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viac</w:t>
      </w:r>
      <w:r w:rsidR="00CA7F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074C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počte cca </w:t>
      </w:r>
      <w:r w:rsidR="00AD3B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</w:t>
      </w:r>
      <w:r w:rsidR="00074C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2349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čo</w:t>
      </w:r>
      <w:r w:rsidR="00C500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predstavuje </w:t>
      </w:r>
      <w:r w:rsidR="00DD23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celkový </w:t>
      </w:r>
      <w:r w:rsidR="00C50049">
        <w:rPr>
          <w:rFonts w:ascii="Times New Roman" w:hAnsi="Times New Roman" w:cs="Times New Roman"/>
          <w:sz w:val="24"/>
        </w:rPr>
        <w:t xml:space="preserve">vplyv na rozpočet </w:t>
      </w:r>
      <w:r w:rsidR="002633C6">
        <w:rPr>
          <w:rFonts w:ascii="Times New Roman" w:eastAsia="Times New Roman" w:hAnsi="Times New Roman" w:cs="Times New Roman"/>
          <w:sz w:val="24"/>
          <w:lang w:eastAsia="sk-SK"/>
        </w:rPr>
        <w:t>Zboru väzenskej a justičnej stráže</w:t>
      </w:r>
      <w:r w:rsidR="00074C30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2A5EAB">
        <w:rPr>
          <w:rFonts w:ascii="Times New Roman" w:eastAsia="Times New Roman" w:hAnsi="Times New Roman" w:cs="Times New Roman"/>
          <w:sz w:val="24"/>
          <w:lang w:eastAsia="sk-SK"/>
        </w:rPr>
        <w:t xml:space="preserve">Slovenskej republiky </w:t>
      </w:r>
      <w:r w:rsidR="00C50049">
        <w:rPr>
          <w:rFonts w:ascii="Times New Roman" w:eastAsia="Times New Roman" w:hAnsi="Times New Roman" w:cs="Times New Roman"/>
          <w:sz w:val="24"/>
          <w:lang w:eastAsia="sk-SK"/>
        </w:rPr>
        <w:t xml:space="preserve">na rok 2025 sumu </w:t>
      </w:r>
      <w:r w:rsidR="00AD3BF6">
        <w:rPr>
          <w:rFonts w:ascii="Times New Roman" w:eastAsia="Times New Roman" w:hAnsi="Times New Roman" w:cs="Times New Roman"/>
          <w:sz w:val="24"/>
          <w:lang w:eastAsia="sk-SK"/>
        </w:rPr>
        <w:t>1 221 000</w:t>
      </w:r>
      <w:r w:rsidR="00C50049">
        <w:rPr>
          <w:rFonts w:ascii="Times New Roman" w:eastAsia="Times New Roman" w:hAnsi="Times New Roman" w:cs="Times New Roman"/>
          <w:sz w:val="24"/>
          <w:lang w:eastAsia="sk-SK"/>
        </w:rPr>
        <w:t xml:space="preserve"> eur </w:t>
      </w:r>
      <w:r w:rsidR="00C50049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toho:</w:t>
      </w:r>
    </w:p>
    <w:p w:rsidR="00943BA9" w:rsidRDefault="00C50049" w:rsidP="00943BA9">
      <w:pPr>
        <w:pStyle w:val="Odsekzoznamu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CFE">
        <w:rPr>
          <w:rFonts w:ascii="Times New Roman" w:hAnsi="Times New Roman" w:cs="Times New Roman"/>
          <w:sz w:val="24"/>
          <w:szCs w:val="24"/>
        </w:rPr>
        <w:t>v kategórii roz</w:t>
      </w:r>
      <w:r>
        <w:rPr>
          <w:rFonts w:ascii="Times New Roman" w:hAnsi="Times New Roman" w:cs="Times New Roman"/>
          <w:sz w:val="24"/>
          <w:szCs w:val="24"/>
        </w:rPr>
        <w:t>počtu 640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Bežné transfery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F6">
        <w:rPr>
          <w:rFonts w:ascii="Times New Roman" w:hAnsi="Times New Roman" w:cs="Times New Roman"/>
          <w:sz w:val="24"/>
          <w:szCs w:val="24"/>
        </w:rPr>
        <w:t>1 100 000</w:t>
      </w:r>
      <w:r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C50049" w:rsidRDefault="00C50049" w:rsidP="00943BA9">
      <w:pPr>
        <w:pStyle w:val="Odsekzoznamu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3BA9">
        <w:rPr>
          <w:rFonts w:ascii="Times New Roman" w:hAnsi="Times New Roman" w:cs="Times New Roman"/>
          <w:sz w:val="24"/>
          <w:szCs w:val="24"/>
        </w:rPr>
        <w:t>v kategórii rozpočtu 620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Poistné a príspevok do poisťovní</w:t>
      </w:r>
      <w:r w:rsidR="00D46207">
        <w:rPr>
          <w:rFonts w:ascii="Times New Roman" w:hAnsi="Times New Roman" w:cs="Times New Roman"/>
          <w:sz w:val="24"/>
          <w:szCs w:val="24"/>
        </w:rPr>
        <w:t xml:space="preserve"> sumu</w:t>
      </w:r>
      <w:r w:rsidRPr="00943BA9">
        <w:rPr>
          <w:rFonts w:ascii="Times New Roman" w:hAnsi="Times New Roman" w:cs="Times New Roman"/>
          <w:sz w:val="24"/>
          <w:szCs w:val="24"/>
        </w:rPr>
        <w:t xml:space="preserve"> </w:t>
      </w:r>
      <w:r w:rsidR="00AD3BF6">
        <w:rPr>
          <w:rFonts w:ascii="Times New Roman" w:hAnsi="Times New Roman" w:cs="Times New Roman"/>
          <w:sz w:val="24"/>
          <w:szCs w:val="24"/>
        </w:rPr>
        <w:t>121 000</w:t>
      </w:r>
      <w:r w:rsidRPr="00943BA9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760102" w:rsidRDefault="00760102" w:rsidP="0076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02" w:rsidRPr="00BA118E" w:rsidRDefault="00760102" w:rsidP="007601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E106C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17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5C4">
        <w:rPr>
          <w:rFonts w:ascii="Times New Roman" w:hAnsi="Times New Roman" w:cs="Times New Roman"/>
          <w:sz w:val="24"/>
          <w:szCs w:val="24"/>
        </w:rPr>
        <w:t>zavedenie</w:t>
      </w:r>
      <w:r w:rsidRPr="00BA118E">
        <w:rPr>
          <w:rFonts w:ascii="Times New Roman" w:hAnsi="Times New Roman" w:cs="Times New Roman"/>
          <w:sz w:val="24"/>
          <w:szCs w:val="24"/>
        </w:rPr>
        <w:t xml:space="preserve"> príspevku na bývanie </w:t>
      </w:r>
      <w:r w:rsidR="00D37EC9">
        <w:rPr>
          <w:rFonts w:ascii="Times New Roman" w:hAnsi="Times New Roman" w:cs="Times New Roman"/>
          <w:sz w:val="24"/>
          <w:szCs w:val="24"/>
        </w:rPr>
        <w:t>(</w:t>
      </w:r>
      <w:r w:rsidR="00D37EC9" w:rsidRPr="00D37EC9">
        <w:rPr>
          <w:rFonts w:ascii="Times New Roman" w:hAnsi="Times New Roman" w:cs="Times New Roman"/>
          <w:sz w:val="24"/>
          <w:szCs w:val="24"/>
        </w:rPr>
        <w:t>§ 213a</w:t>
      </w:r>
      <w:r w:rsidR="00D37EC9">
        <w:rPr>
          <w:rFonts w:ascii="Times New Roman" w:hAnsi="Times New Roman" w:cs="Times New Roman"/>
          <w:sz w:val="24"/>
          <w:szCs w:val="24"/>
        </w:rPr>
        <w:t xml:space="preserve"> – Príspevok na bývanie) </w:t>
      </w:r>
      <w:r w:rsidR="002633C6">
        <w:rPr>
          <w:rFonts w:ascii="Times New Roman" w:hAnsi="Times New Roman" w:cs="Times New Roman"/>
          <w:sz w:val="24"/>
          <w:szCs w:val="24"/>
        </w:rPr>
        <w:t>podľa</w:t>
      </w:r>
      <w:r w:rsidR="006F6D95">
        <w:rPr>
          <w:rFonts w:ascii="Times New Roman" w:hAnsi="Times New Roman" w:cs="Times New Roman"/>
          <w:sz w:val="24"/>
          <w:szCs w:val="24"/>
        </w:rPr>
        <w:t xml:space="preserve"> </w:t>
      </w:r>
      <w:r w:rsidR="005B75C4">
        <w:rPr>
          <w:rFonts w:ascii="Times New Roman" w:hAnsi="Times New Roman" w:cs="Times New Roman"/>
          <w:sz w:val="24"/>
          <w:szCs w:val="24"/>
        </w:rPr>
        <w:t>novel</w:t>
      </w:r>
      <w:r w:rsidR="006F6D95">
        <w:rPr>
          <w:rFonts w:ascii="Times New Roman" w:hAnsi="Times New Roman" w:cs="Times New Roman"/>
          <w:sz w:val="24"/>
          <w:szCs w:val="24"/>
        </w:rPr>
        <w:t>y</w:t>
      </w:r>
      <w:r w:rsidR="005B75C4">
        <w:rPr>
          <w:rFonts w:ascii="Times New Roman" w:hAnsi="Times New Roman" w:cs="Times New Roman"/>
          <w:sz w:val="24"/>
          <w:szCs w:val="24"/>
        </w:rPr>
        <w:t xml:space="preserve"> </w:t>
      </w:r>
      <w:r w:rsidR="005B75C4" w:rsidRPr="005B75C4">
        <w:rPr>
          <w:rFonts w:ascii="Times New Roman" w:hAnsi="Times New Roman" w:cs="Times New Roman"/>
          <w:sz w:val="24"/>
          <w:szCs w:val="24"/>
        </w:rPr>
        <w:t>zákon</w:t>
      </w:r>
      <w:r w:rsidR="005B75C4">
        <w:rPr>
          <w:rFonts w:ascii="Times New Roman" w:hAnsi="Times New Roman" w:cs="Times New Roman"/>
          <w:sz w:val="24"/>
          <w:szCs w:val="24"/>
        </w:rPr>
        <w:t>a</w:t>
      </w:r>
      <w:r w:rsidR="005B75C4" w:rsidRPr="005B75C4">
        <w:rPr>
          <w:rFonts w:ascii="Times New Roman" w:hAnsi="Times New Roman" w:cs="Times New Roman"/>
          <w:sz w:val="24"/>
          <w:szCs w:val="24"/>
        </w:rPr>
        <w:t xml:space="preserve"> č. 35/2019 Z. z. o</w:t>
      </w:r>
      <w:r w:rsidR="006F6D95">
        <w:rPr>
          <w:rFonts w:ascii="Times New Roman" w:hAnsi="Times New Roman" w:cs="Times New Roman"/>
          <w:sz w:val="24"/>
          <w:szCs w:val="24"/>
        </w:rPr>
        <w:t> </w:t>
      </w:r>
      <w:r w:rsidR="005B75C4" w:rsidRPr="005B75C4">
        <w:rPr>
          <w:rFonts w:ascii="Times New Roman" w:hAnsi="Times New Roman" w:cs="Times New Roman"/>
          <w:sz w:val="24"/>
          <w:szCs w:val="24"/>
        </w:rPr>
        <w:t>finančnej správe a o zmene a doplnení niektorých zákonov v znení neskorších predpisov</w:t>
      </w:r>
      <w:r w:rsidR="00C4612E">
        <w:rPr>
          <w:rFonts w:ascii="Times New Roman" w:hAnsi="Times New Roman" w:cs="Times New Roman"/>
          <w:sz w:val="24"/>
          <w:szCs w:val="24"/>
        </w:rPr>
        <w:t>.</w:t>
      </w:r>
      <w:r w:rsidR="006F6D95">
        <w:rPr>
          <w:rFonts w:ascii="Times New Roman" w:hAnsi="Times New Roman" w:cs="Times New Roman"/>
          <w:sz w:val="24"/>
          <w:szCs w:val="24"/>
        </w:rPr>
        <w:t xml:space="preserve"> </w:t>
      </w:r>
      <w:r w:rsidR="00C4612E">
        <w:rPr>
          <w:rFonts w:ascii="Times New Roman" w:hAnsi="Times New Roman" w:cs="Times New Roman"/>
          <w:sz w:val="24"/>
          <w:szCs w:val="24"/>
        </w:rPr>
        <w:t>P</w:t>
      </w:r>
      <w:r w:rsidR="006F6D95">
        <w:rPr>
          <w:rFonts w:ascii="Times New Roman" w:hAnsi="Times New Roman" w:cs="Times New Roman"/>
          <w:sz w:val="24"/>
          <w:szCs w:val="24"/>
        </w:rPr>
        <w:t xml:space="preserve">ríspevok </w:t>
      </w:r>
      <w:r w:rsidR="002633C6">
        <w:rPr>
          <w:rFonts w:ascii="Times New Roman" w:hAnsi="Times New Roman" w:cs="Times New Roman"/>
          <w:sz w:val="24"/>
          <w:szCs w:val="24"/>
        </w:rPr>
        <w:t xml:space="preserve">na bývanie </w:t>
      </w:r>
      <w:r w:rsidR="006F6D95">
        <w:rPr>
          <w:rFonts w:ascii="Times New Roman" w:hAnsi="Times New Roman" w:cs="Times New Roman"/>
          <w:sz w:val="24"/>
          <w:szCs w:val="24"/>
        </w:rPr>
        <w:t xml:space="preserve">bude možné podľa </w:t>
      </w:r>
      <w:r w:rsidR="002633C6">
        <w:rPr>
          <w:rFonts w:ascii="Times New Roman" w:hAnsi="Times New Roman" w:cs="Times New Roman"/>
          <w:sz w:val="24"/>
          <w:szCs w:val="24"/>
        </w:rPr>
        <w:t xml:space="preserve">navrhovanej </w:t>
      </w:r>
      <w:r w:rsidR="006F6D95">
        <w:rPr>
          <w:rFonts w:ascii="Times New Roman" w:hAnsi="Times New Roman" w:cs="Times New Roman"/>
          <w:sz w:val="24"/>
          <w:szCs w:val="24"/>
        </w:rPr>
        <w:t xml:space="preserve">právnej úpravy priznať </w:t>
      </w:r>
      <w:r>
        <w:rPr>
          <w:rFonts w:ascii="Times New Roman" w:hAnsi="Times New Roman" w:cs="Times New Roman"/>
          <w:sz w:val="24"/>
          <w:szCs w:val="24"/>
        </w:rPr>
        <w:t>maximáln</w:t>
      </w:r>
      <w:r w:rsidR="006F6D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9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výšk</w:t>
      </w:r>
      <w:r w:rsidR="006F6D95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118E">
        <w:rPr>
          <w:rFonts w:ascii="Times New Roman" w:hAnsi="Times New Roman" w:cs="Times New Roman"/>
          <w:sz w:val="24"/>
          <w:szCs w:val="24"/>
        </w:rPr>
        <w:t>00 eur m</w:t>
      </w:r>
      <w:r w:rsidR="002A5EAB">
        <w:rPr>
          <w:rFonts w:ascii="Times New Roman" w:hAnsi="Times New Roman" w:cs="Times New Roman"/>
          <w:sz w:val="24"/>
          <w:szCs w:val="24"/>
        </w:rPr>
        <w:t>esačne na jedno</w:t>
      </w:r>
      <w:r w:rsidRPr="00BA118E">
        <w:rPr>
          <w:rFonts w:ascii="Times New Roman" w:hAnsi="Times New Roman" w:cs="Times New Roman"/>
          <w:sz w:val="24"/>
          <w:szCs w:val="24"/>
        </w:rPr>
        <w:t xml:space="preserve"> system</w:t>
      </w:r>
      <w:r w:rsidR="002633C6">
        <w:rPr>
          <w:rFonts w:ascii="Times New Roman" w:hAnsi="Times New Roman" w:cs="Times New Roman"/>
          <w:sz w:val="24"/>
          <w:szCs w:val="24"/>
        </w:rPr>
        <w:t>izované miesto ozbrojeného príslušníka f</w:t>
      </w:r>
      <w:r>
        <w:rPr>
          <w:rFonts w:ascii="Times New Roman" w:hAnsi="Times New Roman" w:cs="Times New Roman"/>
          <w:sz w:val="24"/>
          <w:szCs w:val="24"/>
        </w:rPr>
        <w:t>inančnej správy (priemerne 200 eur mesačne na každého príslušníka)</w:t>
      </w:r>
      <w:r w:rsidRPr="00BA1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102" w:rsidRDefault="00760102" w:rsidP="0076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02" w:rsidRPr="00BA118E" w:rsidRDefault="00760102" w:rsidP="007601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>Aktuálny s</w:t>
      </w:r>
      <w:r>
        <w:rPr>
          <w:rFonts w:ascii="Times New Roman" w:hAnsi="Times New Roman" w:cs="Times New Roman"/>
          <w:sz w:val="24"/>
          <w:szCs w:val="24"/>
        </w:rPr>
        <w:t xml:space="preserve">ystemizovaný počet </w:t>
      </w:r>
      <w:r w:rsidR="002633C6">
        <w:rPr>
          <w:rFonts w:ascii="Times New Roman" w:hAnsi="Times New Roman" w:cs="Times New Roman"/>
          <w:sz w:val="24"/>
          <w:szCs w:val="24"/>
        </w:rPr>
        <w:t>ozbrojených príslušníkov finančnej správy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18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2 821</w:t>
      </w:r>
      <w:r w:rsidRPr="00BA118E">
        <w:rPr>
          <w:rFonts w:ascii="Times New Roman" w:hAnsi="Times New Roman" w:cs="Times New Roman"/>
          <w:sz w:val="24"/>
          <w:szCs w:val="24"/>
        </w:rPr>
        <w:t xml:space="preserve"> miest. Ročný celkový </w:t>
      </w:r>
      <w:r w:rsidR="002633C6">
        <w:rPr>
          <w:rFonts w:ascii="Times New Roman" w:hAnsi="Times New Roman" w:cs="Times New Roman"/>
          <w:sz w:val="24"/>
          <w:szCs w:val="24"/>
        </w:rPr>
        <w:t>vplyv na rozpočet f</w:t>
      </w:r>
      <w:r>
        <w:rPr>
          <w:rFonts w:ascii="Times New Roman" w:hAnsi="Times New Roman" w:cs="Times New Roman"/>
          <w:sz w:val="24"/>
          <w:szCs w:val="24"/>
        </w:rPr>
        <w:t>inančnej správy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rok 2025 a nasledujúce roky </w:t>
      </w:r>
      <w:r w:rsidRPr="00BA118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7 515 144</w:t>
      </w:r>
      <w:r w:rsidRPr="00BA118E">
        <w:rPr>
          <w:rFonts w:ascii="Times New Roman" w:hAnsi="Times New Roman" w:cs="Times New Roman"/>
          <w:sz w:val="24"/>
          <w:szCs w:val="24"/>
        </w:rPr>
        <w:t xml:space="preserve"> eur, z toho:</w:t>
      </w:r>
    </w:p>
    <w:p w:rsidR="005F533D" w:rsidRDefault="00760102" w:rsidP="005F533D">
      <w:pPr>
        <w:pStyle w:val="Odsekzoznamu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v kategórii rozpočtu 640 - Bežné transfery v sume 6 770 400 eur,</w:t>
      </w:r>
    </w:p>
    <w:p w:rsidR="00760102" w:rsidRPr="005F533D" w:rsidRDefault="00760102" w:rsidP="005F533D">
      <w:pPr>
        <w:pStyle w:val="Odsekzoznamu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v kategórii rozpočtu 620 - Poistné a príspevok do poisťovní v sume 744 744 eur.</w:t>
      </w:r>
    </w:p>
    <w:p w:rsidR="00760102" w:rsidRPr="00C50049" w:rsidRDefault="00760102" w:rsidP="00760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02" w:rsidRDefault="00760102" w:rsidP="00760102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FS </w:t>
      </w:r>
      <w:r w:rsidRPr="00AA3D72">
        <w:rPr>
          <w:rFonts w:ascii="Times New Roman" w:hAnsi="Times New Roman" w:cs="Times New Roman"/>
          <w:b/>
          <w:sz w:val="24"/>
          <w:szCs w:val="24"/>
        </w:rPr>
        <w:t>b)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zavedenie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E7530B">
        <w:rPr>
          <w:rFonts w:ascii="Times New Roman" w:hAnsi="Times New Roman" w:cs="Times New Roman"/>
          <w:sz w:val="24"/>
          <w:szCs w:val="24"/>
        </w:rPr>
        <w:t xml:space="preserve">dočasného </w:t>
      </w:r>
      <w:r>
        <w:rPr>
          <w:rFonts w:ascii="Times New Roman" w:hAnsi="Times New Roman" w:cs="Times New Roman"/>
          <w:sz w:val="24"/>
          <w:szCs w:val="24"/>
        </w:rPr>
        <w:t>náborového príspevku</w:t>
      </w:r>
      <w:r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D37EC9">
        <w:rPr>
          <w:rFonts w:ascii="Times New Roman" w:hAnsi="Times New Roman" w:cs="Times New Roman"/>
          <w:sz w:val="24"/>
          <w:szCs w:val="24"/>
        </w:rPr>
        <w:t>(</w:t>
      </w:r>
      <w:r w:rsidR="00D37EC9" w:rsidRPr="00D37EC9">
        <w:rPr>
          <w:rFonts w:ascii="Times New Roman" w:hAnsi="Times New Roman" w:cs="Times New Roman"/>
          <w:sz w:val="24"/>
          <w:szCs w:val="24"/>
        </w:rPr>
        <w:t>§ 331d</w:t>
      </w:r>
      <w:r w:rsidR="00D37EC9">
        <w:rPr>
          <w:rFonts w:ascii="Times New Roman" w:hAnsi="Times New Roman" w:cs="Times New Roman"/>
          <w:sz w:val="24"/>
          <w:szCs w:val="24"/>
        </w:rPr>
        <w:t xml:space="preserve"> – Dočasný náborový príspevok) </w:t>
      </w:r>
      <w:r w:rsidR="002633C6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 xml:space="preserve">novely zákona </w:t>
      </w:r>
      <w:r w:rsidR="006F6D95" w:rsidRPr="006F6D95">
        <w:rPr>
          <w:rFonts w:ascii="Times New Roman" w:hAnsi="Times New Roman" w:cs="Times New Roman"/>
          <w:sz w:val="24"/>
          <w:szCs w:val="24"/>
        </w:rPr>
        <w:t>č. 35/2019 Z. z. o</w:t>
      </w:r>
      <w:r w:rsidR="006F6D95">
        <w:rPr>
          <w:rFonts w:ascii="Times New Roman" w:hAnsi="Times New Roman" w:cs="Times New Roman"/>
          <w:sz w:val="24"/>
          <w:szCs w:val="24"/>
        </w:rPr>
        <w:t> </w:t>
      </w:r>
      <w:r w:rsidR="006F6D95" w:rsidRPr="006F6D95">
        <w:rPr>
          <w:rFonts w:ascii="Times New Roman" w:hAnsi="Times New Roman" w:cs="Times New Roman"/>
          <w:sz w:val="24"/>
          <w:szCs w:val="24"/>
        </w:rPr>
        <w:t>finančnej správe a o zmene a doplnení niektorých zákonov v znení neskorších predpisov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Priznanie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náborového príspevku sa navrhuje </w:t>
      </w:r>
      <w:r w:rsidR="002633C6">
        <w:rPr>
          <w:rFonts w:ascii="Times New Roman" w:hAnsi="Times New Roman" w:cs="Times New Roman"/>
          <w:sz w:val="24"/>
          <w:szCs w:val="24"/>
        </w:rPr>
        <w:t>ozbrojenému príslušníkovi finančnej správy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prípravnej štátnej službe </w:t>
      </w:r>
      <w:r>
        <w:rPr>
          <w:rFonts w:ascii="Times New Roman" w:hAnsi="Times New Roman" w:cs="Times New Roman"/>
          <w:sz w:val="24"/>
        </w:rPr>
        <w:t xml:space="preserve">po </w:t>
      </w:r>
      <w:r w:rsidR="00DD2394">
        <w:rPr>
          <w:rFonts w:ascii="Times New Roman" w:hAnsi="Times New Roman" w:cs="Times New Roman"/>
          <w:sz w:val="24"/>
        </w:rPr>
        <w:t>prijatí do služobného pomeru a</w:t>
      </w:r>
      <w:r w:rsidR="00C93C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získaní p</w:t>
      </w:r>
      <w:r w:rsidR="00DD2394">
        <w:rPr>
          <w:rFonts w:ascii="Times New Roman" w:hAnsi="Times New Roman" w:cs="Times New Roman"/>
          <w:sz w:val="24"/>
        </w:rPr>
        <w:t>rofesijného</w:t>
      </w:r>
      <w:r>
        <w:rPr>
          <w:rFonts w:ascii="Times New Roman" w:hAnsi="Times New Roman" w:cs="Times New Roman"/>
          <w:sz w:val="24"/>
        </w:rPr>
        <w:t xml:space="preserve"> </w:t>
      </w:r>
      <w:r w:rsidRPr="005A3ABE">
        <w:rPr>
          <w:rFonts w:ascii="Times New Roman" w:hAnsi="Times New Roman" w:cs="Times New Roman"/>
          <w:sz w:val="24"/>
        </w:rPr>
        <w:t>vzdelania v sume 5</w:t>
      </w:r>
      <w:r>
        <w:rPr>
          <w:rFonts w:ascii="Times New Roman" w:hAnsi="Times New Roman" w:cs="Times New Roman"/>
          <w:sz w:val="24"/>
        </w:rPr>
        <w:t> </w:t>
      </w:r>
      <w:r w:rsidRPr="005A3ABE">
        <w:rPr>
          <w:rFonts w:ascii="Times New Roman" w:hAnsi="Times New Roman" w:cs="Times New Roman"/>
          <w:sz w:val="24"/>
        </w:rPr>
        <w:t xml:space="preserve">000 </w:t>
      </w:r>
      <w:r w:rsidR="006F6D95">
        <w:rPr>
          <w:rFonts w:ascii="Times New Roman" w:hAnsi="Times New Roman" w:cs="Times New Roman"/>
          <w:sz w:val="24"/>
        </w:rPr>
        <w:t>eur</w:t>
      </w:r>
      <w:r w:rsidRPr="005A3ABE">
        <w:rPr>
          <w:rFonts w:ascii="Times New Roman" w:hAnsi="Times New Roman" w:cs="Times New Roman"/>
          <w:sz w:val="24"/>
        </w:rPr>
        <w:t>.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</w:t>
      </w:r>
      <w:r w:rsidR="002633C6">
        <w:rPr>
          <w:rFonts w:ascii="Times New Roman" w:hAnsi="Times New Roman" w:cs="Times New Roman"/>
          <w:sz w:val="24"/>
          <w:szCs w:val="24"/>
        </w:rPr>
        <w:t>zbrojený príslušník finančnej správy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ktorému bude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priznaný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dočasný 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náborový príspevok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sume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5 000 eur, je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vinný 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zotrvať v</w:t>
      </w:r>
      <w:r w:rsidR="006F6D9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služobnom pomere po dobu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piatich rokov.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2633C6">
        <w:rPr>
          <w:rFonts w:ascii="Times New Roman" w:hAnsi="Times New Roman" w:cs="Times New Roman"/>
          <w:sz w:val="24"/>
          <w:szCs w:val="24"/>
        </w:rPr>
        <w:t>zbrojený príslušník finančnej správy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torý v</w:t>
      </w:r>
      <w:r w:rsidR="00FA5B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slu</w:t>
      </w:r>
      <w:r w:rsidR="00DD23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žobnom pomere nezotrvá po dobu piatich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rokov, bude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povinný vrátiť vyplatenú sumu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náborového príspevku alebo jej pomernú časť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760102" w:rsidRPr="006A7572" w:rsidRDefault="00760102" w:rsidP="007601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0102" w:rsidRPr="006A7572" w:rsidRDefault="00760102" w:rsidP="007601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572">
        <w:rPr>
          <w:rFonts w:ascii="Times New Roman" w:hAnsi="Times New Roman" w:cs="Times New Roman"/>
          <w:sz w:val="24"/>
          <w:szCs w:val="24"/>
        </w:rPr>
        <w:t xml:space="preserve">Aktuálny systemizovaný počet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2633C6">
        <w:rPr>
          <w:rFonts w:ascii="Times New Roman" w:hAnsi="Times New Roman" w:cs="Times New Roman"/>
          <w:sz w:val="24"/>
          <w:szCs w:val="24"/>
        </w:rPr>
        <w:t>zbrojených príslušníkov finančnej správy</w:t>
      </w:r>
      <w:r>
        <w:rPr>
          <w:rFonts w:ascii="Times New Roman" w:hAnsi="Times New Roman" w:cs="Times New Roman"/>
          <w:sz w:val="24"/>
          <w:szCs w:val="24"/>
        </w:rPr>
        <w:t xml:space="preserve"> je 2 821</w:t>
      </w:r>
      <w:r w:rsidRPr="006A7572">
        <w:rPr>
          <w:rFonts w:ascii="Times New Roman" w:hAnsi="Times New Roman" w:cs="Times New Roman"/>
          <w:sz w:val="24"/>
          <w:szCs w:val="24"/>
        </w:rPr>
        <w:t xml:space="preserve"> funkčných miest. Za predpokladu</w:t>
      </w:r>
      <w:r w:rsidR="00447EDE">
        <w:rPr>
          <w:rFonts w:ascii="Times New Roman" w:hAnsi="Times New Roman" w:cs="Times New Roman"/>
          <w:sz w:val="24"/>
          <w:szCs w:val="24"/>
        </w:rPr>
        <w:t xml:space="preserve"> prijatia 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2633C6">
        <w:rPr>
          <w:rFonts w:ascii="Times New Roman" w:hAnsi="Times New Roman" w:cs="Times New Roman"/>
          <w:sz w:val="24"/>
          <w:szCs w:val="24"/>
        </w:rPr>
        <w:t>zbrojených príslušníkov finančnej správy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C6">
        <w:rPr>
          <w:rFonts w:ascii="Times New Roman" w:hAnsi="Times New Roman" w:cs="Times New Roman"/>
          <w:sz w:val="24"/>
          <w:szCs w:val="24"/>
        </w:rPr>
        <w:t xml:space="preserve">ročne, </w:t>
      </w:r>
      <w:r w:rsidR="002633C6">
        <w:rPr>
          <w:rFonts w:ascii="Times New Roman" w:hAnsi="Times New Roman" w:cs="Times New Roman"/>
          <w:sz w:val="24"/>
          <w:szCs w:val="24"/>
        </w:rPr>
        <w:lastRenderedPageBreak/>
        <w:t>s </w:t>
      </w:r>
      <w:r w:rsidRPr="006A7572">
        <w:rPr>
          <w:rFonts w:ascii="Times New Roman" w:hAnsi="Times New Roman" w:cs="Times New Roman"/>
          <w:sz w:val="24"/>
          <w:szCs w:val="24"/>
        </w:rPr>
        <w:t xml:space="preserve">vyplatením príspevku v sume 5 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="006F6D95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na jedného </w:t>
      </w:r>
      <w:r w:rsidR="002633C6">
        <w:rPr>
          <w:rFonts w:ascii="Times New Roman" w:hAnsi="Times New Roman" w:cs="Times New Roman"/>
          <w:sz w:val="24"/>
          <w:szCs w:val="24"/>
        </w:rPr>
        <w:t xml:space="preserve">tohto </w:t>
      </w:r>
      <w:r>
        <w:rPr>
          <w:rFonts w:ascii="Times New Roman" w:hAnsi="Times New Roman" w:cs="Times New Roman"/>
          <w:sz w:val="24"/>
          <w:szCs w:val="24"/>
        </w:rPr>
        <w:t>príslušníka</w:t>
      </w:r>
      <w:r w:rsidRPr="006A7572">
        <w:rPr>
          <w:rFonts w:ascii="Times New Roman" w:hAnsi="Times New Roman" w:cs="Times New Roman"/>
          <w:sz w:val="24"/>
          <w:szCs w:val="24"/>
        </w:rPr>
        <w:t>, predstavuje</w:t>
      </w:r>
      <w:r w:rsidR="000D2F47">
        <w:rPr>
          <w:rFonts w:ascii="Times New Roman" w:hAnsi="Times New Roman" w:cs="Times New Roman"/>
          <w:sz w:val="24"/>
          <w:szCs w:val="24"/>
        </w:rPr>
        <w:t xml:space="preserve"> </w:t>
      </w:r>
      <w:r w:rsidR="000D2F47" w:rsidRPr="009E3E93">
        <w:rPr>
          <w:rFonts w:ascii="Times New Roman" w:hAnsi="Times New Roman" w:cs="Times New Roman"/>
          <w:sz w:val="24"/>
          <w:szCs w:val="24"/>
        </w:rPr>
        <w:t>ročný</w:t>
      </w:r>
      <w:r w:rsidRPr="006A7572">
        <w:rPr>
          <w:rFonts w:ascii="Times New Roman" w:hAnsi="Times New Roman" w:cs="Times New Roman"/>
          <w:sz w:val="24"/>
          <w:szCs w:val="24"/>
        </w:rPr>
        <w:t xml:space="preserve"> celkový vplyv na rozpočet </w:t>
      </w:r>
      <w:r w:rsidR="002633C6">
        <w:rPr>
          <w:rFonts w:ascii="Times New Roman" w:hAnsi="Times New Roman" w:cs="Times New Roman"/>
          <w:sz w:val="24"/>
          <w:szCs w:val="24"/>
        </w:rPr>
        <w:t>f</w:t>
      </w:r>
      <w:r w:rsidR="00447EDE">
        <w:rPr>
          <w:rFonts w:ascii="Times New Roman" w:hAnsi="Times New Roman" w:cs="Times New Roman"/>
          <w:sz w:val="24"/>
          <w:szCs w:val="24"/>
        </w:rPr>
        <w:t>inančnej správy</w:t>
      </w:r>
      <w:r w:rsidRPr="006A7572">
        <w:rPr>
          <w:rFonts w:ascii="Times New Roman" w:hAnsi="Times New Roman" w:cs="Times New Roman"/>
          <w:sz w:val="24"/>
          <w:szCs w:val="24"/>
        </w:rPr>
        <w:t xml:space="preserve"> </w:t>
      </w:r>
      <w:r w:rsidR="00DD2394">
        <w:rPr>
          <w:rFonts w:ascii="Times New Roman" w:hAnsi="Times New Roman" w:cs="Times New Roman"/>
          <w:sz w:val="24"/>
          <w:szCs w:val="24"/>
        </w:rPr>
        <w:t>sumu</w:t>
      </w:r>
      <w:r w:rsidRPr="006A7572">
        <w:rPr>
          <w:rFonts w:ascii="Times New Roman" w:hAnsi="Times New Roman" w:cs="Times New Roman"/>
          <w:sz w:val="24"/>
          <w:szCs w:val="24"/>
        </w:rPr>
        <w:t xml:space="preserve"> </w:t>
      </w:r>
      <w:r w:rsidR="00447EDE">
        <w:rPr>
          <w:rFonts w:ascii="Times New Roman" w:hAnsi="Times New Roman" w:cs="Times New Roman"/>
          <w:sz w:val="24"/>
          <w:szCs w:val="24"/>
        </w:rPr>
        <w:t>2 325 450</w:t>
      </w:r>
      <w:r w:rsidRPr="006A7572">
        <w:rPr>
          <w:rFonts w:ascii="Times New Roman" w:hAnsi="Times New Roman" w:cs="Times New Roman"/>
          <w:sz w:val="24"/>
          <w:szCs w:val="24"/>
        </w:rPr>
        <w:t xml:space="preserve"> </w:t>
      </w:r>
      <w:r w:rsidR="006F6D95">
        <w:rPr>
          <w:rFonts w:ascii="Times New Roman" w:hAnsi="Times New Roman" w:cs="Times New Roman"/>
          <w:sz w:val="24"/>
          <w:szCs w:val="24"/>
        </w:rPr>
        <w:t>eur</w:t>
      </w:r>
      <w:r w:rsidRPr="006A7572">
        <w:rPr>
          <w:rFonts w:ascii="Times New Roman" w:hAnsi="Times New Roman" w:cs="Times New Roman"/>
          <w:sz w:val="24"/>
          <w:szCs w:val="24"/>
        </w:rPr>
        <w:t xml:space="preserve"> z toho:</w:t>
      </w:r>
    </w:p>
    <w:p w:rsidR="005F533D" w:rsidRDefault="00760102" w:rsidP="005F533D">
      <w:pPr>
        <w:pStyle w:val="Odsekzoznamu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v kategórii </w:t>
      </w:r>
      <w:r w:rsidR="00070B11">
        <w:rPr>
          <w:rFonts w:ascii="Times New Roman" w:hAnsi="Times New Roman" w:cs="Times New Roman"/>
          <w:sz w:val="24"/>
          <w:szCs w:val="24"/>
        </w:rPr>
        <w:t>rozpočtu 640 - Bežné transfery sumu</w:t>
      </w:r>
      <w:r w:rsidRPr="005F533D">
        <w:rPr>
          <w:rFonts w:ascii="Times New Roman" w:hAnsi="Times New Roman" w:cs="Times New Roman"/>
          <w:sz w:val="24"/>
          <w:szCs w:val="24"/>
        </w:rPr>
        <w:t xml:space="preserve"> </w:t>
      </w:r>
      <w:r w:rsidR="00447EDE" w:rsidRPr="005F533D">
        <w:rPr>
          <w:rFonts w:ascii="Times New Roman" w:hAnsi="Times New Roman" w:cs="Times New Roman"/>
          <w:sz w:val="24"/>
          <w:szCs w:val="24"/>
        </w:rPr>
        <w:t>2 095 000</w:t>
      </w:r>
      <w:r w:rsidRPr="005F533D"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760102" w:rsidRPr="005F533D" w:rsidRDefault="00760102" w:rsidP="005F533D">
      <w:pPr>
        <w:pStyle w:val="Odsekzoznamu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v kategórii rozpočtu 620 - Po</w:t>
      </w:r>
      <w:r w:rsidR="00070B11">
        <w:rPr>
          <w:rFonts w:ascii="Times New Roman" w:hAnsi="Times New Roman" w:cs="Times New Roman"/>
          <w:sz w:val="24"/>
          <w:szCs w:val="24"/>
        </w:rPr>
        <w:t>istné a príspevok do poisťovní sumu</w:t>
      </w:r>
      <w:r w:rsidRPr="005F533D">
        <w:rPr>
          <w:rFonts w:ascii="Times New Roman" w:hAnsi="Times New Roman" w:cs="Times New Roman"/>
          <w:sz w:val="24"/>
          <w:szCs w:val="24"/>
        </w:rPr>
        <w:t xml:space="preserve"> </w:t>
      </w:r>
      <w:r w:rsidR="00447EDE" w:rsidRPr="005F533D">
        <w:rPr>
          <w:rFonts w:ascii="Times New Roman" w:hAnsi="Times New Roman" w:cs="Times New Roman"/>
          <w:sz w:val="24"/>
          <w:szCs w:val="24"/>
        </w:rPr>
        <w:t>230 450</w:t>
      </w:r>
      <w:r w:rsidRPr="005F533D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760102" w:rsidRDefault="00760102" w:rsidP="0076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02" w:rsidRPr="006A7572" w:rsidRDefault="00760102" w:rsidP="00760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FS</w:t>
      </w:r>
      <w:r w:rsidRPr="006A7572">
        <w:rPr>
          <w:rFonts w:ascii="Times New Roman" w:hAnsi="Times New Roman" w:cs="Times New Roman"/>
          <w:b/>
          <w:sz w:val="24"/>
          <w:szCs w:val="24"/>
        </w:rPr>
        <w:t xml:space="preserve">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zavedenie</w:t>
      </w:r>
      <w:r w:rsidRP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stabilizačné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ho príspevku </w:t>
      </w:r>
      <w:r w:rsidR="00D37E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D37EC9" w:rsidRPr="00D37E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331c</w:t>
      </w:r>
      <w:r w:rsidR="00D37E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Dočasný stabilizačný príspevok)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="006F6D95" w:rsidRPr="006F6D9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novely zákona č. 35/2019 Z. z. o finančnej správe a o zmene a doplnení niektorých zákonov v znení neskorších predpisov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="00DD23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ozbrojených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príslušníkov</w:t>
      </w:r>
      <w:r w:rsidR="00DD23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finančnej správy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ajú odslúžen</w:t>
      </w:r>
      <w:r w:rsidR="005512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rokov a viac v sume 5 000 eur.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2633C6">
        <w:rPr>
          <w:rFonts w:ascii="Times New Roman" w:hAnsi="Times New Roman" w:cs="Times New Roman"/>
          <w:sz w:val="24"/>
          <w:szCs w:val="24"/>
        </w:rPr>
        <w:t>zbrojený príslušník finančnej správy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ktorému bude priznaný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dočasný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stabilizačný príspevok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sume</w:t>
      </w:r>
      <w:r w:rsidR="00DD23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5 000 eur, je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povinný zotrvať v</w:t>
      </w:r>
      <w:r w:rsidR="006F6D9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služobnom pomere po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troch rokov odo dňa priznania</w:t>
      </w:r>
      <w:r w:rsidRP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stabilizačného príspevku.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2633C6">
        <w:rPr>
          <w:rFonts w:ascii="Times New Roman" w:hAnsi="Times New Roman" w:cs="Times New Roman"/>
          <w:sz w:val="24"/>
          <w:szCs w:val="24"/>
        </w:rPr>
        <w:t>zbrojený príslušník finančnej správy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v služobnom pomere nezotrvá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stanovenú dobu, bude povinný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vrátiť vyplatenú sumu</w:t>
      </w:r>
      <w:r w:rsidRP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 stabilizačného</w:t>
      </w:r>
      <w:r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príspevku alebo jej pomernú časť.</w:t>
      </w:r>
    </w:p>
    <w:p w:rsidR="00760102" w:rsidRDefault="00760102" w:rsidP="00760102">
      <w:pPr>
        <w:pStyle w:val="Odsekzoznamu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60102" w:rsidRPr="00D67E10" w:rsidRDefault="00760102" w:rsidP="00760102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Počet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2633C6">
        <w:rPr>
          <w:rFonts w:ascii="Times New Roman" w:hAnsi="Times New Roman" w:cs="Times New Roman"/>
          <w:sz w:val="24"/>
          <w:szCs w:val="24"/>
        </w:rPr>
        <w:t>zbrojených príslušníkov finančnej správy</w:t>
      </w: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b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udú mať k 31. 12. 2024 odslúžených</w:t>
      </w: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 rokov a viac je </w:t>
      </w:r>
      <w:r w:rsidR="00FA5B9E" w:rsidRPr="00D67E10">
        <w:rPr>
          <w:rFonts w:ascii="Times New Roman" w:eastAsia="Times New Roman" w:hAnsi="Times New Roman" w:cs="Times New Roman"/>
          <w:sz w:val="24"/>
          <w:szCs w:val="24"/>
          <w:lang w:eastAsia="sk-SK"/>
        </w:rPr>
        <w:t>926</w:t>
      </w: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D67E10">
        <w:rPr>
          <w:rFonts w:ascii="Times New Roman" w:hAnsi="Times New Roman" w:cs="Times New Roman"/>
          <w:sz w:val="24"/>
        </w:rPr>
        <w:t xml:space="preserve">Na základe uvedeného, predstavuje celkový vplyv na rozpočet </w:t>
      </w:r>
      <w:r w:rsidR="002633C6">
        <w:rPr>
          <w:rFonts w:ascii="Times New Roman" w:eastAsia="Times New Roman" w:hAnsi="Times New Roman" w:cs="Times New Roman"/>
          <w:sz w:val="24"/>
          <w:lang w:eastAsia="sk-SK"/>
        </w:rPr>
        <w:t>f</w:t>
      </w:r>
      <w:r w:rsidR="005F533D" w:rsidRPr="00D67E10">
        <w:rPr>
          <w:rFonts w:ascii="Times New Roman" w:eastAsia="Times New Roman" w:hAnsi="Times New Roman" w:cs="Times New Roman"/>
          <w:sz w:val="24"/>
          <w:lang w:eastAsia="sk-SK"/>
        </w:rPr>
        <w:t>inančnej správy</w:t>
      </w:r>
      <w:r w:rsidRPr="00D67E10">
        <w:rPr>
          <w:rFonts w:ascii="Times New Roman" w:eastAsia="Times New Roman" w:hAnsi="Times New Roman" w:cs="Times New Roman"/>
          <w:sz w:val="24"/>
          <w:lang w:eastAsia="sk-SK"/>
        </w:rPr>
        <w:t xml:space="preserve"> na </w:t>
      </w:r>
      <w:r w:rsidR="00D67E10" w:rsidRPr="00D67E10">
        <w:rPr>
          <w:rFonts w:ascii="Times New Roman" w:eastAsia="Times New Roman" w:hAnsi="Times New Roman" w:cs="Times New Roman"/>
          <w:sz w:val="24"/>
          <w:lang w:eastAsia="sk-SK"/>
        </w:rPr>
        <w:t>rok 2024 jednorazovo sumu 5 139 300</w:t>
      </w:r>
      <w:r w:rsidRPr="00D67E10">
        <w:rPr>
          <w:rFonts w:ascii="Times New Roman" w:eastAsia="Times New Roman" w:hAnsi="Times New Roman" w:cs="Times New Roman"/>
          <w:sz w:val="24"/>
          <w:lang w:eastAsia="sk-SK"/>
        </w:rPr>
        <w:t xml:space="preserve"> eur </w:t>
      </w: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toho:</w:t>
      </w:r>
    </w:p>
    <w:p w:rsidR="005F533D" w:rsidRPr="00D67E10" w:rsidRDefault="00760102" w:rsidP="005F533D">
      <w:pPr>
        <w:pStyle w:val="Odsekzoznamu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v kategórii rozpočtu 6</w:t>
      </w:r>
      <w:r w:rsidR="00070B11">
        <w:rPr>
          <w:rFonts w:ascii="Times New Roman" w:hAnsi="Times New Roman" w:cs="Times New Roman"/>
          <w:sz w:val="24"/>
          <w:szCs w:val="24"/>
        </w:rPr>
        <w:t>40 - Bežné transfery sumu</w:t>
      </w:r>
      <w:r w:rsidR="00D67E10" w:rsidRPr="00D67E10">
        <w:rPr>
          <w:rFonts w:ascii="Times New Roman" w:hAnsi="Times New Roman" w:cs="Times New Roman"/>
          <w:sz w:val="24"/>
          <w:szCs w:val="24"/>
        </w:rPr>
        <w:t xml:space="preserve"> 4 630</w:t>
      </w:r>
      <w:r w:rsidRPr="00D67E10">
        <w:rPr>
          <w:rFonts w:ascii="Times New Roman" w:hAnsi="Times New Roman" w:cs="Times New Roman"/>
          <w:sz w:val="24"/>
          <w:szCs w:val="24"/>
        </w:rPr>
        <w:t xml:space="preserve"> 000 eur,</w:t>
      </w:r>
    </w:p>
    <w:p w:rsidR="00760102" w:rsidRPr="00D67E10" w:rsidRDefault="00760102" w:rsidP="005F533D">
      <w:pPr>
        <w:pStyle w:val="Odsekzoznamu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v kategórii rozpočtu 620 - Poistné a prísp</w:t>
      </w:r>
      <w:r w:rsidR="00070B11">
        <w:rPr>
          <w:rFonts w:ascii="Times New Roman" w:hAnsi="Times New Roman" w:cs="Times New Roman"/>
          <w:sz w:val="24"/>
          <w:szCs w:val="24"/>
        </w:rPr>
        <w:t>evok do poisťovní sumu</w:t>
      </w:r>
      <w:r w:rsidR="00D67E10" w:rsidRPr="00D67E10">
        <w:rPr>
          <w:rFonts w:ascii="Times New Roman" w:hAnsi="Times New Roman" w:cs="Times New Roman"/>
          <w:sz w:val="24"/>
          <w:szCs w:val="24"/>
        </w:rPr>
        <w:t xml:space="preserve"> 509 300</w:t>
      </w:r>
      <w:r w:rsidRPr="00D67E10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760102" w:rsidRPr="00D67E10" w:rsidRDefault="00760102" w:rsidP="00760102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60102" w:rsidRPr="00D67E10" w:rsidRDefault="00760102" w:rsidP="00760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roku 2025 je predpoklad počtu 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2633C6">
        <w:rPr>
          <w:rFonts w:ascii="Times New Roman" w:hAnsi="Times New Roman" w:cs="Times New Roman"/>
          <w:sz w:val="24"/>
          <w:szCs w:val="24"/>
        </w:rPr>
        <w:t>zbrojených príslušníkov finančnej správy</w:t>
      </w: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dosiahnu v danom roku 20 odslúžených rokov</w:t>
      </w:r>
      <w:r w:rsidR="002633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viac </w:t>
      </w:r>
      <w:r w:rsidR="00D67E10"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počte cca 77</w:t>
      </w: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čo predstavuje </w:t>
      </w:r>
      <w:r w:rsidR="00DD23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celkový </w:t>
      </w:r>
      <w:r w:rsidRPr="00D67E10">
        <w:rPr>
          <w:rFonts w:ascii="Times New Roman" w:hAnsi="Times New Roman" w:cs="Times New Roman"/>
          <w:sz w:val="24"/>
        </w:rPr>
        <w:t xml:space="preserve">vplyv na rozpočet </w:t>
      </w:r>
      <w:r w:rsidR="002633C6">
        <w:rPr>
          <w:rFonts w:ascii="Times New Roman" w:eastAsia="Times New Roman" w:hAnsi="Times New Roman" w:cs="Times New Roman"/>
          <w:sz w:val="24"/>
          <w:lang w:eastAsia="sk-SK"/>
        </w:rPr>
        <w:t>f</w:t>
      </w:r>
      <w:r w:rsidR="005F533D" w:rsidRPr="00D67E10">
        <w:rPr>
          <w:rFonts w:ascii="Times New Roman" w:eastAsia="Times New Roman" w:hAnsi="Times New Roman" w:cs="Times New Roman"/>
          <w:sz w:val="24"/>
          <w:lang w:eastAsia="sk-SK"/>
        </w:rPr>
        <w:t>inančnej správy</w:t>
      </w:r>
      <w:r w:rsidR="00D67E10" w:rsidRPr="00D67E10">
        <w:rPr>
          <w:rFonts w:ascii="Times New Roman" w:eastAsia="Times New Roman" w:hAnsi="Times New Roman" w:cs="Times New Roman"/>
          <w:sz w:val="24"/>
          <w:lang w:eastAsia="sk-SK"/>
        </w:rPr>
        <w:t xml:space="preserve"> na rok 2025 sumu 427 350</w:t>
      </w:r>
      <w:r w:rsidRPr="00D67E10">
        <w:rPr>
          <w:rFonts w:ascii="Times New Roman" w:eastAsia="Times New Roman" w:hAnsi="Times New Roman" w:cs="Times New Roman"/>
          <w:sz w:val="24"/>
          <w:lang w:eastAsia="sk-SK"/>
        </w:rPr>
        <w:t xml:space="preserve"> eur </w:t>
      </w:r>
      <w:r w:rsidRPr="00D67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toho:</w:t>
      </w:r>
    </w:p>
    <w:p w:rsidR="005F533D" w:rsidRPr="00D67E10" w:rsidRDefault="00760102" w:rsidP="005F533D">
      <w:pPr>
        <w:pStyle w:val="Odsekzoznamu"/>
        <w:numPr>
          <w:ilvl w:val="0"/>
          <w:numId w:val="4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 xml:space="preserve">v kategórii rozpočtu 640 - </w:t>
      </w:r>
      <w:r w:rsidR="00070B11">
        <w:rPr>
          <w:rFonts w:ascii="Times New Roman" w:hAnsi="Times New Roman" w:cs="Times New Roman"/>
          <w:sz w:val="24"/>
          <w:szCs w:val="24"/>
        </w:rPr>
        <w:t>Bežné transfery sumu</w:t>
      </w:r>
      <w:r w:rsidR="00D67E10" w:rsidRPr="00D67E10">
        <w:rPr>
          <w:rFonts w:ascii="Times New Roman" w:hAnsi="Times New Roman" w:cs="Times New Roman"/>
          <w:sz w:val="24"/>
          <w:szCs w:val="24"/>
        </w:rPr>
        <w:t xml:space="preserve"> 385 000</w:t>
      </w:r>
      <w:r w:rsidRPr="00D67E10"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760102" w:rsidRPr="00D67E10" w:rsidRDefault="00760102" w:rsidP="005F533D">
      <w:pPr>
        <w:pStyle w:val="Odsekzoznamu"/>
        <w:numPr>
          <w:ilvl w:val="0"/>
          <w:numId w:val="4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v kategórii rozpočtu 620 - Poistné a prísp</w:t>
      </w:r>
      <w:r w:rsidR="00070B11">
        <w:rPr>
          <w:rFonts w:ascii="Times New Roman" w:hAnsi="Times New Roman" w:cs="Times New Roman"/>
          <w:sz w:val="24"/>
          <w:szCs w:val="24"/>
        </w:rPr>
        <w:t>evok do poisťovní sumu</w:t>
      </w:r>
      <w:r w:rsidR="00D67E10" w:rsidRPr="00D67E10">
        <w:rPr>
          <w:rFonts w:ascii="Times New Roman" w:hAnsi="Times New Roman" w:cs="Times New Roman"/>
          <w:sz w:val="24"/>
          <w:szCs w:val="24"/>
        </w:rPr>
        <w:t xml:space="preserve"> 42 350</w:t>
      </w:r>
      <w:r w:rsidRPr="00D67E10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760102" w:rsidRDefault="00760102" w:rsidP="0076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54" w:rsidRPr="00BA118E" w:rsidRDefault="00245754" w:rsidP="002457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NBÚ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17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A118E">
        <w:rPr>
          <w:rFonts w:ascii="Times New Roman" w:hAnsi="Times New Roman" w:cs="Times New Roman"/>
          <w:sz w:val="24"/>
          <w:szCs w:val="24"/>
        </w:rPr>
        <w:t>výšenie príspevku na bývanie podľa aktuálne platnej leg</w:t>
      </w:r>
      <w:r>
        <w:rPr>
          <w:rFonts w:ascii="Times New Roman" w:hAnsi="Times New Roman" w:cs="Times New Roman"/>
          <w:sz w:val="24"/>
          <w:szCs w:val="24"/>
        </w:rPr>
        <w:t xml:space="preserve">islatívy (§ 141a zákona </w:t>
      </w:r>
      <w:r w:rsidRPr="00BA118E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118E">
        <w:rPr>
          <w:rFonts w:ascii="Times New Roman" w:hAnsi="Times New Roman" w:cs="Times New Roman"/>
          <w:sz w:val="24"/>
          <w:szCs w:val="24"/>
        </w:rPr>
        <w:t xml:space="preserve">73/1998 Z. z. </w:t>
      </w:r>
      <w:r w:rsidRPr="00BA11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štátnej službe príslušníkov Policajného zboru, Slovenskej informačnej služby, Zboru väzenskej a justičnej stráže Slovenskej republiky a Železničnej polície v znení neskorších predpisov</w:t>
      </w:r>
      <w:r w:rsidRPr="00BA118E">
        <w:rPr>
          <w:rFonts w:ascii="Times New Roman" w:hAnsi="Times New Roman" w:cs="Times New Roman"/>
          <w:sz w:val="24"/>
          <w:szCs w:val="24"/>
        </w:rPr>
        <w:t>)</w:t>
      </w:r>
      <w:r w:rsidRPr="00BA1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maximálnu výšku 7</w:t>
      </w:r>
      <w:r w:rsidR="00070B11">
        <w:rPr>
          <w:rFonts w:ascii="Times New Roman" w:hAnsi="Times New Roman" w:cs="Times New Roman"/>
          <w:sz w:val="24"/>
          <w:szCs w:val="24"/>
        </w:rPr>
        <w:t>00 eur mesačne na jedno</w:t>
      </w:r>
      <w:r w:rsidRPr="00BA118E">
        <w:rPr>
          <w:rFonts w:ascii="Times New Roman" w:hAnsi="Times New Roman" w:cs="Times New Roman"/>
          <w:sz w:val="24"/>
          <w:szCs w:val="24"/>
        </w:rPr>
        <w:t xml:space="preserve"> systemizované miesto príslušníka </w:t>
      </w:r>
      <w:r w:rsidR="002633C6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957533">
        <w:rPr>
          <w:rFonts w:ascii="Times New Roman" w:hAnsi="Times New Roman" w:cs="Times New Roman"/>
          <w:sz w:val="24"/>
          <w:szCs w:val="24"/>
        </w:rPr>
        <w:t xml:space="preserve"> </w:t>
      </w:r>
      <w:r w:rsidR="00E1732C">
        <w:rPr>
          <w:rFonts w:ascii="Times New Roman" w:hAnsi="Times New Roman" w:cs="Times New Roman"/>
          <w:sz w:val="24"/>
          <w:szCs w:val="24"/>
        </w:rPr>
        <w:t>(</w:t>
      </w:r>
      <w:r w:rsidR="00883F00">
        <w:rPr>
          <w:rFonts w:ascii="Times New Roman" w:hAnsi="Times New Roman" w:cs="Times New Roman"/>
          <w:sz w:val="24"/>
          <w:szCs w:val="24"/>
        </w:rPr>
        <w:t xml:space="preserve">priemerne </w:t>
      </w:r>
      <w:r w:rsidR="00E1732C">
        <w:rPr>
          <w:rFonts w:ascii="Times New Roman" w:hAnsi="Times New Roman" w:cs="Times New Roman"/>
          <w:sz w:val="24"/>
          <w:szCs w:val="24"/>
        </w:rPr>
        <w:t>o 200 eur</w:t>
      </w:r>
      <w:r w:rsidR="00883F00">
        <w:rPr>
          <w:rFonts w:ascii="Times New Roman" w:hAnsi="Times New Roman" w:cs="Times New Roman"/>
          <w:sz w:val="24"/>
          <w:szCs w:val="24"/>
        </w:rPr>
        <w:t xml:space="preserve"> </w:t>
      </w:r>
      <w:r w:rsidR="00AF74AB">
        <w:rPr>
          <w:rFonts w:ascii="Times New Roman" w:hAnsi="Times New Roman" w:cs="Times New Roman"/>
          <w:sz w:val="24"/>
          <w:szCs w:val="24"/>
        </w:rPr>
        <w:t>mesačne</w:t>
      </w:r>
      <w:r w:rsidR="00E1732C">
        <w:rPr>
          <w:rFonts w:ascii="Times New Roman" w:hAnsi="Times New Roman" w:cs="Times New Roman"/>
          <w:sz w:val="24"/>
          <w:szCs w:val="24"/>
        </w:rPr>
        <w:t xml:space="preserve"> na každého prís</w:t>
      </w:r>
      <w:r w:rsidR="00AF74AB">
        <w:rPr>
          <w:rFonts w:ascii="Times New Roman" w:hAnsi="Times New Roman" w:cs="Times New Roman"/>
          <w:sz w:val="24"/>
          <w:szCs w:val="24"/>
        </w:rPr>
        <w:t>lušníka</w:t>
      </w:r>
      <w:r w:rsidR="002633C6">
        <w:rPr>
          <w:rFonts w:ascii="Times New Roman" w:hAnsi="Times New Roman" w:cs="Times New Roman"/>
          <w:sz w:val="24"/>
          <w:szCs w:val="24"/>
        </w:rPr>
        <w:t xml:space="preserve"> Národného bezpečnostného úradu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1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754" w:rsidRDefault="00245754" w:rsidP="0024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54" w:rsidRPr="00BA118E" w:rsidRDefault="00245754" w:rsidP="002457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>Aktuálny s</w:t>
      </w:r>
      <w:r w:rsidR="00AF74AB">
        <w:rPr>
          <w:rFonts w:ascii="Times New Roman" w:hAnsi="Times New Roman" w:cs="Times New Roman"/>
          <w:sz w:val="24"/>
          <w:szCs w:val="24"/>
        </w:rPr>
        <w:t>ystemizovaný počet príslušníkov</w:t>
      </w:r>
      <w:r w:rsidR="002633C6">
        <w:rPr>
          <w:rFonts w:ascii="Times New Roman" w:hAnsi="Times New Roman" w:cs="Times New Roman"/>
          <w:sz w:val="24"/>
          <w:szCs w:val="24"/>
        </w:rPr>
        <w:t xml:space="preserve"> Národného bezpečnostného úradu</w:t>
      </w:r>
      <w:r w:rsidRPr="00BA118E">
        <w:rPr>
          <w:rFonts w:ascii="Times New Roman" w:hAnsi="Times New Roman" w:cs="Times New Roman"/>
          <w:sz w:val="24"/>
          <w:szCs w:val="24"/>
        </w:rPr>
        <w:t xml:space="preserve"> je </w:t>
      </w:r>
      <w:r w:rsidR="009E6957">
        <w:rPr>
          <w:rFonts w:ascii="Times New Roman" w:hAnsi="Times New Roman" w:cs="Times New Roman"/>
          <w:sz w:val="24"/>
          <w:szCs w:val="24"/>
        </w:rPr>
        <w:t>238</w:t>
      </w:r>
      <w:r w:rsidRPr="00BA118E">
        <w:rPr>
          <w:rFonts w:ascii="Times New Roman" w:hAnsi="Times New Roman" w:cs="Times New Roman"/>
          <w:sz w:val="24"/>
          <w:szCs w:val="24"/>
        </w:rPr>
        <w:t xml:space="preserve"> miest. Ročný celkový </w:t>
      </w:r>
      <w:r>
        <w:rPr>
          <w:rFonts w:ascii="Times New Roman" w:hAnsi="Times New Roman" w:cs="Times New Roman"/>
          <w:sz w:val="24"/>
          <w:szCs w:val="24"/>
        </w:rPr>
        <w:t>vplyv</w:t>
      </w:r>
      <w:r w:rsidRPr="00BA118E">
        <w:rPr>
          <w:rFonts w:ascii="Times New Roman" w:hAnsi="Times New Roman" w:cs="Times New Roman"/>
          <w:sz w:val="24"/>
          <w:szCs w:val="24"/>
        </w:rPr>
        <w:t xml:space="preserve"> na</w:t>
      </w:r>
      <w:r w:rsidR="007C2BD7">
        <w:rPr>
          <w:rFonts w:ascii="Times New Roman" w:hAnsi="Times New Roman" w:cs="Times New Roman"/>
          <w:sz w:val="24"/>
          <w:szCs w:val="24"/>
        </w:rPr>
        <w:t> </w:t>
      </w:r>
      <w:r w:rsidRPr="00BA118E">
        <w:rPr>
          <w:rFonts w:ascii="Times New Roman" w:hAnsi="Times New Roman" w:cs="Times New Roman"/>
          <w:sz w:val="24"/>
          <w:szCs w:val="24"/>
        </w:rPr>
        <w:t xml:space="preserve">rozpočet </w:t>
      </w:r>
      <w:r w:rsidR="002633C6">
        <w:rPr>
          <w:rFonts w:ascii="Times New Roman" w:hAnsi="Times New Roman" w:cs="Times New Roman"/>
          <w:sz w:val="24"/>
          <w:szCs w:val="24"/>
        </w:rPr>
        <w:t xml:space="preserve">Národného bezpečnostného </w:t>
      </w:r>
      <w:r w:rsidR="00D31E59">
        <w:rPr>
          <w:rFonts w:ascii="Times New Roman" w:hAnsi="Times New Roman" w:cs="Times New Roman"/>
          <w:sz w:val="24"/>
          <w:szCs w:val="24"/>
        </w:rPr>
        <w:t>úradu na rok 2025 a nasledujúce</w:t>
      </w:r>
      <w:r w:rsidRPr="00BA118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 w:rsidR="00D31E59">
        <w:rPr>
          <w:rFonts w:ascii="Times New Roman" w:hAnsi="Times New Roman" w:cs="Times New Roman"/>
          <w:sz w:val="24"/>
          <w:szCs w:val="24"/>
        </w:rPr>
        <w:t>634 032</w:t>
      </w:r>
      <w:r w:rsidRPr="00BA118E">
        <w:rPr>
          <w:rFonts w:ascii="Times New Roman" w:hAnsi="Times New Roman" w:cs="Times New Roman"/>
          <w:sz w:val="24"/>
          <w:szCs w:val="24"/>
        </w:rPr>
        <w:t xml:space="preserve"> eur, z toho:</w:t>
      </w:r>
    </w:p>
    <w:p w:rsidR="00245754" w:rsidRDefault="00245754" w:rsidP="00245754">
      <w:pPr>
        <w:pStyle w:val="Odsekzoznamu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118E">
        <w:rPr>
          <w:rFonts w:ascii="Times New Roman" w:hAnsi="Times New Roman" w:cs="Times New Roman"/>
          <w:sz w:val="24"/>
          <w:szCs w:val="24"/>
        </w:rPr>
        <w:t xml:space="preserve">v kategórii </w:t>
      </w:r>
      <w:r>
        <w:rPr>
          <w:rFonts w:ascii="Times New Roman" w:hAnsi="Times New Roman" w:cs="Times New Roman"/>
          <w:sz w:val="24"/>
          <w:szCs w:val="24"/>
        </w:rPr>
        <w:t xml:space="preserve">rozpočtu 640 - </w:t>
      </w:r>
      <w:r w:rsidRPr="00BA118E">
        <w:rPr>
          <w:rFonts w:ascii="Times New Roman" w:hAnsi="Times New Roman" w:cs="Times New Roman"/>
          <w:sz w:val="24"/>
          <w:szCs w:val="24"/>
        </w:rPr>
        <w:t xml:space="preserve">Bežné transfery </w:t>
      </w:r>
      <w:r>
        <w:rPr>
          <w:rFonts w:ascii="Times New Roman" w:hAnsi="Times New Roman" w:cs="Times New Roman"/>
          <w:sz w:val="24"/>
          <w:szCs w:val="24"/>
        </w:rPr>
        <w:t>v sume</w:t>
      </w:r>
      <w:r w:rsidRPr="00BA118E">
        <w:rPr>
          <w:rFonts w:ascii="Times New Roman" w:hAnsi="Times New Roman" w:cs="Times New Roman"/>
          <w:sz w:val="24"/>
          <w:szCs w:val="24"/>
        </w:rPr>
        <w:t xml:space="preserve"> </w:t>
      </w:r>
      <w:r w:rsidR="00D31E59">
        <w:rPr>
          <w:rFonts w:ascii="Times New Roman" w:hAnsi="Times New Roman" w:cs="Times New Roman"/>
          <w:sz w:val="24"/>
          <w:szCs w:val="24"/>
        </w:rPr>
        <w:t>571 200</w:t>
      </w:r>
      <w:r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245754" w:rsidRPr="00245754" w:rsidRDefault="00245754" w:rsidP="00245754">
      <w:pPr>
        <w:pStyle w:val="Odsekzoznamu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5754">
        <w:rPr>
          <w:rFonts w:ascii="Times New Roman" w:hAnsi="Times New Roman" w:cs="Times New Roman"/>
          <w:sz w:val="24"/>
          <w:szCs w:val="24"/>
        </w:rPr>
        <w:t xml:space="preserve">v kategórii rozpočtu 620 - Poistné a príspevok do poisťovní v sume </w:t>
      </w:r>
      <w:r w:rsidR="00D31E59">
        <w:rPr>
          <w:rFonts w:ascii="Times New Roman" w:hAnsi="Times New Roman" w:cs="Times New Roman"/>
          <w:sz w:val="24"/>
          <w:szCs w:val="24"/>
        </w:rPr>
        <w:t>62 832</w:t>
      </w:r>
      <w:r w:rsidRPr="00245754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245754" w:rsidRDefault="00245754" w:rsidP="0024575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754" w:rsidRDefault="00263AF4" w:rsidP="00245754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NBÚ</w:t>
      </w:r>
      <w:r w:rsidR="00245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754" w:rsidRPr="00AA3D72">
        <w:rPr>
          <w:rFonts w:ascii="Times New Roman" w:hAnsi="Times New Roman" w:cs="Times New Roman"/>
          <w:b/>
          <w:sz w:val="24"/>
          <w:szCs w:val="24"/>
        </w:rPr>
        <w:t>b)</w:t>
      </w:r>
      <w:r w:rsidR="00245754"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245754">
        <w:rPr>
          <w:rFonts w:ascii="Times New Roman" w:hAnsi="Times New Roman" w:cs="Times New Roman"/>
          <w:sz w:val="24"/>
          <w:szCs w:val="24"/>
        </w:rPr>
        <w:t>zavedenie</w:t>
      </w:r>
      <w:r w:rsidR="00245754"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E7530B">
        <w:rPr>
          <w:rFonts w:ascii="Times New Roman" w:hAnsi="Times New Roman" w:cs="Times New Roman"/>
          <w:sz w:val="24"/>
          <w:szCs w:val="24"/>
        </w:rPr>
        <w:t xml:space="preserve">dočasného </w:t>
      </w:r>
      <w:r w:rsidR="00245754">
        <w:rPr>
          <w:rFonts w:ascii="Times New Roman" w:hAnsi="Times New Roman" w:cs="Times New Roman"/>
          <w:sz w:val="24"/>
          <w:szCs w:val="24"/>
        </w:rPr>
        <w:t>náborového príspevku</w:t>
      </w:r>
      <w:r w:rsidR="00245754" w:rsidRPr="00AA3D72">
        <w:rPr>
          <w:rFonts w:ascii="Times New Roman" w:hAnsi="Times New Roman" w:cs="Times New Roman"/>
          <w:sz w:val="24"/>
          <w:szCs w:val="24"/>
        </w:rPr>
        <w:t xml:space="preserve"> </w:t>
      </w:r>
      <w:r w:rsidR="00E7530B" w:rsidRPr="00E7530B">
        <w:rPr>
          <w:rFonts w:ascii="Times New Roman" w:hAnsi="Times New Roman" w:cs="Times New Roman"/>
          <w:sz w:val="24"/>
          <w:szCs w:val="24"/>
        </w:rPr>
        <w:t xml:space="preserve">(§ 287p </w:t>
      </w:r>
      <w:r w:rsidR="00245754">
        <w:rPr>
          <w:rFonts w:ascii="Times New Roman" w:hAnsi="Times New Roman" w:cs="Times New Roman"/>
          <w:sz w:val="24"/>
          <w:szCs w:val="24"/>
        </w:rPr>
        <w:t xml:space="preserve">– </w:t>
      </w:r>
      <w:r w:rsidR="00E7530B">
        <w:rPr>
          <w:rFonts w:ascii="Times New Roman" w:hAnsi="Times New Roman" w:cs="Times New Roman"/>
          <w:sz w:val="24"/>
          <w:szCs w:val="24"/>
        </w:rPr>
        <w:t>Dočasný n</w:t>
      </w:r>
      <w:r w:rsidR="00245754">
        <w:rPr>
          <w:rFonts w:ascii="Times New Roman" w:hAnsi="Times New Roman" w:cs="Times New Roman"/>
          <w:sz w:val="24"/>
          <w:szCs w:val="24"/>
        </w:rPr>
        <w:t xml:space="preserve">áborový príspevok) </w:t>
      </w:r>
      <w:r w:rsidR="002633C6">
        <w:rPr>
          <w:rFonts w:ascii="Times New Roman" w:hAnsi="Times New Roman" w:cs="Times New Roman"/>
          <w:sz w:val="24"/>
          <w:szCs w:val="24"/>
        </w:rPr>
        <w:t>podľa novely</w:t>
      </w:r>
      <w:r w:rsidR="00245754">
        <w:rPr>
          <w:rFonts w:ascii="Times New Roman" w:hAnsi="Times New Roman" w:cs="Times New Roman"/>
          <w:sz w:val="24"/>
          <w:szCs w:val="24"/>
        </w:rPr>
        <w:t xml:space="preserve"> zákona </w:t>
      </w:r>
      <w:r w:rsidR="00245754" w:rsidRPr="00AA3D72">
        <w:rPr>
          <w:rFonts w:ascii="Times New Roman" w:hAnsi="Times New Roman" w:cs="Times New Roman"/>
          <w:sz w:val="24"/>
          <w:szCs w:val="24"/>
        </w:rPr>
        <w:t>č.</w:t>
      </w:r>
      <w:r w:rsidR="00245754">
        <w:rPr>
          <w:rFonts w:ascii="Times New Roman" w:hAnsi="Times New Roman" w:cs="Times New Roman"/>
          <w:sz w:val="24"/>
          <w:szCs w:val="24"/>
        </w:rPr>
        <w:t> </w:t>
      </w:r>
      <w:r w:rsidR="00245754" w:rsidRPr="00AA3D72">
        <w:rPr>
          <w:rFonts w:ascii="Times New Roman" w:hAnsi="Times New Roman" w:cs="Times New Roman"/>
          <w:sz w:val="24"/>
          <w:szCs w:val="24"/>
        </w:rPr>
        <w:t xml:space="preserve">73/1998 Z. z. </w:t>
      </w:r>
      <w:r w:rsidR="00245754" w:rsidRPr="00AA3D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štátnej službe príslušníkov Policajného zboru, Slovenskej informačnej služby, Zboru väzenskej a justičnej stráže Slovenskej republiky a Železni</w:t>
      </w:r>
      <w:r w:rsidR="002457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čnej polície v znení neskorších predpisov.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Priznanie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náborového príspe</w:t>
      </w:r>
      <w:r w:rsidR="00B142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vku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navrhuje príslušníkovi </w:t>
      </w:r>
      <w:r w:rsidR="002633C6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AD7F58">
        <w:rPr>
          <w:rFonts w:ascii="Times New Roman" w:hAnsi="Times New Roman" w:cs="Times New Roman"/>
          <w:sz w:val="24"/>
          <w:szCs w:val="24"/>
        </w:rPr>
        <w:t xml:space="preserve"> v prípravnej štátnej službe</w:t>
      </w:r>
      <w:r w:rsidR="002633C6">
        <w:rPr>
          <w:rFonts w:ascii="Times New Roman" w:hAnsi="Times New Roman" w:cs="Times New Roman"/>
          <w:sz w:val="24"/>
          <w:szCs w:val="24"/>
        </w:rPr>
        <w:t xml:space="preserve"> </w:t>
      </w:r>
      <w:r w:rsidR="00B14264">
        <w:rPr>
          <w:rFonts w:ascii="Times New Roman" w:hAnsi="Times New Roman" w:cs="Times New Roman"/>
          <w:sz w:val="24"/>
        </w:rPr>
        <w:t>po</w:t>
      </w:r>
      <w:r w:rsidR="00070B11">
        <w:rPr>
          <w:rFonts w:ascii="Times New Roman" w:hAnsi="Times New Roman" w:cs="Times New Roman"/>
          <w:sz w:val="24"/>
        </w:rPr>
        <w:t> </w:t>
      </w:r>
      <w:r w:rsidR="00AD7F58">
        <w:rPr>
          <w:rFonts w:ascii="Times New Roman" w:hAnsi="Times New Roman" w:cs="Times New Roman"/>
          <w:sz w:val="24"/>
        </w:rPr>
        <w:t>prijatí do služobného pomeru,</w:t>
      </w:r>
      <w:r w:rsidR="00B14264">
        <w:rPr>
          <w:rFonts w:ascii="Times New Roman" w:hAnsi="Times New Roman" w:cs="Times New Roman"/>
          <w:sz w:val="24"/>
        </w:rPr>
        <w:t xml:space="preserve"> získaní požadovaného</w:t>
      </w:r>
      <w:r w:rsidR="00245754" w:rsidRPr="005A3ABE">
        <w:rPr>
          <w:rFonts w:ascii="Times New Roman" w:hAnsi="Times New Roman" w:cs="Times New Roman"/>
          <w:sz w:val="24"/>
        </w:rPr>
        <w:t xml:space="preserve"> vzde</w:t>
      </w:r>
      <w:r w:rsidR="00070B11">
        <w:rPr>
          <w:rFonts w:ascii="Times New Roman" w:hAnsi="Times New Roman" w:cs="Times New Roman"/>
          <w:sz w:val="24"/>
        </w:rPr>
        <w:t>lania a ustanovení do funkcie v </w:t>
      </w:r>
      <w:r w:rsidR="00245754" w:rsidRPr="005A3ABE">
        <w:rPr>
          <w:rFonts w:ascii="Times New Roman" w:hAnsi="Times New Roman" w:cs="Times New Roman"/>
          <w:sz w:val="24"/>
        </w:rPr>
        <w:t>sume 5</w:t>
      </w:r>
      <w:r w:rsidR="00245754">
        <w:rPr>
          <w:rFonts w:ascii="Times New Roman" w:hAnsi="Times New Roman" w:cs="Times New Roman"/>
          <w:sz w:val="24"/>
        </w:rPr>
        <w:t> </w:t>
      </w:r>
      <w:r w:rsidR="00245754" w:rsidRPr="005A3ABE">
        <w:rPr>
          <w:rFonts w:ascii="Times New Roman" w:hAnsi="Times New Roman" w:cs="Times New Roman"/>
          <w:sz w:val="24"/>
        </w:rPr>
        <w:t xml:space="preserve">000 </w:t>
      </w:r>
      <w:r w:rsidR="00EA4300">
        <w:rPr>
          <w:rFonts w:ascii="Times New Roman" w:hAnsi="Times New Roman" w:cs="Times New Roman"/>
          <w:sz w:val="24"/>
        </w:rPr>
        <w:t>eur</w:t>
      </w:r>
      <w:r w:rsidR="00245754" w:rsidRPr="005A3ABE">
        <w:rPr>
          <w:rFonts w:ascii="Times New Roman" w:hAnsi="Times New Roman" w:cs="Times New Roman"/>
          <w:sz w:val="24"/>
        </w:rPr>
        <w:t>.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Príslušník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ktorému bude</w:t>
      </w:r>
      <w:r w:rsidR="00245754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priznaný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dočasný </w:t>
      </w:r>
      <w:r w:rsidR="00245754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náborový príspevok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sume</w:t>
      </w:r>
      <w:r w:rsidR="00245754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5 000 eur, je po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vinný </w:t>
      </w:r>
      <w:r w:rsidR="00245754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zotrvať v služobnom pomere po dobu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piatich rokov. 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245754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torý v služobnom pomere nezotrvá po dobu 5 rokov, bude</w:t>
      </w:r>
      <w:r w:rsidR="00245754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povinný vrátiť vyplatenú sumu 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dočasného </w:t>
      </w:r>
      <w:r w:rsidR="00245754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náborového 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príspevku alebo jej pomernú časť.</w:t>
      </w:r>
    </w:p>
    <w:p w:rsidR="00245754" w:rsidRPr="006A7572" w:rsidRDefault="00245754" w:rsidP="002457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754" w:rsidRPr="006A7572" w:rsidRDefault="00245754" w:rsidP="00245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572">
        <w:rPr>
          <w:rFonts w:ascii="Times New Roman" w:hAnsi="Times New Roman" w:cs="Times New Roman"/>
          <w:sz w:val="24"/>
          <w:szCs w:val="24"/>
        </w:rPr>
        <w:t>Aktuálny s</w:t>
      </w:r>
      <w:r w:rsidR="00AF74AB">
        <w:rPr>
          <w:rFonts w:ascii="Times New Roman" w:hAnsi="Times New Roman" w:cs="Times New Roman"/>
          <w:sz w:val="24"/>
          <w:szCs w:val="24"/>
        </w:rPr>
        <w:t>ystemizovaný počet príslušníkov</w:t>
      </w:r>
      <w:r w:rsidR="00AD7F58">
        <w:rPr>
          <w:rFonts w:ascii="Times New Roman" w:hAnsi="Times New Roman" w:cs="Times New Roman"/>
          <w:sz w:val="24"/>
          <w:szCs w:val="24"/>
        </w:rPr>
        <w:t xml:space="preserve"> Národného bezpečnostného úradu</w:t>
      </w:r>
      <w:r w:rsidR="009E6957">
        <w:rPr>
          <w:rFonts w:ascii="Times New Roman" w:hAnsi="Times New Roman" w:cs="Times New Roman"/>
          <w:sz w:val="24"/>
          <w:szCs w:val="24"/>
        </w:rPr>
        <w:t xml:space="preserve"> je 238</w:t>
      </w:r>
      <w:r w:rsidRPr="006A7572">
        <w:rPr>
          <w:rFonts w:ascii="Times New Roman" w:hAnsi="Times New Roman" w:cs="Times New Roman"/>
          <w:sz w:val="24"/>
          <w:szCs w:val="24"/>
        </w:rPr>
        <w:t xml:space="preserve"> funkčných mie</w:t>
      </w:r>
      <w:r w:rsidR="00CA7FB3">
        <w:rPr>
          <w:rFonts w:ascii="Times New Roman" w:hAnsi="Times New Roman" w:cs="Times New Roman"/>
          <w:sz w:val="24"/>
          <w:szCs w:val="24"/>
        </w:rPr>
        <w:t>st. Za predpokladu prijatia 3</w:t>
      </w:r>
      <w:r w:rsidR="00AF74AB">
        <w:rPr>
          <w:rFonts w:ascii="Times New Roman" w:hAnsi="Times New Roman" w:cs="Times New Roman"/>
          <w:sz w:val="24"/>
          <w:szCs w:val="24"/>
        </w:rPr>
        <w:t>0 príslušníkov</w:t>
      </w:r>
      <w:r w:rsidRPr="006A7572">
        <w:rPr>
          <w:rFonts w:ascii="Times New Roman" w:hAnsi="Times New Roman" w:cs="Times New Roman"/>
          <w:sz w:val="24"/>
          <w:szCs w:val="24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 xml:space="preserve">Národného bezpečnostného úradu </w:t>
      </w:r>
      <w:r w:rsidRPr="006A7572">
        <w:rPr>
          <w:rFonts w:ascii="Times New Roman" w:hAnsi="Times New Roman" w:cs="Times New Roman"/>
          <w:sz w:val="24"/>
          <w:szCs w:val="24"/>
        </w:rPr>
        <w:lastRenderedPageBreak/>
        <w:t xml:space="preserve">ročne, s vyplatením príspevku v sume 5 </w:t>
      </w:r>
      <w:r w:rsidR="00263096">
        <w:rPr>
          <w:rFonts w:ascii="Times New Roman" w:hAnsi="Times New Roman" w:cs="Times New Roman"/>
          <w:sz w:val="24"/>
          <w:szCs w:val="24"/>
        </w:rPr>
        <w:t xml:space="preserve">000 </w:t>
      </w:r>
      <w:r w:rsidR="00054268">
        <w:rPr>
          <w:rFonts w:ascii="Times New Roman" w:hAnsi="Times New Roman" w:cs="Times New Roman"/>
          <w:sz w:val="24"/>
          <w:szCs w:val="24"/>
        </w:rPr>
        <w:t>eur</w:t>
      </w:r>
      <w:r w:rsidR="00263096">
        <w:rPr>
          <w:rFonts w:ascii="Times New Roman" w:hAnsi="Times New Roman" w:cs="Times New Roman"/>
          <w:sz w:val="24"/>
          <w:szCs w:val="24"/>
        </w:rPr>
        <w:t xml:space="preserve"> na jedného </w:t>
      </w:r>
      <w:r w:rsidR="00AD7F58">
        <w:rPr>
          <w:rFonts w:ascii="Times New Roman" w:hAnsi="Times New Roman" w:cs="Times New Roman"/>
          <w:sz w:val="24"/>
          <w:szCs w:val="24"/>
        </w:rPr>
        <w:t xml:space="preserve">tohto </w:t>
      </w:r>
      <w:r w:rsidR="00263096">
        <w:rPr>
          <w:rFonts w:ascii="Times New Roman" w:hAnsi="Times New Roman" w:cs="Times New Roman"/>
          <w:sz w:val="24"/>
          <w:szCs w:val="24"/>
        </w:rPr>
        <w:t>príslušníka</w:t>
      </w:r>
      <w:r w:rsidRPr="006A7572">
        <w:rPr>
          <w:rFonts w:ascii="Times New Roman" w:hAnsi="Times New Roman" w:cs="Times New Roman"/>
          <w:sz w:val="24"/>
          <w:szCs w:val="24"/>
        </w:rPr>
        <w:t xml:space="preserve">, predstavuje </w:t>
      </w:r>
      <w:r w:rsidR="000D2F47" w:rsidRPr="009E3E93">
        <w:rPr>
          <w:rFonts w:ascii="Times New Roman" w:hAnsi="Times New Roman" w:cs="Times New Roman"/>
          <w:sz w:val="24"/>
          <w:szCs w:val="24"/>
        </w:rPr>
        <w:t>ročný</w:t>
      </w:r>
      <w:r w:rsidR="000D2F47">
        <w:rPr>
          <w:rFonts w:ascii="Times New Roman" w:hAnsi="Times New Roman" w:cs="Times New Roman"/>
          <w:sz w:val="24"/>
          <w:szCs w:val="24"/>
        </w:rPr>
        <w:t xml:space="preserve"> </w:t>
      </w:r>
      <w:r w:rsidRPr="006A7572">
        <w:rPr>
          <w:rFonts w:ascii="Times New Roman" w:hAnsi="Times New Roman" w:cs="Times New Roman"/>
          <w:sz w:val="24"/>
          <w:szCs w:val="24"/>
        </w:rPr>
        <w:t xml:space="preserve">celkový vplyv na rozpočet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Pr="006A7572">
        <w:rPr>
          <w:rFonts w:ascii="Times New Roman" w:hAnsi="Times New Roman" w:cs="Times New Roman"/>
          <w:sz w:val="24"/>
          <w:szCs w:val="24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sumu</w:t>
      </w:r>
      <w:r w:rsidRPr="006A7572"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>166</w:t>
      </w:r>
      <w:r w:rsidR="00767818">
        <w:rPr>
          <w:rFonts w:ascii="Times New Roman" w:hAnsi="Times New Roman" w:cs="Times New Roman"/>
          <w:sz w:val="24"/>
          <w:szCs w:val="24"/>
        </w:rPr>
        <w:t> </w:t>
      </w:r>
      <w:r w:rsidR="006F0680">
        <w:rPr>
          <w:rFonts w:ascii="Times New Roman" w:hAnsi="Times New Roman" w:cs="Times New Roman"/>
          <w:sz w:val="24"/>
          <w:szCs w:val="24"/>
        </w:rPr>
        <w:t>500</w:t>
      </w:r>
      <w:r w:rsidR="00767818">
        <w:rPr>
          <w:rFonts w:ascii="Times New Roman" w:hAnsi="Times New Roman" w:cs="Times New Roman"/>
          <w:sz w:val="24"/>
          <w:szCs w:val="24"/>
        </w:rPr>
        <w:t> </w:t>
      </w:r>
      <w:r w:rsidR="00054268">
        <w:rPr>
          <w:rFonts w:ascii="Times New Roman" w:hAnsi="Times New Roman" w:cs="Times New Roman"/>
          <w:sz w:val="24"/>
          <w:szCs w:val="24"/>
        </w:rPr>
        <w:t>eur</w:t>
      </w:r>
      <w:r w:rsidR="00070B11">
        <w:rPr>
          <w:rFonts w:ascii="Times New Roman" w:hAnsi="Times New Roman" w:cs="Times New Roman"/>
          <w:sz w:val="24"/>
          <w:szCs w:val="24"/>
        </w:rPr>
        <w:t xml:space="preserve"> z </w:t>
      </w:r>
      <w:r w:rsidRPr="006A7572">
        <w:rPr>
          <w:rFonts w:ascii="Times New Roman" w:hAnsi="Times New Roman" w:cs="Times New Roman"/>
          <w:sz w:val="24"/>
          <w:szCs w:val="24"/>
        </w:rPr>
        <w:t>toho:</w:t>
      </w:r>
    </w:p>
    <w:p w:rsidR="00263AF4" w:rsidRDefault="00245754" w:rsidP="00263AF4">
      <w:pPr>
        <w:pStyle w:val="Odsekzoznamu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6C4">
        <w:rPr>
          <w:rFonts w:ascii="Times New Roman" w:hAnsi="Times New Roman" w:cs="Times New Roman"/>
          <w:sz w:val="24"/>
          <w:szCs w:val="24"/>
        </w:rPr>
        <w:t>v kategórii roz</w:t>
      </w:r>
      <w:r>
        <w:rPr>
          <w:rFonts w:ascii="Times New Roman" w:hAnsi="Times New Roman" w:cs="Times New Roman"/>
          <w:sz w:val="24"/>
          <w:szCs w:val="24"/>
        </w:rPr>
        <w:t>počtu 640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Bežné transfery</w:t>
      </w:r>
      <w:r w:rsidR="00070B11">
        <w:rPr>
          <w:rFonts w:ascii="Times New Roman" w:hAnsi="Times New Roman" w:cs="Times New Roman"/>
          <w:sz w:val="24"/>
          <w:szCs w:val="24"/>
        </w:rPr>
        <w:t xml:space="preserve"> sumu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>150 000</w:t>
      </w:r>
      <w:r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245754" w:rsidRPr="00263AF4" w:rsidRDefault="00245754" w:rsidP="00263AF4">
      <w:pPr>
        <w:pStyle w:val="Odsekzoznamu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3AF4">
        <w:rPr>
          <w:rFonts w:ascii="Times New Roman" w:hAnsi="Times New Roman" w:cs="Times New Roman"/>
          <w:sz w:val="24"/>
          <w:szCs w:val="24"/>
        </w:rPr>
        <w:t>v kategórii rozpočtu 620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Poistné a príspevok do poisťovní</w:t>
      </w:r>
      <w:r w:rsidR="00070B11">
        <w:rPr>
          <w:rFonts w:ascii="Times New Roman" w:hAnsi="Times New Roman" w:cs="Times New Roman"/>
          <w:sz w:val="24"/>
          <w:szCs w:val="24"/>
        </w:rPr>
        <w:t xml:space="preserve"> sumu</w:t>
      </w:r>
      <w:r w:rsidRPr="00263AF4"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>16 500</w:t>
      </w:r>
      <w:r w:rsidRPr="00263AF4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245754" w:rsidRDefault="00245754" w:rsidP="0024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54" w:rsidRPr="006A7572" w:rsidRDefault="00DA0206" w:rsidP="00245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NBÚ</w:t>
      </w:r>
      <w:r w:rsidR="00245754" w:rsidRPr="006A7572">
        <w:rPr>
          <w:rFonts w:ascii="Times New Roman" w:hAnsi="Times New Roman" w:cs="Times New Roman"/>
          <w:b/>
          <w:sz w:val="24"/>
          <w:szCs w:val="24"/>
        </w:rPr>
        <w:t xml:space="preserve"> c)</w:t>
      </w:r>
      <w:r w:rsidR="00245754">
        <w:rPr>
          <w:rFonts w:ascii="Times New Roman" w:hAnsi="Times New Roman" w:cs="Times New Roman"/>
          <w:sz w:val="24"/>
          <w:szCs w:val="24"/>
        </w:rPr>
        <w:t xml:space="preserve"> 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zavedenie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stabilizačné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 príspevku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7530B" w:rsidRP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(§ 287o – Dočasný stabilizačný príspevok) 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novely</w:t>
      </w:r>
      <w:r w:rsidR="00E7530B" w:rsidRP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73/1998 Z. z. o štátnej službe príslušníkov Policajného zboru, Slovenskej informačnej služby, Zboru väzenskej a justičnej stráže Slovenskej republiky a Železničnej polície v znení neskorších predpisov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príslušníkov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m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ajú odslúžen</w:t>
      </w:r>
      <w:r w:rsidR="00E7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viac v sume 5 000 eur. Príslu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šník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ktorému bude pr</w:t>
      </w:r>
      <w:r w:rsidR="00462D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iznaný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dočasný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62D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stabilizačný príspevok v sume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5 000 eur, je povinný zotrvať v služobnom pomere po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dobu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troch rokov odo dňa priznania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stabilizačného príspevku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Príslušník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v služobnom pomere nezotrvá po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stanovenú dobu, bude povinný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vrátiť vyplatenú sumu </w:t>
      </w:r>
      <w:r w:rsidR="006022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dočasného</w:t>
      </w:r>
      <w:r w:rsidR="00602282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stabilizačného</w:t>
      </w:r>
      <w:r w:rsidR="00245754" w:rsidRPr="006A757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F74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príspevku alebo jej pomernú časť</w:t>
      </w:r>
      <w:r w:rsidR="002457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45754" w:rsidRDefault="00245754" w:rsidP="00245754">
      <w:pPr>
        <w:pStyle w:val="Odsekzoznamu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43BA9" w:rsidRPr="00D5381B" w:rsidRDefault="00750C22" w:rsidP="00943BA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Počet príslušníkov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943B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943BA9" w:rsidRPr="00D8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43B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ktorí b</w:t>
      </w:r>
      <w:r w:rsidR="00875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udú mať k 31. decembru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2024 odslúžených</w:t>
      </w:r>
      <w:r w:rsidR="00943B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 rokov a viac</w:t>
      </w:r>
      <w:r w:rsidR="00943BA9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</w:t>
      </w:r>
      <w:r w:rsidR="00943BA9">
        <w:rPr>
          <w:rFonts w:ascii="Times New Roman" w:eastAsia="Times New Roman" w:hAnsi="Times New Roman" w:cs="Times New Roman"/>
          <w:sz w:val="24"/>
          <w:szCs w:val="24"/>
          <w:lang w:eastAsia="sk-SK"/>
        </w:rPr>
        <w:t>63</w:t>
      </w:r>
      <w:r w:rsidR="00943BA9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136A19">
        <w:rPr>
          <w:rFonts w:ascii="Times New Roman" w:hAnsi="Times New Roman" w:cs="Times New Roman"/>
          <w:sz w:val="24"/>
        </w:rPr>
        <w:t>Na základe uvedeného</w:t>
      </w:r>
      <w:r w:rsidR="00943BA9">
        <w:rPr>
          <w:rFonts w:ascii="Times New Roman" w:hAnsi="Times New Roman" w:cs="Times New Roman"/>
          <w:sz w:val="24"/>
        </w:rPr>
        <w:t xml:space="preserve"> predstavuje celkový vplyv na rozpočet</w:t>
      </w:r>
      <w:r w:rsidR="00AD7F58" w:rsidRPr="00AD7F58">
        <w:rPr>
          <w:rFonts w:ascii="Times New Roman" w:hAnsi="Times New Roman" w:cs="Times New Roman"/>
          <w:sz w:val="24"/>
          <w:szCs w:val="24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 xml:space="preserve">Národného bezpečnostného úradu </w:t>
      </w:r>
      <w:r w:rsidR="006F0676">
        <w:rPr>
          <w:rFonts w:ascii="Times New Roman" w:eastAsia="Times New Roman" w:hAnsi="Times New Roman" w:cs="Times New Roman"/>
          <w:sz w:val="24"/>
          <w:lang w:eastAsia="sk-SK"/>
        </w:rPr>
        <w:t xml:space="preserve">na rok 2024 jednorazovo sumu </w:t>
      </w:r>
      <w:r w:rsidR="00943BA9">
        <w:rPr>
          <w:rFonts w:ascii="Times New Roman" w:eastAsia="Times New Roman" w:hAnsi="Times New Roman" w:cs="Times New Roman"/>
          <w:sz w:val="24"/>
          <w:lang w:eastAsia="sk-SK"/>
        </w:rPr>
        <w:t>349</w:t>
      </w:r>
      <w:r>
        <w:rPr>
          <w:rFonts w:ascii="Times New Roman" w:eastAsia="Times New Roman" w:hAnsi="Times New Roman" w:cs="Times New Roman"/>
          <w:sz w:val="24"/>
          <w:lang w:eastAsia="sk-SK"/>
        </w:rPr>
        <w:t> </w:t>
      </w:r>
      <w:r w:rsidR="00943BA9">
        <w:rPr>
          <w:rFonts w:ascii="Times New Roman" w:eastAsia="Times New Roman" w:hAnsi="Times New Roman" w:cs="Times New Roman"/>
          <w:sz w:val="24"/>
          <w:lang w:eastAsia="sk-SK"/>
        </w:rPr>
        <w:t xml:space="preserve">650 eur </w:t>
      </w:r>
      <w:r w:rsidR="00943BA9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toho:</w:t>
      </w:r>
    </w:p>
    <w:p w:rsidR="00943BA9" w:rsidRDefault="00943BA9" w:rsidP="00943BA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3BA9">
        <w:rPr>
          <w:rFonts w:ascii="Times New Roman" w:hAnsi="Times New Roman" w:cs="Times New Roman"/>
          <w:sz w:val="24"/>
          <w:szCs w:val="24"/>
        </w:rPr>
        <w:t>v kategórii rozpočtu 640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Bežné transfery</w:t>
      </w:r>
      <w:r w:rsidR="00070B11">
        <w:rPr>
          <w:rFonts w:ascii="Times New Roman" w:hAnsi="Times New Roman" w:cs="Times New Roman"/>
          <w:sz w:val="24"/>
          <w:szCs w:val="24"/>
        </w:rPr>
        <w:t xml:space="preserve"> sumu</w:t>
      </w:r>
      <w:r w:rsidRPr="0094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315 000</w:t>
      </w:r>
      <w:r w:rsidRPr="00943BA9">
        <w:rPr>
          <w:rFonts w:ascii="Times New Roman" w:hAnsi="Times New Roman" w:cs="Times New Roman"/>
          <w:sz w:val="24"/>
          <w:szCs w:val="24"/>
        </w:rPr>
        <w:t xml:space="preserve"> eur,</w:t>
      </w:r>
    </w:p>
    <w:p w:rsidR="00943BA9" w:rsidRDefault="00943BA9" w:rsidP="00943BA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3BA9">
        <w:rPr>
          <w:rFonts w:ascii="Times New Roman" w:hAnsi="Times New Roman" w:cs="Times New Roman"/>
          <w:sz w:val="24"/>
          <w:szCs w:val="24"/>
        </w:rPr>
        <w:t>v kategórii rozpočtu 620</w:t>
      </w:r>
      <w:r w:rsidR="00263096">
        <w:rPr>
          <w:rFonts w:ascii="Times New Roman" w:hAnsi="Times New Roman" w:cs="Times New Roman"/>
          <w:sz w:val="24"/>
          <w:szCs w:val="24"/>
        </w:rPr>
        <w:t xml:space="preserve"> - </w:t>
      </w:r>
      <w:r w:rsidR="00263096" w:rsidRPr="00BA118E">
        <w:rPr>
          <w:rFonts w:ascii="Times New Roman" w:hAnsi="Times New Roman" w:cs="Times New Roman"/>
          <w:sz w:val="24"/>
          <w:szCs w:val="24"/>
        </w:rPr>
        <w:t>Poistné a príspevok do poisťovní</w:t>
      </w:r>
      <w:r w:rsidR="00070B11">
        <w:rPr>
          <w:rFonts w:ascii="Times New Roman" w:hAnsi="Times New Roman" w:cs="Times New Roman"/>
          <w:sz w:val="24"/>
          <w:szCs w:val="24"/>
        </w:rPr>
        <w:t xml:space="preserve"> sumu</w:t>
      </w:r>
      <w:r w:rsidRPr="0094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34 650</w:t>
      </w:r>
      <w:r w:rsidRPr="00943BA9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AD7F58" w:rsidRPr="00943BA9" w:rsidRDefault="00AD7F58" w:rsidP="00AD7F5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3BA9" w:rsidRPr="00712488" w:rsidRDefault="00263096" w:rsidP="00943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roku 2025 je predpoklad </w:t>
      </w:r>
      <w:r w:rsidR="00943B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</w:t>
      </w:r>
      <w:r w:rsidR="00750C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tu príslušníkov</w:t>
      </w:r>
      <w:r w:rsidR="00AD7F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943B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ktorí dosiahnu v danom roku 20 odslúžený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 rokov a</w:t>
      </w:r>
      <w:r w:rsidR="00CA7F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viac</w:t>
      </w:r>
      <w:r w:rsidR="00CA7F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počte cca </w:t>
      </w:r>
      <w:r w:rsidR="007678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="00136A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36A19">
        <w:rPr>
          <w:rFonts w:ascii="Times New Roman" w:hAnsi="Times New Roman" w:cs="Times New Roman"/>
          <w:sz w:val="24"/>
        </w:rPr>
        <w:t>Na základe uvedeného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43B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predstavuje </w:t>
      </w:r>
      <w:r w:rsidR="00070B1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celkový </w:t>
      </w:r>
      <w:r w:rsidR="00943BA9">
        <w:rPr>
          <w:rFonts w:ascii="Times New Roman" w:hAnsi="Times New Roman" w:cs="Times New Roman"/>
          <w:sz w:val="24"/>
        </w:rPr>
        <w:t xml:space="preserve">vplyv na rozpočet </w:t>
      </w:r>
      <w:r w:rsidR="00AD7F58">
        <w:rPr>
          <w:rFonts w:ascii="Times New Roman" w:hAnsi="Times New Roman" w:cs="Times New Roman"/>
          <w:sz w:val="24"/>
          <w:szCs w:val="24"/>
        </w:rPr>
        <w:t>Národného bezpečnostného úradu</w:t>
      </w:r>
      <w:r w:rsidR="00943BA9">
        <w:rPr>
          <w:rFonts w:ascii="Times New Roman" w:eastAsia="Times New Roman" w:hAnsi="Times New Roman" w:cs="Times New Roman"/>
          <w:sz w:val="24"/>
          <w:lang w:eastAsia="sk-SK"/>
        </w:rPr>
        <w:t xml:space="preserve"> na rok 2025</w:t>
      </w:r>
      <w:r w:rsidR="00136A19">
        <w:rPr>
          <w:rFonts w:ascii="Times New Roman" w:eastAsia="Times New Roman" w:hAnsi="Times New Roman" w:cs="Times New Roman"/>
          <w:sz w:val="24"/>
          <w:lang w:eastAsia="sk-SK"/>
        </w:rPr>
        <w:t xml:space="preserve"> sumu</w:t>
      </w:r>
      <w:r w:rsidR="00943BA9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767818">
        <w:rPr>
          <w:rFonts w:ascii="Times New Roman" w:eastAsia="Times New Roman" w:hAnsi="Times New Roman" w:cs="Times New Roman"/>
          <w:sz w:val="24"/>
          <w:lang w:eastAsia="sk-SK"/>
        </w:rPr>
        <w:t>44 400</w:t>
      </w:r>
      <w:r w:rsidR="00943BA9">
        <w:rPr>
          <w:rFonts w:ascii="Times New Roman" w:eastAsia="Times New Roman" w:hAnsi="Times New Roman" w:cs="Times New Roman"/>
          <w:sz w:val="24"/>
          <w:lang w:eastAsia="sk-SK"/>
        </w:rPr>
        <w:t xml:space="preserve"> eur </w:t>
      </w:r>
      <w:r w:rsidR="00943BA9" w:rsidRPr="00D53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toho:</w:t>
      </w:r>
    </w:p>
    <w:p w:rsidR="009E6957" w:rsidRDefault="00943BA9" w:rsidP="009E6957">
      <w:pPr>
        <w:pStyle w:val="Odsekzoznamu"/>
        <w:numPr>
          <w:ilvl w:val="0"/>
          <w:numId w:val="3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6957">
        <w:rPr>
          <w:rFonts w:ascii="Times New Roman" w:hAnsi="Times New Roman" w:cs="Times New Roman"/>
          <w:sz w:val="24"/>
          <w:szCs w:val="24"/>
        </w:rPr>
        <w:t>v kategórii rozpočtu 640</w:t>
      </w:r>
      <w:r w:rsidR="00263096" w:rsidRPr="009E6957">
        <w:rPr>
          <w:rFonts w:ascii="Times New Roman" w:hAnsi="Times New Roman" w:cs="Times New Roman"/>
          <w:sz w:val="24"/>
          <w:szCs w:val="24"/>
        </w:rPr>
        <w:t xml:space="preserve"> - Bežné transfery</w:t>
      </w:r>
      <w:r w:rsidR="00070B11">
        <w:rPr>
          <w:rFonts w:ascii="Times New Roman" w:hAnsi="Times New Roman" w:cs="Times New Roman"/>
          <w:sz w:val="24"/>
          <w:szCs w:val="24"/>
        </w:rPr>
        <w:t xml:space="preserve"> </w:t>
      </w:r>
      <w:r w:rsidR="00136A19">
        <w:rPr>
          <w:rFonts w:ascii="Times New Roman" w:hAnsi="Times New Roman" w:cs="Times New Roman"/>
          <w:sz w:val="24"/>
          <w:szCs w:val="24"/>
        </w:rPr>
        <w:t>sumu</w:t>
      </w:r>
      <w:r w:rsidRPr="009E6957">
        <w:rPr>
          <w:rFonts w:ascii="Times New Roman" w:hAnsi="Times New Roman" w:cs="Times New Roman"/>
          <w:sz w:val="24"/>
          <w:szCs w:val="24"/>
        </w:rPr>
        <w:t xml:space="preserve"> </w:t>
      </w:r>
      <w:r w:rsidR="00767818">
        <w:rPr>
          <w:rFonts w:ascii="Times New Roman" w:hAnsi="Times New Roman" w:cs="Times New Roman"/>
          <w:sz w:val="24"/>
          <w:szCs w:val="24"/>
        </w:rPr>
        <w:t>40</w:t>
      </w:r>
      <w:r w:rsidRPr="009E6957">
        <w:rPr>
          <w:rFonts w:ascii="Times New Roman" w:hAnsi="Times New Roman" w:cs="Times New Roman"/>
          <w:sz w:val="24"/>
          <w:szCs w:val="24"/>
        </w:rPr>
        <w:t xml:space="preserve"> 000 eur,</w:t>
      </w:r>
    </w:p>
    <w:p w:rsidR="00943BA9" w:rsidRPr="00054268" w:rsidRDefault="00943BA9" w:rsidP="00E7530B">
      <w:pPr>
        <w:pStyle w:val="Odsekzoznamu"/>
        <w:numPr>
          <w:ilvl w:val="0"/>
          <w:numId w:val="3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4268">
        <w:rPr>
          <w:rFonts w:ascii="Times New Roman" w:hAnsi="Times New Roman" w:cs="Times New Roman"/>
          <w:sz w:val="24"/>
          <w:szCs w:val="24"/>
        </w:rPr>
        <w:t>v kategórii rozpočtu 620</w:t>
      </w:r>
      <w:r w:rsidR="00263096" w:rsidRPr="00054268">
        <w:rPr>
          <w:rFonts w:ascii="Times New Roman" w:hAnsi="Times New Roman" w:cs="Times New Roman"/>
          <w:sz w:val="24"/>
          <w:szCs w:val="24"/>
        </w:rPr>
        <w:t xml:space="preserve"> - Poistné a príspevok do poisťovní</w:t>
      </w:r>
      <w:r w:rsidR="00070B11">
        <w:rPr>
          <w:rFonts w:ascii="Times New Roman" w:hAnsi="Times New Roman" w:cs="Times New Roman"/>
          <w:sz w:val="24"/>
          <w:szCs w:val="24"/>
        </w:rPr>
        <w:t xml:space="preserve"> </w:t>
      </w:r>
      <w:r w:rsidR="00136A19">
        <w:rPr>
          <w:rFonts w:ascii="Times New Roman" w:hAnsi="Times New Roman" w:cs="Times New Roman"/>
          <w:sz w:val="24"/>
          <w:szCs w:val="24"/>
        </w:rPr>
        <w:t>sumu</w:t>
      </w:r>
      <w:r w:rsidRPr="00054268">
        <w:rPr>
          <w:rFonts w:ascii="Times New Roman" w:hAnsi="Times New Roman" w:cs="Times New Roman"/>
          <w:sz w:val="24"/>
          <w:szCs w:val="24"/>
        </w:rPr>
        <w:t xml:space="preserve"> </w:t>
      </w:r>
      <w:r w:rsidR="00767818" w:rsidRPr="00054268">
        <w:rPr>
          <w:rFonts w:ascii="Times New Roman" w:hAnsi="Times New Roman" w:cs="Times New Roman"/>
          <w:sz w:val="24"/>
          <w:szCs w:val="24"/>
        </w:rPr>
        <w:t>4 400</w:t>
      </w:r>
      <w:r w:rsidRPr="00054268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35695B" w:rsidRPr="00CB2ED0" w:rsidRDefault="0035695B" w:rsidP="00145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35695B" w:rsidRPr="00CB2ED0" w:rsidSect="003A1797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1417" w:bottom="568" w:left="1417" w:header="56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D7F5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D7F5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D7F5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D7F5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908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69576D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496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="003B4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MV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1654D" w:rsidRPr="007B7470" w:rsidTr="0069576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54D" w:rsidRPr="007B7470" w:rsidRDefault="0061654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654D" w:rsidRPr="009E618A" w:rsidRDefault="0061654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654D" w:rsidRPr="009E618A" w:rsidRDefault="0061654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654D" w:rsidRPr="009E618A" w:rsidRDefault="0061654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654D" w:rsidRPr="009E618A" w:rsidRDefault="0061654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4D" w:rsidRPr="007B7470" w:rsidRDefault="0061654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666AB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B" w:rsidRPr="007B747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FB21A8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36 967 163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6522CA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72 173 532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B25B24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964FE">
              <w:rPr>
                <w:rFonts w:ascii="Times New Roman" w:hAnsi="Times New Roman" w:cs="Times New Roman"/>
                <w:sz w:val="12"/>
                <w:szCs w:val="12"/>
              </w:rPr>
              <w:t>Vyčíslenie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964FE">
              <w:rPr>
                <w:rFonts w:ascii="Times New Roman" w:hAnsi="Times New Roman" w:cs="Times New Roman"/>
                <w:sz w:val="12"/>
                <w:szCs w:val="12"/>
              </w:rPr>
              <w:t>výdavkov Ministerstva vnútra Slovenskej republiky j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 uvedené vrátane výdavkov SIS.</w:t>
            </w:r>
          </w:p>
        </w:tc>
      </w:tr>
      <w:tr w:rsidR="002666AB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B" w:rsidRPr="007B747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61654D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666AB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B" w:rsidRPr="007B747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FB21A8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3 663 413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6522CA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7 152 332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6 280 032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6 280 032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61654D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666AB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B" w:rsidRPr="007B747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61654D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666AB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B" w:rsidRPr="003B430D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FB21A8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33 303 750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6522CA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65 021 200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30658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2666AB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B" w:rsidRPr="00B14AD5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30658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2666AB" w:rsidRPr="007B7470" w:rsidTr="006957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AB" w:rsidRPr="00895A9E" w:rsidRDefault="002666AB" w:rsidP="002666AB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2666AB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666A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2666AB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666A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30658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2666AB" w:rsidRPr="007B7470" w:rsidTr="006957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AB" w:rsidRPr="00895A9E" w:rsidRDefault="002666AB" w:rsidP="002666AB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1 363 750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5 455 000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2666AB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2666AB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30658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2666AB" w:rsidRPr="007B7470" w:rsidTr="006957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AB" w:rsidRPr="00895A9E" w:rsidRDefault="002666AB" w:rsidP="002666AB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6022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1654D" w:rsidRDefault="00FB21A8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31 940 000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6522CA" w:rsidRDefault="006522CA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2 475 000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2666AB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2666AB" w:rsidRDefault="002666AB" w:rsidP="0026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6AB" w:rsidRPr="00306580" w:rsidRDefault="002666AB" w:rsidP="0026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421633" w:rsidRPr="007B7470" w:rsidTr="0069576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7B7470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522CA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633" w:rsidRPr="0061654D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21633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3" w:rsidRPr="007B7470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522CA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633" w:rsidRPr="0061654D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21633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3" w:rsidRPr="001F121A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522CA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633" w:rsidRPr="0061654D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21633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3" w:rsidRPr="007B7470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522CA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633" w:rsidRPr="0061654D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21633" w:rsidRPr="007B7470" w:rsidTr="0069576D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3" w:rsidRPr="007B7470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33" w:rsidRPr="006522CA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33" w:rsidRPr="0061654D" w:rsidRDefault="00421633" w:rsidP="0042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633" w:rsidRPr="0061654D" w:rsidRDefault="00421633" w:rsidP="0042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522CA" w:rsidRPr="007B7470" w:rsidTr="0069576D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22CA" w:rsidRPr="007B7470" w:rsidRDefault="006522CA" w:rsidP="0065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22CA" w:rsidRPr="00D52CE3" w:rsidRDefault="00FB21A8" w:rsidP="006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36 967 163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22CA" w:rsidRPr="006522CA" w:rsidRDefault="006522CA" w:rsidP="006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72 173 532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22CA" w:rsidRPr="00D52CE3" w:rsidRDefault="006522CA" w:rsidP="006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2666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63 371 232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22CA" w:rsidRPr="00D52CE3" w:rsidRDefault="006522CA" w:rsidP="006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522CA" w:rsidRPr="00D52CE3" w:rsidRDefault="006522CA" w:rsidP="0065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69576D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69576D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69576D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25B24" w:rsidRDefault="00B25B2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066264" w:rsidRDefault="0006626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25B24" w:rsidRDefault="00B25B2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25B24" w:rsidRDefault="00B25B2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25B24" w:rsidRDefault="00B25B2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25B24" w:rsidRDefault="00B25B2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C8036D" w:rsidRDefault="002E420D" w:rsidP="00C8036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4/A</w:t>
      </w:r>
    </w:p>
    <w:tbl>
      <w:tblPr>
        <w:tblpPr w:leftFromText="141" w:rightFromText="141" w:vertAnchor="text" w:horzAnchor="page" w:tblpX="903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C8036D" w:rsidRPr="007B7470" w:rsidTr="005B024E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036D" w:rsidRPr="007B7470" w:rsidRDefault="00C803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MS SR / ZVJS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036D" w:rsidRPr="007B7470" w:rsidRDefault="00C803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8036D" w:rsidRPr="007B7470" w:rsidRDefault="00C803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8036D" w:rsidRPr="007B7470" w:rsidTr="005B024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36D" w:rsidRPr="007B7470" w:rsidRDefault="00C803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036D" w:rsidRPr="009E618A" w:rsidRDefault="00C803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036D" w:rsidRPr="009E618A" w:rsidRDefault="00C803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036D" w:rsidRPr="009E618A" w:rsidRDefault="00C803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036D" w:rsidRPr="009E618A" w:rsidRDefault="00C803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6D" w:rsidRPr="007B7470" w:rsidRDefault="00C803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6 895 875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602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16</w:t>
            </w:r>
            <w:r w:rsidR="000F5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 872 444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B25B24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683 375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1 672 044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1 358 544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1 358 544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3B430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6 212 500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15 200 400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B14AD5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0228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437 500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0228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6022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5 775 000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1F121A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02282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D52CE3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6 895 875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602282" w:rsidRDefault="000F5085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16 872 444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D52CE3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D52CE3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0556" w:rsidRPr="00D52CE3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25B24" w:rsidRPr="007B7470" w:rsidRDefault="00B25B24" w:rsidP="005B024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B25B24" w:rsidRPr="007B7470" w:rsidRDefault="00B25B24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5B024E" w:rsidRDefault="00B25B24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B25B24" w:rsidRDefault="00B25B24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066264" w:rsidRDefault="00066264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66264" w:rsidRDefault="00066264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F22F3F" w:rsidRDefault="00F22F3F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F22F3F" w:rsidRDefault="00F22F3F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F22F3F" w:rsidRDefault="00F22F3F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F22F3F" w:rsidRDefault="00F22F3F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Pr="000F5085" w:rsidRDefault="000F5085" w:rsidP="000F508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4/A</w:t>
      </w:r>
    </w:p>
    <w:tbl>
      <w:tblPr>
        <w:tblpPr w:leftFromText="141" w:rightFromText="141" w:vertAnchor="text" w:horzAnchor="page" w:tblpX="908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0F5085" w:rsidRPr="007B7470" w:rsidTr="00A314E0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7B747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MF SR / FS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7B747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F5085" w:rsidRPr="007B747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F5085" w:rsidRPr="007B7470" w:rsidTr="00A314E0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9E618A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9E618A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9E618A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9E618A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5 720 663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D67E10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10 267 944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B25B24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566 913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D67E10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1 017 544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744 744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744 744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3B430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5 153 750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9 250 400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B14AD5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7B7470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A314E0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67E1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7B7470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A314E0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523 750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67E1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2 095 000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7B7470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A314E0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 dočasný 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4 630 000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385 000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7B7470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1F121A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85" w:rsidRPr="00D67E10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85" w:rsidRPr="0061654D" w:rsidRDefault="000F5085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7B7470" w:rsidTr="00A314E0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7B7470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5 720 663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67E10" w:rsidRDefault="00D67E10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10 267 944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F5085" w:rsidRPr="00D52CE3" w:rsidRDefault="000F5085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22F3F" w:rsidRDefault="00F22F3F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F5085" w:rsidRDefault="000F5085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2601" w:rsidRDefault="002E420D" w:rsidP="002E420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4/A</w:t>
      </w:r>
    </w:p>
    <w:tbl>
      <w:tblPr>
        <w:tblpPr w:leftFromText="141" w:rightFromText="141" w:vertAnchor="text" w:horzAnchor="page" w:tblpX="908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F22F3F" w:rsidRPr="007B7470" w:rsidTr="005B024E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2F3F" w:rsidRPr="007B7470" w:rsidRDefault="00F22F3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NBÚ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2F3F" w:rsidRPr="007B7470" w:rsidRDefault="00F22F3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2F3F" w:rsidRPr="007B7470" w:rsidRDefault="00F22F3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F22F3F" w:rsidRPr="007B7470" w:rsidTr="005B024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F3F" w:rsidRPr="007B7470" w:rsidRDefault="00F22F3F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2F3F" w:rsidRPr="009E618A" w:rsidRDefault="00F22F3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2F3F" w:rsidRPr="009E618A" w:rsidRDefault="00F22F3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2F3F" w:rsidRPr="009E618A" w:rsidRDefault="00F22F3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2F3F" w:rsidRPr="009E618A" w:rsidRDefault="00F22F3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9E61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F" w:rsidRPr="007B7470" w:rsidRDefault="00F22F3F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391 275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844 932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B25B24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38 775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83 732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62 832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62 832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3B430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352 500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761 200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B14AD5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37 500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6022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315 000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7B7470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1F121A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7B7470" w:rsidTr="005B024E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D52CE3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391 275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D52CE3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844 932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D52CE3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D52CE3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0556" w:rsidRPr="00D52CE3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2601" w:rsidRPr="0069576D" w:rsidRDefault="007D2601" w:rsidP="005B024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</w:t>
      </w:r>
      <w:r w:rsidR="0069576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latnej ekonomickej klasifikácie</w:t>
      </w:r>
    </w:p>
    <w:p w:rsidR="0069576D" w:rsidRDefault="0069576D" w:rsidP="007D260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7D2601" w:rsidRPr="007B7470" w:rsidRDefault="007D2601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69576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2601" w:rsidRDefault="007D2601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2601" w:rsidRDefault="007D2601" w:rsidP="00B25B24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B801BA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Pr="007B7470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B9058F" w:rsidP="00B9058F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4/B</w:t>
      </w:r>
    </w:p>
    <w:tbl>
      <w:tblPr>
        <w:tblpPr w:leftFromText="141" w:rightFromText="141" w:vertAnchor="text" w:horzAnchor="page" w:tblpX="908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B9058F" w:rsidRPr="00B14AD5" w:rsidTr="005B024E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58F" w:rsidRPr="00B14AD5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B46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MV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058F" w:rsidRPr="00B14AD5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9058F" w:rsidRPr="00B14AD5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9058F" w:rsidRPr="00B14AD5" w:rsidTr="005B024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58F" w:rsidRPr="00B14AD5" w:rsidRDefault="00B9058F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058F" w:rsidRPr="005345AA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058F" w:rsidRPr="005345AA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058F" w:rsidRPr="005345AA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058F" w:rsidRPr="005345AA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F" w:rsidRPr="00B14AD5" w:rsidRDefault="00B9058F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9058F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F" w:rsidRPr="00B14AD5" w:rsidRDefault="00B9058F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8F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8F" w:rsidRPr="00B9058F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8F" w:rsidRPr="00B9058F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8F" w:rsidRPr="00B9058F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8F" w:rsidRPr="00B25B24" w:rsidRDefault="00B9058F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596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36 967 163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72 173 532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B25B24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964FE">
              <w:rPr>
                <w:rFonts w:ascii="Times New Roman" w:hAnsi="Times New Roman" w:cs="Times New Roman"/>
                <w:sz w:val="12"/>
                <w:szCs w:val="12"/>
              </w:rPr>
              <w:t>Vyčíslenie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964FE">
              <w:rPr>
                <w:rFonts w:ascii="Times New Roman" w:hAnsi="Times New Roman" w:cs="Times New Roman"/>
                <w:sz w:val="12"/>
                <w:szCs w:val="12"/>
              </w:rPr>
              <w:t>výdavkov Ministerstva vnútra Slovenskej republiky j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 uvedené vrátane výdavkov SIS.</w:t>
            </w: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3 663 413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7 152 332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6 280 032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6 280 032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3B430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33 303 750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65 021 200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B14AD5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0F5085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2666AB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666A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2666AB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666A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57 091 200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0F5085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1 363 750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5 455 000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2666AB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2666AB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0F5085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 dočasný 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31 940 000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2 475 000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2666AB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2666AB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B4609D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9D" w:rsidRPr="007B7470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609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609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609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B14AD5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36 967 163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6522CA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652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72 173 532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2666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63 371 232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63 371 232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F5085" w:rsidRPr="00B14AD5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F4676" w:rsidRPr="007B7470" w:rsidRDefault="002F4676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69576D" w:rsidRDefault="0069576D" w:rsidP="002F4676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2F4676" w:rsidRPr="007B7470" w:rsidRDefault="002F4676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2F4676" w:rsidRPr="007B7470" w:rsidRDefault="002F4676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4609D" w:rsidRPr="007B7470" w:rsidRDefault="00B4609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B4609D" w:rsidP="00B4609D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4/B</w:t>
      </w:r>
    </w:p>
    <w:tbl>
      <w:tblPr>
        <w:tblpPr w:leftFromText="141" w:rightFromText="141" w:vertAnchor="text" w:horzAnchor="page" w:tblpX="908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B4609D" w:rsidRPr="00B14AD5" w:rsidTr="005B024E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MS SR / ZVJS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4609D" w:rsidRPr="00B14AD5" w:rsidTr="005B024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609D" w:rsidRPr="005345AA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609D" w:rsidRPr="005345AA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609D" w:rsidRPr="005345AA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609D" w:rsidRPr="005345AA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4609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9058F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9058F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9058F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25B24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F5085" w:rsidRPr="00B14AD5" w:rsidTr="00074C3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6 895 875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 w:rsidRPr="00602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 872 444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B25B24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683 375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1 672 044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1 358 544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1 358 544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7B747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61654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3B430D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6 212 500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15 200 400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85" w:rsidRPr="00B14AD5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0F5085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0228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12 350 400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0F5085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437 500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0228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F5085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085" w:rsidRPr="00895A9E" w:rsidRDefault="000F5085" w:rsidP="000F5085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 dočasný 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5 775 000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5" w:rsidRPr="0061654D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5" w:rsidRPr="00306580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B4609D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9D" w:rsidRPr="007B7470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609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609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609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9D" w:rsidRPr="00B14AD5" w:rsidRDefault="00B4609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9D" w:rsidRPr="00B14AD5" w:rsidRDefault="00B4609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085" w:rsidRPr="00B14AD5" w:rsidTr="005B024E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5085" w:rsidRPr="00B14AD5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6 895 875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602282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16 872 444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085" w:rsidRPr="00D52CE3" w:rsidRDefault="000F5085" w:rsidP="000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13 708 944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F5085" w:rsidRPr="00B14AD5" w:rsidRDefault="000F5085" w:rsidP="000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69576D" w:rsidRPr="007B7470" w:rsidRDefault="0069576D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69576D" w:rsidRDefault="0069576D" w:rsidP="0069576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69576D" w:rsidRPr="007B7470" w:rsidRDefault="0069576D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69576D" w:rsidRPr="007B7470" w:rsidRDefault="0069576D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395B02" w:rsidRDefault="00395B02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2BD7" w:rsidRDefault="007C2BD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Pr="006E0EBD" w:rsidRDefault="006E0EBD" w:rsidP="006E0EBD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4/B</w:t>
      </w:r>
    </w:p>
    <w:tbl>
      <w:tblPr>
        <w:tblpPr w:leftFromText="141" w:rightFromText="141" w:vertAnchor="text" w:horzAnchor="page" w:tblpX="908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6E0EBD" w:rsidRPr="00B14AD5" w:rsidTr="00A314E0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MF SR / FS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E0EBD" w:rsidRPr="00B14AD5" w:rsidTr="00A314E0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EBD" w:rsidRPr="005345AA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EBD" w:rsidRPr="005345AA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EBD" w:rsidRPr="005345AA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EBD" w:rsidRPr="005345AA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E0EBD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9058F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9058F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9058F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EBD" w:rsidRPr="00B25B24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D67E10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0" w:rsidRPr="007B747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5 720 663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10 267 944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B25B24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D67E10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0" w:rsidRPr="007B747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61654D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7E10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0" w:rsidRPr="007B747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566 913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1 017 544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744 744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744 744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61654D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7E10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0" w:rsidRPr="007B747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61654D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7E10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0" w:rsidRPr="003B430D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5 153 750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9 250 400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30658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D67E10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0" w:rsidRPr="00B14AD5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30658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D67E10" w:rsidRPr="00B14AD5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10" w:rsidRPr="00895A9E" w:rsidRDefault="00D67E10" w:rsidP="00D67E10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67E1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6 770 400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30658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D67E10" w:rsidRPr="00B14AD5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10" w:rsidRPr="00895A9E" w:rsidRDefault="00D67E10" w:rsidP="00D67E10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523 750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67E1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2 095 000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30658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D67E10" w:rsidRPr="00B14AD5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10" w:rsidRPr="00895A9E" w:rsidRDefault="00D67E10" w:rsidP="00D67E10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 dočasný 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4 630 000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385 000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10" w:rsidRPr="0061654D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E10" w:rsidRPr="00306580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6E0EBD" w:rsidRPr="00B14AD5" w:rsidTr="00A314E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D" w:rsidRPr="007B7470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0EBD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0EBD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E0EBD" w:rsidRPr="00B14AD5" w:rsidTr="00A314E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BD" w:rsidRPr="00B14AD5" w:rsidRDefault="006E0EBD" w:rsidP="00A3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EBD" w:rsidRPr="00B14AD5" w:rsidRDefault="006E0EBD" w:rsidP="00A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7E10" w:rsidRPr="00B14AD5" w:rsidTr="00A314E0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7E10" w:rsidRPr="00B14AD5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E10" w:rsidRPr="00D52CE3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5 720 663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E10" w:rsidRPr="00D67E10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10 267 944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E10" w:rsidRPr="00D52CE3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7E10" w:rsidRPr="00D52CE3" w:rsidRDefault="00D67E10" w:rsidP="00D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7 515 144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67E10" w:rsidRPr="00B14AD5" w:rsidRDefault="00D67E10" w:rsidP="00D6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EBD" w:rsidRDefault="006E0EB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Pr="0069576D" w:rsidRDefault="0069576D" w:rsidP="0069576D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4/B</w:t>
      </w:r>
    </w:p>
    <w:tbl>
      <w:tblPr>
        <w:tblpPr w:leftFromText="141" w:rightFromText="141" w:vertAnchor="text" w:horzAnchor="page" w:tblpX="908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69576D" w:rsidRPr="00B14AD5" w:rsidTr="005B024E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NBÚ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9576D" w:rsidRPr="00B14AD5" w:rsidTr="005B024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576D" w:rsidRPr="005345AA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576D" w:rsidRPr="005345AA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576D" w:rsidRPr="005345AA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576D" w:rsidRPr="005345AA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9576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9058F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9058F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9058F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76D" w:rsidRPr="00B25B24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60556" w:rsidRPr="00B14AD5" w:rsidTr="00074C30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391 275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844 932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B25B24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060556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38 775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83 732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62 832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62 832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7B747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61654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3B430D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352 500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761 200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6" w:rsidRPr="00B14AD5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- príspevok na bývanie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571 200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E753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náborový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37 500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060556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56" w:rsidRPr="00895A9E" w:rsidRDefault="00060556" w:rsidP="00060556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642035 </w:t>
            </w:r>
            <w:r w:rsidRPr="00895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peňažné náležitosti v ozbrojených silách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ozbrojených zboroch – </w:t>
            </w:r>
            <w:r w:rsidR="006022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dočasný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stabilizačný príspevok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315 000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306580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69576D" w:rsidRPr="00B14AD5" w:rsidTr="005B024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D" w:rsidRPr="007B7470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9576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9576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9576D" w:rsidRPr="00B14AD5" w:rsidTr="005B024E">
        <w:trPr>
          <w:trHeight w:val="28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B14AD5" w:rsidRDefault="0069576D" w:rsidP="005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76D" w:rsidRPr="00B14AD5" w:rsidRDefault="0069576D" w:rsidP="005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0556" w:rsidRPr="00B14AD5" w:rsidTr="00074C30">
        <w:trPr>
          <w:trHeight w:val="28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0556" w:rsidRPr="00B14AD5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391 275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844 932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556" w:rsidRPr="0061654D" w:rsidRDefault="00060556" w:rsidP="0006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634 032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0556" w:rsidRPr="00B14AD5" w:rsidRDefault="00060556" w:rsidP="0006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69576D" w:rsidRPr="007B7470" w:rsidRDefault="0069576D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69576D" w:rsidRDefault="0069576D" w:rsidP="0069576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69576D" w:rsidRPr="007B7470" w:rsidRDefault="0069576D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69576D" w:rsidRPr="007B7470" w:rsidRDefault="0069576D" w:rsidP="005B024E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69576D" w:rsidRDefault="0069576D" w:rsidP="005B024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2BD7" w:rsidRDefault="007C2BD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B024E" w:rsidRDefault="005B024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95B02" w:rsidRPr="007B7470" w:rsidRDefault="00395B02" w:rsidP="00395B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5</w:t>
      </w:r>
    </w:p>
    <w:tbl>
      <w:tblPr>
        <w:tblW w:w="22322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1596"/>
        <w:gridCol w:w="1559"/>
        <w:gridCol w:w="1578"/>
        <w:gridCol w:w="160"/>
        <w:gridCol w:w="1381"/>
        <w:gridCol w:w="2142"/>
        <w:gridCol w:w="367"/>
        <w:gridCol w:w="510"/>
        <w:gridCol w:w="906"/>
        <w:gridCol w:w="1784"/>
        <w:gridCol w:w="1784"/>
        <w:gridCol w:w="1784"/>
      </w:tblGrid>
      <w:tr w:rsidR="00395B02" w:rsidRPr="00B14AD5" w:rsidTr="00A13454">
        <w:trPr>
          <w:gridAfter w:val="6"/>
          <w:wAfter w:w="7135" w:type="dxa"/>
          <w:cantSplit/>
          <w:trHeight w:val="255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5B02" w:rsidRPr="00B14AD5" w:rsidRDefault="00395B02" w:rsidP="00A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5B02" w:rsidRPr="00B14AD5" w:rsidRDefault="00395B02" w:rsidP="00A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95B02" w:rsidRPr="00B14AD5" w:rsidRDefault="00395B02" w:rsidP="00A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95B02" w:rsidRPr="00B14AD5" w:rsidTr="00A13454">
        <w:trPr>
          <w:gridAfter w:val="6"/>
          <w:wAfter w:w="7135" w:type="dxa"/>
          <w:cantSplit/>
          <w:trHeight w:val="255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5B02" w:rsidRPr="005345AA" w:rsidRDefault="00395B02" w:rsidP="00A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3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5B02" w:rsidRPr="005345AA" w:rsidRDefault="00395B02" w:rsidP="00A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3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5B02" w:rsidRPr="005345AA" w:rsidRDefault="00395B02" w:rsidP="00A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5B02" w:rsidRPr="005345AA" w:rsidRDefault="00395B02" w:rsidP="00A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3B0B84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9230F3" w:rsidRDefault="001F121A" w:rsidP="001F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F121A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1A" w:rsidRPr="00B14AD5" w:rsidRDefault="001F121A" w:rsidP="001F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A" w:rsidRPr="00B14AD5" w:rsidRDefault="001F121A" w:rsidP="001F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95B02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5B02" w:rsidRPr="00B14AD5" w:rsidTr="00A13454">
        <w:trPr>
          <w:gridAfter w:val="6"/>
          <w:wAfter w:w="7135" w:type="dxa"/>
          <w:trHeight w:val="25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5B02" w:rsidRPr="00B14AD5" w:rsidTr="00A13454">
        <w:trPr>
          <w:trHeight w:val="255"/>
        </w:trPr>
        <w:tc>
          <w:tcPr>
            <w:tcW w:w="130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3" w:type="dxa"/>
            <w:gridSpan w:val="3"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4" w:type="dxa"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4" w:type="dxa"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4" w:type="dxa"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5B02" w:rsidRPr="00B14AD5" w:rsidTr="00A13454">
        <w:trPr>
          <w:gridAfter w:val="4"/>
          <w:wAfter w:w="6258" w:type="dxa"/>
          <w:trHeight w:val="255"/>
        </w:trPr>
        <w:tc>
          <w:tcPr>
            <w:tcW w:w="11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395B02" w:rsidRPr="007B7470" w:rsidRDefault="00395B02" w:rsidP="00A1345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B14AD5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5B02" w:rsidRPr="00B14AD5" w:rsidTr="00A13454">
        <w:trPr>
          <w:gridAfter w:val="4"/>
          <w:wAfter w:w="6258" w:type="dxa"/>
          <w:trHeight w:val="255"/>
        </w:trPr>
        <w:tc>
          <w:tcPr>
            <w:tcW w:w="11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5B02" w:rsidRPr="007B7470" w:rsidRDefault="00395B02" w:rsidP="00A13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95B02" w:rsidRPr="007B7470" w:rsidRDefault="00395B02" w:rsidP="00395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95B02" w:rsidRDefault="00395B02" w:rsidP="00395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B0B84" w:rsidRDefault="003B0B84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B0B84" w:rsidRDefault="003B0B84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964FE" w:rsidRDefault="00A964F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964FE" w:rsidRDefault="00A964F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964FE" w:rsidRDefault="00A964F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B0B84" w:rsidRDefault="003B0B84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9576D" w:rsidRDefault="0069576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74C30" w:rsidRPr="007B7470" w:rsidRDefault="00074C3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CB3623" w:rsidRPr="00A738C0" w:rsidRDefault="00CB3623" w:rsidP="003A4E00">
      <w:pPr>
        <w:spacing w:after="0" w:line="240" w:lineRule="auto"/>
        <w:jc w:val="center"/>
        <w:rPr>
          <w:color w:val="000000" w:themeColor="text1"/>
        </w:rPr>
      </w:pPr>
    </w:p>
    <w:sectPr w:rsidR="00CB3623" w:rsidRPr="00A738C0" w:rsidSect="006710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EB" w:rsidRDefault="00F846EB">
      <w:pPr>
        <w:spacing w:after="0" w:line="240" w:lineRule="auto"/>
      </w:pPr>
      <w:r>
        <w:separator/>
      </w:r>
    </w:p>
  </w:endnote>
  <w:endnote w:type="continuationSeparator" w:id="0">
    <w:p w:rsidR="00F846EB" w:rsidRDefault="00F8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D0" w:rsidRDefault="00F715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F715D0" w:rsidRDefault="00F715D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D0" w:rsidRDefault="00F715D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144D2">
      <w:rPr>
        <w:noProof/>
      </w:rPr>
      <w:t>4</w:t>
    </w:r>
    <w:r>
      <w:fldChar w:fldCharType="end"/>
    </w:r>
  </w:p>
  <w:p w:rsidR="00F715D0" w:rsidRDefault="00F715D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D0" w:rsidRDefault="00F715D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F715D0" w:rsidRDefault="00F715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EB" w:rsidRDefault="00F846EB">
      <w:pPr>
        <w:spacing w:after="0" w:line="240" w:lineRule="auto"/>
      </w:pPr>
      <w:r>
        <w:separator/>
      </w:r>
    </w:p>
  </w:footnote>
  <w:footnote w:type="continuationSeparator" w:id="0">
    <w:p w:rsidR="00F846EB" w:rsidRDefault="00F8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D0" w:rsidRDefault="00F715D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F715D0" w:rsidRPr="00EB59C8" w:rsidRDefault="00F715D0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D0" w:rsidRPr="000A15AE" w:rsidRDefault="00F715D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C4C"/>
    <w:multiLevelType w:val="hybridMultilevel"/>
    <w:tmpl w:val="18D05A5E"/>
    <w:lvl w:ilvl="0" w:tplc="033EBB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C2795C"/>
    <w:multiLevelType w:val="hybridMultilevel"/>
    <w:tmpl w:val="20C20CF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B5654B"/>
    <w:multiLevelType w:val="hybridMultilevel"/>
    <w:tmpl w:val="4D7E317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1B1168"/>
    <w:multiLevelType w:val="hybridMultilevel"/>
    <w:tmpl w:val="FC40B19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7254A5"/>
    <w:multiLevelType w:val="hybridMultilevel"/>
    <w:tmpl w:val="A1301F74"/>
    <w:lvl w:ilvl="0" w:tplc="EC82D0AA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2126"/>
    <w:multiLevelType w:val="hybridMultilevel"/>
    <w:tmpl w:val="4882341C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F372EF"/>
    <w:multiLevelType w:val="hybridMultilevel"/>
    <w:tmpl w:val="F58A78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207860"/>
    <w:multiLevelType w:val="hybridMultilevel"/>
    <w:tmpl w:val="822C496A"/>
    <w:lvl w:ilvl="0" w:tplc="033EBB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55A24"/>
    <w:multiLevelType w:val="hybridMultilevel"/>
    <w:tmpl w:val="8BF0EA7C"/>
    <w:lvl w:ilvl="0" w:tplc="0D1AFB3A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21211"/>
    <w:multiLevelType w:val="hybridMultilevel"/>
    <w:tmpl w:val="B9208360"/>
    <w:lvl w:ilvl="0" w:tplc="4EE877C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116B"/>
    <w:multiLevelType w:val="hybridMultilevel"/>
    <w:tmpl w:val="04B259A2"/>
    <w:lvl w:ilvl="0" w:tplc="0D1AFB3A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  <w:i w:val="0"/>
      </w:rPr>
    </w:lvl>
    <w:lvl w:ilvl="1" w:tplc="F3E89A4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B5083"/>
    <w:multiLevelType w:val="hybridMultilevel"/>
    <w:tmpl w:val="4364A13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845206"/>
    <w:multiLevelType w:val="hybridMultilevel"/>
    <w:tmpl w:val="BB74CF8A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620496F4">
      <w:start w:val="1"/>
      <w:numFmt w:val="lowerLetter"/>
      <w:lvlText w:val="%2)"/>
      <w:lvlJc w:val="left"/>
      <w:pPr>
        <w:ind w:left="220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2F8531F7"/>
    <w:multiLevelType w:val="hybridMultilevel"/>
    <w:tmpl w:val="F5D4849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6250D3"/>
    <w:multiLevelType w:val="hybridMultilevel"/>
    <w:tmpl w:val="EAB0037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F83150"/>
    <w:multiLevelType w:val="hybridMultilevel"/>
    <w:tmpl w:val="2FC26D3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638"/>
    <w:multiLevelType w:val="hybridMultilevel"/>
    <w:tmpl w:val="58985BC6"/>
    <w:lvl w:ilvl="0" w:tplc="20908E2A">
      <w:start w:val="1"/>
      <w:numFmt w:val="lowerLetter"/>
      <w:suff w:val="space"/>
      <w:lvlText w:val="%1)"/>
      <w:lvlJc w:val="left"/>
      <w:pPr>
        <w:ind w:left="710" w:hanging="284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DA4946"/>
    <w:multiLevelType w:val="hybridMultilevel"/>
    <w:tmpl w:val="18D05A5E"/>
    <w:lvl w:ilvl="0" w:tplc="033EBB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FD6552"/>
    <w:multiLevelType w:val="hybridMultilevel"/>
    <w:tmpl w:val="AFB07FC6"/>
    <w:lvl w:ilvl="0" w:tplc="033EBB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C60DE9"/>
    <w:multiLevelType w:val="hybridMultilevel"/>
    <w:tmpl w:val="255C9F9A"/>
    <w:lvl w:ilvl="0" w:tplc="9C5056E2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ED"/>
    <w:multiLevelType w:val="hybridMultilevel"/>
    <w:tmpl w:val="BE3A5496"/>
    <w:lvl w:ilvl="0" w:tplc="033EBB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612A18"/>
    <w:multiLevelType w:val="hybridMultilevel"/>
    <w:tmpl w:val="18D05A5E"/>
    <w:lvl w:ilvl="0" w:tplc="033EBB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86419F"/>
    <w:multiLevelType w:val="hybridMultilevel"/>
    <w:tmpl w:val="ACEED27C"/>
    <w:lvl w:ilvl="0" w:tplc="74847228">
      <w:start w:val="2"/>
      <w:numFmt w:val="lowerLetter"/>
      <w:suff w:val="space"/>
      <w:lvlText w:val="%1)"/>
      <w:lvlJc w:val="left"/>
      <w:pPr>
        <w:ind w:left="284" w:hanging="284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E7E3A"/>
    <w:multiLevelType w:val="hybridMultilevel"/>
    <w:tmpl w:val="B7DE4718"/>
    <w:lvl w:ilvl="0" w:tplc="033EBB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6C215D"/>
    <w:multiLevelType w:val="hybridMultilevel"/>
    <w:tmpl w:val="6CAEE0C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142C08"/>
    <w:multiLevelType w:val="hybridMultilevel"/>
    <w:tmpl w:val="CF4AC56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E2F2DB1"/>
    <w:multiLevelType w:val="hybridMultilevel"/>
    <w:tmpl w:val="C8469CE6"/>
    <w:lvl w:ilvl="0" w:tplc="9C5056E2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57CCB"/>
    <w:multiLevelType w:val="hybridMultilevel"/>
    <w:tmpl w:val="AA8C5B5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21D6EC1"/>
    <w:multiLevelType w:val="hybridMultilevel"/>
    <w:tmpl w:val="0400AC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5AACE384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04C5E"/>
    <w:multiLevelType w:val="hybridMultilevel"/>
    <w:tmpl w:val="F30E1802"/>
    <w:lvl w:ilvl="0" w:tplc="033EBB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8F02DE2"/>
    <w:multiLevelType w:val="hybridMultilevel"/>
    <w:tmpl w:val="F2403F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969575E"/>
    <w:multiLevelType w:val="hybridMultilevel"/>
    <w:tmpl w:val="B360049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1D0FA7"/>
    <w:multiLevelType w:val="hybridMultilevel"/>
    <w:tmpl w:val="4C4C4F20"/>
    <w:lvl w:ilvl="0" w:tplc="033EBB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F43EF5"/>
    <w:multiLevelType w:val="hybridMultilevel"/>
    <w:tmpl w:val="15D4CB12"/>
    <w:lvl w:ilvl="0" w:tplc="033EBB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0E5450"/>
    <w:multiLevelType w:val="hybridMultilevel"/>
    <w:tmpl w:val="710085C4"/>
    <w:lvl w:ilvl="0" w:tplc="033EBB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F461BB"/>
    <w:multiLevelType w:val="hybridMultilevel"/>
    <w:tmpl w:val="59243132"/>
    <w:lvl w:ilvl="0" w:tplc="A2A414B8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4121F"/>
    <w:multiLevelType w:val="hybridMultilevel"/>
    <w:tmpl w:val="C36EDD38"/>
    <w:lvl w:ilvl="0" w:tplc="658035D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13554"/>
    <w:multiLevelType w:val="hybridMultilevel"/>
    <w:tmpl w:val="8BF0EA7C"/>
    <w:lvl w:ilvl="0" w:tplc="0D1AFB3A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A3018"/>
    <w:multiLevelType w:val="hybridMultilevel"/>
    <w:tmpl w:val="856617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0"/>
  </w:num>
  <w:num w:numId="5">
    <w:abstractNumId w:val="12"/>
  </w:num>
  <w:num w:numId="6">
    <w:abstractNumId w:val="39"/>
  </w:num>
  <w:num w:numId="7">
    <w:abstractNumId w:val="4"/>
  </w:num>
  <w:num w:numId="8">
    <w:abstractNumId w:val="38"/>
  </w:num>
  <w:num w:numId="9">
    <w:abstractNumId w:val="29"/>
  </w:num>
  <w:num w:numId="10">
    <w:abstractNumId w:val="25"/>
  </w:num>
  <w:num w:numId="11">
    <w:abstractNumId w:val="19"/>
  </w:num>
  <w:num w:numId="12">
    <w:abstractNumId w:val="9"/>
  </w:num>
  <w:num w:numId="13">
    <w:abstractNumId w:val="40"/>
  </w:num>
  <w:num w:numId="14">
    <w:abstractNumId w:val="22"/>
  </w:num>
  <w:num w:numId="15">
    <w:abstractNumId w:val="31"/>
  </w:num>
  <w:num w:numId="16">
    <w:abstractNumId w:val="14"/>
  </w:num>
  <w:num w:numId="17">
    <w:abstractNumId w:val="34"/>
  </w:num>
  <w:num w:numId="18">
    <w:abstractNumId w:val="31"/>
    <w:lvlOverride w:ilvl="0">
      <w:lvl w:ilvl="0" w:tplc="041B0017">
        <w:start w:val="1"/>
        <w:numFmt w:val="lowerLetter"/>
        <w:lvlText w:val="%1)"/>
        <w:lvlJc w:val="left"/>
        <w:pPr>
          <w:ind w:left="786" w:hanging="360"/>
        </w:pPr>
        <w:rPr>
          <w:rFonts w:hint="default"/>
        </w:rPr>
      </w:lvl>
    </w:lvlOverride>
    <w:lvlOverride w:ilvl="1">
      <w:lvl w:ilvl="1" w:tplc="5AACE38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41"/>
  </w:num>
  <w:num w:numId="20">
    <w:abstractNumId w:val="6"/>
  </w:num>
  <w:num w:numId="21">
    <w:abstractNumId w:val="24"/>
  </w:num>
  <w:num w:numId="22">
    <w:abstractNumId w:val="23"/>
  </w:num>
  <w:num w:numId="23">
    <w:abstractNumId w:val="21"/>
  </w:num>
  <w:num w:numId="24">
    <w:abstractNumId w:val="32"/>
  </w:num>
  <w:num w:numId="25">
    <w:abstractNumId w:val="8"/>
  </w:num>
  <w:num w:numId="26">
    <w:abstractNumId w:val="36"/>
  </w:num>
  <w:num w:numId="27">
    <w:abstractNumId w:val="37"/>
  </w:num>
  <w:num w:numId="28">
    <w:abstractNumId w:val="26"/>
  </w:num>
  <w:num w:numId="29">
    <w:abstractNumId w:val="35"/>
  </w:num>
  <w:num w:numId="30">
    <w:abstractNumId w:val="20"/>
  </w:num>
  <w:num w:numId="31">
    <w:abstractNumId w:val="0"/>
  </w:num>
  <w:num w:numId="32">
    <w:abstractNumId w:val="1"/>
  </w:num>
  <w:num w:numId="33">
    <w:abstractNumId w:val="33"/>
  </w:num>
  <w:num w:numId="34">
    <w:abstractNumId w:val="16"/>
  </w:num>
  <w:num w:numId="35">
    <w:abstractNumId w:val="7"/>
  </w:num>
  <w:num w:numId="36">
    <w:abstractNumId w:val="3"/>
  </w:num>
  <w:num w:numId="37">
    <w:abstractNumId w:val="2"/>
  </w:num>
  <w:num w:numId="38">
    <w:abstractNumId w:val="27"/>
  </w:num>
  <w:num w:numId="39">
    <w:abstractNumId w:val="15"/>
  </w:num>
  <w:num w:numId="40">
    <w:abstractNumId w:val="13"/>
  </w:num>
  <w:num w:numId="41">
    <w:abstractNumId w:val="30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296"/>
    <w:rsid w:val="000046A2"/>
    <w:rsid w:val="000136BD"/>
    <w:rsid w:val="000143B4"/>
    <w:rsid w:val="00021DFF"/>
    <w:rsid w:val="00024E31"/>
    <w:rsid w:val="00031BEA"/>
    <w:rsid w:val="00035EB6"/>
    <w:rsid w:val="000373C2"/>
    <w:rsid w:val="000474C0"/>
    <w:rsid w:val="00054268"/>
    <w:rsid w:val="000546EE"/>
    <w:rsid w:val="00057135"/>
    <w:rsid w:val="00060556"/>
    <w:rsid w:val="00062CA1"/>
    <w:rsid w:val="00066264"/>
    <w:rsid w:val="00070B11"/>
    <w:rsid w:val="00074C30"/>
    <w:rsid w:val="000828C6"/>
    <w:rsid w:val="00087804"/>
    <w:rsid w:val="0008791F"/>
    <w:rsid w:val="00087A66"/>
    <w:rsid w:val="00091D68"/>
    <w:rsid w:val="000927B9"/>
    <w:rsid w:val="000A00AB"/>
    <w:rsid w:val="000A034B"/>
    <w:rsid w:val="000A56A8"/>
    <w:rsid w:val="000A58ED"/>
    <w:rsid w:val="000B509B"/>
    <w:rsid w:val="000C6AAB"/>
    <w:rsid w:val="000C738A"/>
    <w:rsid w:val="000D2F47"/>
    <w:rsid w:val="000D3509"/>
    <w:rsid w:val="000E48CB"/>
    <w:rsid w:val="000F00DA"/>
    <w:rsid w:val="000F0962"/>
    <w:rsid w:val="000F5085"/>
    <w:rsid w:val="000F5920"/>
    <w:rsid w:val="000F6515"/>
    <w:rsid w:val="001127A8"/>
    <w:rsid w:val="00114958"/>
    <w:rsid w:val="0011613C"/>
    <w:rsid w:val="00116F99"/>
    <w:rsid w:val="00123F77"/>
    <w:rsid w:val="00136A19"/>
    <w:rsid w:val="0014567C"/>
    <w:rsid w:val="00157696"/>
    <w:rsid w:val="0016331C"/>
    <w:rsid w:val="00163A6B"/>
    <w:rsid w:val="001704D6"/>
    <w:rsid w:val="00170D2B"/>
    <w:rsid w:val="0019024D"/>
    <w:rsid w:val="00192AC6"/>
    <w:rsid w:val="001A0BA2"/>
    <w:rsid w:val="001A504A"/>
    <w:rsid w:val="001B335A"/>
    <w:rsid w:val="001B33BA"/>
    <w:rsid w:val="001C721D"/>
    <w:rsid w:val="001C7F6D"/>
    <w:rsid w:val="001E362C"/>
    <w:rsid w:val="001E7338"/>
    <w:rsid w:val="001F121A"/>
    <w:rsid w:val="001F5D86"/>
    <w:rsid w:val="001F624A"/>
    <w:rsid w:val="00200898"/>
    <w:rsid w:val="00204CCD"/>
    <w:rsid w:val="00207E05"/>
    <w:rsid w:val="00211828"/>
    <w:rsid w:val="00212894"/>
    <w:rsid w:val="002135D4"/>
    <w:rsid w:val="00215D5B"/>
    <w:rsid w:val="002177DB"/>
    <w:rsid w:val="002309F4"/>
    <w:rsid w:val="002332AD"/>
    <w:rsid w:val="002349B1"/>
    <w:rsid w:val="00245754"/>
    <w:rsid w:val="00263096"/>
    <w:rsid w:val="002633C6"/>
    <w:rsid w:val="00263AF4"/>
    <w:rsid w:val="002666AB"/>
    <w:rsid w:val="00280A04"/>
    <w:rsid w:val="00281182"/>
    <w:rsid w:val="002A31A5"/>
    <w:rsid w:val="002A5EAB"/>
    <w:rsid w:val="002B3127"/>
    <w:rsid w:val="002B5AD4"/>
    <w:rsid w:val="002B63FD"/>
    <w:rsid w:val="002D489F"/>
    <w:rsid w:val="002E420D"/>
    <w:rsid w:val="002F4676"/>
    <w:rsid w:val="003004AF"/>
    <w:rsid w:val="00306580"/>
    <w:rsid w:val="00317B90"/>
    <w:rsid w:val="00325918"/>
    <w:rsid w:val="00332581"/>
    <w:rsid w:val="003359E0"/>
    <w:rsid w:val="003408F5"/>
    <w:rsid w:val="00346DF1"/>
    <w:rsid w:val="00347381"/>
    <w:rsid w:val="00352155"/>
    <w:rsid w:val="003542AD"/>
    <w:rsid w:val="0035695B"/>
    <w:rsid w:val="0036231F"/>
    <w:rsid w:val="00372688"/>
    <w:rsid w:val="00382C3E"/>
    <w:rsid w:val="003878CC"/>
    <w:rsid w:val="00393E07"/>
    <w:rsid w:val="00395090"/>
    <w:rsid w:val="00395B02"/>
    <w:rsid w:val="0039676C"/>
    <w:rsid w:val="003A10E5"/>
    <w:rsid w:val="003A1797"/>
    <w:rsid w:val="003A4E00"/>
    <w:rsid w:val="003B0B84"/>
    <w:rsid w:val="003B34C9"/>
    <w:rsid w:val="003B430D"/>
    <w:rsid w:val="003B7684"/>
    <w:rsid w:val="003C1819"/>
    <w:rsid w:val="003C5D33"/>
    <w:rsid w:val="003C6B38"/>
    <w:rsid w:val="003D08D8"/>
    <w:rsid w:val="003D7FE4"/>
    <w:rsid w:val="003E4E65"/>
    <w:rsid w:val="003F1AC2"/>
    <w:rsid w:val="003F35B7"/>
    <w:rsid w:val="00404907"/>
    <w:rsid w:val="00410142"/>
    <w:rsid w:val="00421633"/>
    <w:rsid w:val="0042480F"/>
    <w:rsid w:val="00424DE0"/>
    <w:rsid w:val="00440A16"/>
    <w:rsid w:val="00446310"/>
    <w:rsid w:val="00447C49"/>
    <w:rsid w:val="00447EDE"/>
    <w:rsid w:val="00451D81"/>
    <w:rsid w:val="00457E11"/>
    <w:rsid w:val="00462D7D"/>
    <w:rsid w:val="00474F11"/>
    <w:rsid w:val="004771FA"/>
    <w:rsid w:val="00487203"/>
    <w:rsid w:val="00496988"/>
    <w:rsid w:val="004A4209"/>
    <w:rsid w:val="004B49B9"/>
    <w:rsid w:val="004C4ACA"/>
    <w:rsid w:val="004D169C"/>
    <w:rsid w:val="004D3E32"/>
    <w:rsid w:val="004E13DE"/>
    <w:rsid w:val="004E5E76"/>
    <w:rsid w:val="004F3B28"/>
    <w:rsid w:val="005001D1"/>
    <w:rsid w:val="005005EC"/>
    <w:rsid w:val="005138EB"/>
    <w:rsid w:val="005307FC"/>
    <w:rsid w:val="00530A91"/>
    <w:rsid w:val="0054365E"/>
    <w:rsid w:val="00546D17"/>
    <w:rsid w:val="005512F5"/>
    <w:rsid w:val="005515AC"/>
    <w:rsid w:val="00553992"/>
    <w:rsid w:val="00553FA8"/>
    <w:rsid w:val="00560940"/>
    <w:rsid w:val="00562ACF"/>
    <w:rsid w:val="005718E8"/>
    <w:rsid w:val="0057409C"/>
    <w:rsid w:val="0057634B"/>
    <w:rsid w:val="005834D1"/>
    <w:rsid w:val="00583CFB"/>
    <w:rsid w:val="00592E96"/>
    <w:rsid w:val="0059629F"/>
    <w:rsid w:val="005B024E"/>
    <w:rsid w:val="005B051A"/>
    <w:rsid w:val="005B75C4"/>
    <w:rsid w:val="005C126D"/>
    <w:rsid w:val="005C1A2B"/>
    <w:rsid w:val="005E3699"/>
    <w:rsid w:val="005F2ACA"/>
    <w:rsid w:val="005F3BC4"/>
    <w:rsid w:val="005F533D"/>
    <w:rsid w:val="00602282"/>
    <w:rsid w:val="00613BB5"/>
    <w:rsid w:val="006144D2"/>
    <w:rsid w:val="0061654D"/>
    <w:rsid w:val="006271EE"/>
    <w:rsid w:val="0063009D"/>
    <w:rsid w:val="00650FF3"/>
    <w:rsid w:val="00651D58"/>
    <w:rsid w:val="006522CA"/>
    <w:rsid w:val="006540B0"/>
    <w:rsid w:val="00663D70"/>
    <w:rsid w:val="006710C8"/>
    <w:rsid w:val="00675A87"/>
    <w:rsid w:val="0069576D"/>
    <w:rsid w:val="006A2947"/>
    <w:rsid w:val="006A6A9A"/>
    <w:rsid w:val="006A7572"/>
    <w:rsid w:val="006B1BC0"/>
    <w:rsid w:val="006C30DD"/>
    <w:rsid w:val="006D483F"/>
    <w:rsid w:val="006E0EBD"/>
    <w:rsid w:val="006F0676"/>
    <w:rsid w:val="006F0680"/>
    <w:rsid w:val="006F6D95"/>
    <w:rsid w:val="00711D1A"/>
    <w:rsid w:val="007140AA"/>
    <w:rsid w:val="00716CFE"/>
    <w:rsid w:val="0072069B"/>
    <w:rsid w:val="007246BD"/>
    <w:rsid w:val="00727689"/>
    <w:rsid w:val="00733D0B"/>
    <w:rsid w:val="00734505"/>
    <w:rsid w:val="00737244"/>
    <w:rsid w:val="0074154F"/>
    <w:rsid w:val="0074221E"/>
    <w:rsid w:val="00744EBF"/>
    <w:rsid w:val="00750C22"/>
    <w:rsid w:val="00760102"/>
    <w:rsid w:val="007602D3"/>
    <w:rsid w:val="00767818"/>
    <w:rsid w:val="00770320"/>
    <w:rsid w:val="0077530D"/>
    <w:rsid w:val="00777409"/>
    <w:rsid w:val="00782AF8"/>
    <w:rsid w:val="00782B91"/>
    <w:rsid w:val="00785085"/>
    <w:rsid w:val="007875B1"/>
    <w:rsid w:val="007B10E6"/>
    <w:rsid w:val="007B746A"/>
    <w:rsid w:val="007B7470"/>
    <w:rsid w:val="007C2BD7"/>
    <w:rsid w:val="007C589F"/>
    <w:rsid w:val="007C6F1A"/>
    <w:rsid w:val="007C7CC0"/>
    <w:rsid w:val="007D2601"/>
    <w:rsid w:val="007D5748"/>
    <w:rsid w:val="007F0A13"/>
    <w:rsid w:val="007F7567"/>
    <w:rsid w:val="00807C07"/>
    <w:rsid w:val="00811172"/>
    <w:rsid w:val="008205B7"/>
    <w:rsid w:val="00832D80"/>
    <w:rsid w:val="008414EA"/>
    <w:rsid w:val="008452D1"/>
    <w:rsid w:val="00867587"/>
    <w:rsid w:val="00873ACE"/>
    <w:rsid w:val="00875E1D"/>
    <w:rsid w:val="00876257"/>
    <w:rsid w:val="00883981"/>
    <w:rsid w:val="00883F00"/>
    <w:rsid w:val="00893B20"/>
    <w:rsid w:val="00893B76"/>
    <w:rsid w:val="00893C72"/>
    <w:rsid w:val="00897BE7"/>
    <w:rsid w:val="008A2B84"/>
    <w:rsid w:val="008C0D4D"/>
    <w:rsid w:val="008D339D"/>
    <w:rsid w:val="008E07DD"/>
    <w:rsid w:val="008E2736"/>
    <w:rsid w:val="0092516A"/>
    <w:rsid w:val="00943733"/>
    <w:rsid w:val="00943BA9"/>
    <w:rsid w:val="00945A2A"/>
    <w:rsid w:val="00957533"/>
    <w:rsid w:val="00960BD0"/>
    <w:rsid w:val="009629BD"/>
    <w:rsid w:val="009706B7"/>
    <w:rsid w:val="009730E1"/>
    <w:rsid w:val="00994D17"/>
    <w:rsid w:val="009B09B4"/>
    <w:rsid w:val="009C17CC"/>
    <w:rsid w:val="009C2347"/>
    <w:rsid w:val="009C4928"/>
    <w:rsid w:val="009D0D00"/>
    <w:rsid w:val="009D647F"/>
    <w:rsid w:val="009E3E93"/>
    <w:rsid w:val="009E6957"/>
    <w:rsid w:val="00A048C4"/>
    <w:rsid w:val="00A10721"/>
    <w:rsid w:val="00A13454"/>
    <w:rsid w:val="00A13B68"/>
    <w:rsid w:val="00A314E0"/>
    <w:rsid w:val="00A3173E"/>
    <w:rsid w:val="00A4730C"/>
    <w:rsid w:val="00A72E75"/>
    <w:rsid w:val="00A738C0"/>
    <w:rsid w:val="00A82EF0"/>
    <w:rsid w:val="00A82EFF"/>
    <w:rsid w:val="00A82FAD"/>
    <w:rsid w:val="00A94AA2"/>
    <w:rsid w:val="00A964FE"/>
    <w:rsid w:val="00AB2113"/>
    <w:rsid w:val="00AB4012"/>
    <w:rsid w:val="00AB5919"/>
    <w:rsid w:val="00AC0C6F"/>
    <w:rsid w:val="00AD3BF6"/>
    <w:rsid w:val="00AD3E2A"/>
    <w:rsid w:val="00AD7F58"/>
    <w:rsid w:val="00AE67EC"/>
    <w:rsid w:val="00AF6CEA"/>
    <w:rsid w:val="00AF74AB"/>
    <w:rsid w:val="00B129EE"/>
    <w:rsid w:val="00B14264"/>
    <w:rsid w:val="00B14C62"/>
    <w:rsid w:val="00B15B33"/>
    <w:rsid w:val="00B25B24"/>
    <w:rsid w:val="00B4609D"/>
    <w:rsid w:val="00B461DA"/>
    <w:rsid w:val="00B5535C"/>
    <w:rsid w:val="00B66982"/>
    <w:rsid w:val="00B801BA"/>
    <w:rsid w:val="00B871EA"/>
    <w:rsid w:val="00B9058F"/>
    <w:rsid w:val="00B92F23"/>
    <w:rsid w:val="00B976B3"/>
    <w:rsid w:val="00BA118E"/>
    <w:rsid w:val="00BA33CA"/>
    <w:rsid w:val="00BA6BDF"/>
    <w:rsid w:val="00BB6912"/>
    <w:rsid w:val="00BC0766"/>
    <w:rsid w:val="00BC26C1"/>
    <w:rsid w:val="00BD7ACB"/>
    <w:rsid w:val="00BF31EB"/>
    <w:rsid w:val="00C11B5B"/>
    <w:rsid w:val="00C15212"/>
    <w:rsid w:val="00C15D88"/>
    <w:rsid w:val="00C16C1B"/>
    <w:rsid w:val="00C434AF"/>
    <w:rsid w:val="00C455E9"/>
    <w:rsid w:val="00C4612E"/>
    <w:rsid w:val="00C50049"/>
    <w:rsid w:val="00C51FD4"/>
    <w:rsid w:val="00C611AD"/>
    <w:rsid w:val="00C638B4"/>
    <w:rsid w:val="00C64BDB"/>
    <w:rsid w:val="00C653D7"/>
    <w:rsid w:val="00C73D3A"/>
    <w:rsid w:val="00C8036D"/>
    <w:rsid w:val="00C85FAC"/>
    <w:rsid w:val="00C93C7B"/>
    <w:rsid w:val="00CA18F2"/>
    <w:rsid w:val="00CA7932"/>
    <w:rsid w:val="00CA7FB3"/>
    <w:rsid w:val="00CB04E9"/>
    <w:rsid w:val="00CB2ED0"/>
    <w:rsid w:val="00CB3623"/>
    <w:rsid w:val="00CC0E46"/>
    <w:rsid w:val="00CC13EC"/>
    <w:rsid w:val="00CC5D28"/>
    <w:rsid w:val="00CD1045"/>
    <w:rsid w:val="00CE299A"/>
    <w:rsid w:val="00CE359E"/>
    <w:rsid w:val="00CE50B7"/>
    <w:rsid w:val="00CF2C35"/>
    <w:rsid w:val="00CF68FA"/>
    <w:rsid w:val="00D056C8"/>
    <w:rsid w:val="00D200BE"/>
    <w:rsid w:val="00D31E59"/>
    <w:rsid w:val="00D35D3C"/>
    <w:rsid w:val="00D37EC9"/>
    <w:rsid w:val="00D46207"/>
    <w:rsid w:val="00D52CE3"/>
    <w:rsid w:val="00D531FA"/>
    <w:rsid w:val="00D638F5"/>
    <w:rsid w:val="00D63E90"/>
    <w:rsid w:val="00D675FF"/>
    <w:rsid w:val="00D67E10"/>
    <w:rsid w:val="00D7236A"/>
    <w:rsid w:val="00D758EC"/>
    <w:rsid w:val="00D833B1"/>
    <w:rsid w:val="00D85029"/>
    <w:rsid w:val="00D87940"/>
    <w:rsid w:val="00D9171A"/>
    <w:rsid w:val="00D922E5"/>
    <w:rsid w:val="00DA0206"/>
    <w:rsid w:val="00DB08C1"/>
    <w:rsid w:val="00DB1109"/>
    <w:rsid w:val="00DB4DD7"/>
    <w:rsid w:val="00DD2394"/>
    <w:rsid w:val="00DE04C5"/>
    <w:rsid w:val="00DE5BF1"/>
    <w:rsid w:val="00E05ACA"/>
    <w:rsid w:val="00E07CE9"/>
    <w:rsid w:val="00E106C4"/>
    <w:rsid w:val="00E13FC4"/>
    <w:rsid w:val="00E1732C"/>
    <w:rsid w:val="00E23655"/>
    <w:rsid w:val="00E24084"/>
    <w:rsid w:val="00E34275"/>
    <w:rsid w:val="00E4770B"/>
    <w:rsid w:val="00E65F74"/>
    <w:rsid w:val="00E7530B"/>
    <w:rsid w:val="00E8453A"/>
    <w:rsid w:val="00E9257D"/>
    <w:rsid w:val="00E963A3"/>
    <w:rsid w:val="00EA0B16"/>
    <w:rsid w:val="00EA1E90"/>
    <w:rsid w:val="00EA4300"/>
    <w:rsid w:val="00ED2A13"/>
    <w:rsid w:val="00ED2B29"/>
    <w:rsid w:val="00EE0CA3"/>
    <w:rsid w:val="00EE28EB"/>
    <w:rsid w:val="00EE48F3"/>
    <w:rsid w:val="00F03306"/>
    <w:rsid w:val="00F12BD6"/>
    <w:rsid w:val="00F20986"/>
    <w:rsid w:val="00F22F3F"/>
    <w:rsid w:val="00F2530E"/>
    <w:rsid w:val="00F348E6"/>
    <w:rsid w:val="00F40136"/>
    <w:rsid w:val="00F47E0C"/>
    <w:rsid w:val="00F54BCE"/>
    <w:rsid w:val="00F552D1"/>
    <w:rsid w:val="00F55E47"/>
    <w:rsid w:val="00F60CEA"/>
    <w:rsid w:val="00F715D0"/>
    <w:rsid w:val="00F773C3"/>
    <w:rsid w:val="00F8373C"/>
    <w:rsid w:val="00F846EB"/>
    <w:rsid w:val="00FA5B9E"/>
    <w:rsid w:val="00FB21A8"/>
    <w:rsid w:val="00FB45B8"/>
    <w:rsid w:val="00FB4A4A"/>
    <w:rsid w:val="00FB72D7"/>
    <w:rsid w:val="00FD5251"/>
    <w:rsid w:val="00FD789C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834D1"/>
    <w:pPr>
      <w:spacing w:after="160" w:line="259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7E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7E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7E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E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7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27C51EC-3504-4F96-B8A6-EF490553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35368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Nikoleta Fekete</cp:lastModifiedBy>
  <cp:revision>2</cp:revision>
  <cp:lastPrinted>2024-08-12T09:01:00Z</cp:lastPrinted>
  <dcterms:created xsi:type="dcterms:W3CDTF">2024-08-13T11:42:00Z</dcterms:created>
  <dcterms:modified xsi:type="dcterms:W3CDTF">2024-08-13T11:42:00Z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</Properties>
</file>