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2A187" w14:textId="77777777"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14:paraId="186B75DD" w14:textId="77777777" w:rsidR="007D5748" w:rsidRPr="007B7470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14:paraId="6D954D24" w14:textId="77777777" w:rsidR="00E963A3" w:rsidRPr="007B7470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3BD3E37" w14:textId="77777777" w:rsidR="005307FC" w:rsidRPr="007B7470" w:rsidRDefault="005307FC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E087941" w14:textId="77777777" w:rsidR="00E963A3" w:rsidRPr="007B7470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06209213" w14:textId="77777777" w:rsidR="007D5748" w:rsidRPr="007B7470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1</w:t>
      </w:r>
      <w:r w:rsidR="001F624A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>/A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tbl>
      <w:tblPr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360"/>
        <w:gridCol w:w="1267"/>
        <w:gridCol w:w="1354"/>
        <w:gridCol w:w="1592"/>
      </w:tblGrid>
      <w:tr w:rsidR="007D5748" w:rsidRPr="007B7470" w14:paraId="0D821914" w14:textId="77777777" w:rsidTr="00A11F63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14:paraId="2A90A61D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573" w:type="dxa"/>
            <w:gridSpan w:val="4"/>
            <w:shd w:val="clear" w:color="auto" w:fill="BFBFBF" w:themeFill="background1" w:themeFillShade="BF"/>
            <w:vAlign w:val="center"/>
          </w:tcPr>
          <w:p w14:paraId="0A417DC1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7B7470" w14:paraId="34C8B0F9" w14:textId="77777777" w:rsidTr="00A11F63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14:paraId="5308BE13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60" w:type="dxa"/>
            <w:shd w:val="clear" w:color="auto" w:fill="BFBFBF" w:themeFill="background1" w:themeFillShade="BF"/>
            <w:vAlign w:val="center"/>
          </w:tcPr>
          <w:p w14:paraId="1170C662" w14:textId="77777777" w:rsidR="007D5748" w:rsidRPr="007B7470" w:rsidRDefault="001B653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2E774B29" w14:textId="77777777" w:rsidR="007D5748" w:rsidRPr="007B7470" w:rsidRDefault="001B653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354" w:type="dxa"/>
            <w:shd w:val="clear" w:color="auto" w:fill="BFBFBF" w:themeFill="background1" w:themeFillShade="BF"/>
            <w:vAlign w:val="center"/>
          </w:tcPr>
          <w:p w14:paraId="318B2828" w14:textId="77777777" w:rsidR="007D5748" w:rsidRPr="007B7470" w:rsidRDefault="001B653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592" w:type="dxa"/>
            <w:shd w:val="clear" w:color="auto" w:fill="BFBFBF" w:themeFill="background1" w:themeFillShade="BF"/>
            <w:vAlign w:val="center"/>
          </w:tcPr>
          <w:p w14:paraId="42904C37" w14:textId="77777777" w:rsidR="007D5748" w:rsidRPr="007B7470" w:rsidRDefault="001B653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2028</w:t>
            </w:r>
          </w:p>
        </w:tc>
      </w:tr>
      <w:tr w:rsidR="00EF0B41" w:rsidRPr="007B7470" w14:paraId="648CB1E2" w14:textId="77777777" w:rsidTr="00A11F63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123A15E1" w14:textId="77777777" w:rsidR="00EF0B41" w:rsidRPr="007B7470" w:rsidRDefault="00EF0B41" w:rsidP="00EF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360" w:type="dxa"/>
            <w:shd w:val="clear" w:color="auto" w:fill="C0C0C0"/>
          </w:tcPr>
          <w:p w14:paraId="59660EE9" w14:textId="69C6C306" w:rsidR="00EF0B41" w:rsidRPr="00EF0B41" w:rsidRDefault="00EF0B41" w:rsidP="00EF0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43 714 755</w:t>
            </w:r>
          </w:p>
        </w:tc>
        <w:tc>
          <w:tcPr>
            <w:tcW w:w="1267" w:type="dxa"/>
            <w:shd w:val="clear" w:color="auto" w:fill="C0C0C0"/>
          </w:tcPr>
          <w:p w14:paraId="3B56E6FF" w14:textId="0830EEC5" w:rsidR="00EF0B41" w:rsidRPr="00EF0B41" w:rsidRDefault="00EF0B41" w:rsidP="00EF0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94 553 025</w:t>
            </w:r>
          </w:p>
        </w:tc>
        <w:tc>
          <w:tcPr>
            <w:tcW w:w="1354" w:type="dxa"/>
            <w:shd w:val="clear" w:color="auto" w:fill="C0C0C0"/>
          </w:tcPr>
          <w:p w14:paraId="0FE8A320" w14:textId="125230C1" w:rsidR="00EF0B41" w:rsidRPr="00EF0B41" w:rsidRDefault="00EF0B41" w:rsidP="00EF0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96 243 506</w:t>
            </w:r>
          </w:p>
        </w:tc>
        <w:tc>
          <w:tcPr>
            <w:tcW w:w="1592" w:type="dxa"/>
            <w:shd w:val="clear" w:color="auto" w:fill="C0C0C0"/>
          </w:tcPr>
          <w:p w14:paraId="6AC6B7F9" w14:textId="6AD9E827" w:rsidR="00EF0B41" w:rsidRPr="00EF0B41" w:rsidRDefault="00EF0B41" w:rsidP="00EF0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98 063 855</w:t>
            </w:r>
          </w:p>
        </w:tc>
      </w:tr>
      <w:tr w:rsidR="001B6536" w:rsidRPr="007B7470" w14:paraId="425D4986" w14:textId="77777777" w:rsidTr="00A11F63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14:paraId="049110A2" w14:textId="1D9B5694" w:rsidR="001B6536" w:rsidRPr="007B7470" w:rsidRDefault="001B6536" w:rsidP="001B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Národná diaľničná spoločnosť, a.</w:t>
            </w:r>
            <w:r w:rsidR="00296FB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s.</w:t>
            </w:r>
          </w:p>
        </w:tc>
        <w:tc>
          <w:tcPr>
            <w:tcW w:w="1360" w:type="dxa"/>
            <w:noWrap/>
            <w:vAlign w:val="center"/>
          </w:tcPr>
          <w:p w14:paraId="4C37CF0C" w14:textId="25AB0819" w:rsidR="001B6536" w:rsidRPr="00EF0B41" w:rsidRDefault="001B6536" w:rsidP="006967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48 </w:t>
            </w:r>
            <w:r w:rsidR="006967C0" w:rsidRPr="00EF0B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601 755</w:t>
            </w:r>
          </w:p>
        </w:tc>
        <w:tc>
          <w:tcPr>
            <w:tcW w:w="1267" w:type="dxa"/>
            <w:noWrap/>
            <w:vAlign w:val="center"/>
          </w:tcPr>
          <w:p w14:paraId="140EE20B" w14:textId="2E53D9A0" w:rsidR="001B6536" w:rsidRPr="00EF0B41" w:rsidRDefault="00D432AE" w:rsidP="00D43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99 440 025</w:t>
            </w:r>
          </w:p>
        </w:tc>
        <w:tc>
          <w:tcPr>
            <w:tcW w:w="1354" w:type="dxa"/>
            <w:noWrap/>
            <w:vAlign w:val="center"/>
          </w:tcPr>
          <w:p w14:paraId="1A027BF1" w14:textId="20DC72C2" w:rsidR="001B6536" w:rsidRPr="00EF0B41" w:rsidRDefault="00D432AE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101 130 506</w:t>
            </w:r>
          </w:p>
        </w:tc>
        <w:tc>
          <w:tcPr>
            <w:tcW w:w="1592" w:type="dxa"/>
            <w:noWrap/>
            <w:vAlign w:val="center"/>
          </w:tcPr>
          <w:p w14:paraId="6C598C03" w14:textId="6A7EEAF3" w:rsidR="001B6536" w:rsidRPr="00EF0B41" w:rsidRDefault="00D432AE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102 950 855</w:t>
            </w:r>
          </w:p>
        </w:tc>
      </w:tr>
      <w:tr w:rsidR="003F0735" w:rsidRPr="007B7470" w14:paraId="0FCB8309" w14:textId="77777777" w:rsidTr="00A11F63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14:paraId="1EE6FD78" w14:textId="176FFE6C" w:rsidR="003F0735" w:rsidRDefault="003F0735" w:rsidP="003F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tom: kapitola VPS</w:t>
            </w:r>
          </w:p>
        </w:tc>
        <w:tc>
          <w:tcPr>
            <w:tcW w:w="1360" w:type="dxa"/>
            <w:noWrap/>
            <w:vAlign w:val="center"/>
          </w:tcPr>
          <w:p w14:paraId="1E969FB7" w14:textId="7593FAEF" w:rsidR="003F0735" w:rsidRPr="00EF0B41" w:rsidRDefault="003F0735" w:rsidP="003F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</w:t>
            </w:r>
            <w:r w:rsidRPr="00EF0B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4 887 000</w:t>
            </w:r>
          </w:p>
        </w:tc>
        <w:tc>
          <w:tcPr>
            <w:tcW w:w="1267" w:type="dxa"/>
            <w:noWrap/>
            <w:vAlign w:val="center"/>
          </w:tcPr>
          <w:p w14:paraId="1379EF06" w14:textId="52462D37" w:rsidR="003F0735" w:rsidRPr="00EF0B41" w:rsidRDefault="003F0735" w:rsidP="003F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</w:t>
            </w:r>
            <w:r w:rsidRPr="00EF0B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4 887 000</w:t>
            </w:r>
          </w:p>
        </w:tc>
        <w:tc>
          <w:tcPr>
            <w:tcW w:w="1354" w:type="dxa"/>
            <w:noWrap/>
            <w:vAlign w:val="center"/>
          </w:tcPr>
          <w:p w14:paraId="47D36DDB" w14:textId="69418739" w:rsidR="003F0735" w:rsidRPr="00EF0B41" w:rsidRDefault="003F0735" w:rsidP="003F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</w:t>
            </w:r>
            <w:r w:rsidRPr="00EF0B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4 887 000</w:t>
            </w:r>
          </w:p>
        </w:tc>
        <w:tc>
          <w:tcPr>
            <w:tcW w:w="1592" w:type="dxa"/>
            <w:noWrap/>
            <w:vAlign w:val="center"/>
          </w:tcPr>
          <w:p w14:paraId="152A38A3" w14:textId="33D02C54" w:rsidR="003F0735" w:rsidRPr="00EF0B41" w:rsidRDefault="003F0735" w:rsidP="003F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</w:t>
            </w:r>
            <w:r w:rsidRPr="00EF0B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4 887 000</w:t>
            </w:r>
          </w:p>
        </w:tc>
      </w:tr>
      <w:tr w:rsidR="00296FB4" w:rsidRPr="007B7470" w14:paraId="78E27090" w14:textId="77777777" w:rsidTr="00A11F6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FDA6C07" w14:textId="77777777" w:rsidR="00296FB4" w:rsidRPr="007B7470" w:rsidRDefault="00296FB4" w:rsidP="0029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360" w:type="dxa"/>
            <w:noWrap/>
            <w:vAlign w:val="center"/>
          </w:tcPr>
          <w:p w14:paraId="496F13EC" w14:textId="77777777" w:rsidR="00296FB4" w:rsidRPr="00EF0B41" w:rsidRDefault="00296FB4" w:rsidP="002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455C143C" w14:textId="77777777" w:rsidR="00296FB4" w:rsidRPr="00EF0B41" w:rsidRDefault="00296FB4" w:rsidP="002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354" w:type="dxa"/>
            <w:noWrap/>
            <w:vAlign w:val="center"/>
          </w:tcPr>
          <w:p w14:paraId="788110EB" w14:textId="77777777" w:rsidR="00296FB4" w:rsidRPr="00EF0B41" w:rsidRDefault="00296FB4" w:rsidP="002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92" w:type="dxa"/>
            <w:noWrap/>
            <w:vAlign w:val="center"/>
          </w:tcPr>
          <w:p w14:paraId="0A730062" w14:textId="77777777" w:rsidR="00296FB4" w:rsidRPr="00EF0B41" w:rsidRDefault="00296FB4" w:rsidP="002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296FB4" w:rsidRPr="007B7470" w14:paraId="6BAE9F9B" w14:textId="77777777" w:rsidTr="00A11F6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20530A9" w14:textId="77777777" w:rsidR="00296FB4" w:rsidRPr="007B7470" w:rsidRDefault="00296FB4" w:rsidP="00296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360" w:type="dxa"/>
            <w:noWrap/>
            <w:vAlign w:val="center"/>
          </w:tcPr>
          <w:p w14:paraId="3C28900C" w14:textId="2F6129F7" w:rsidR="00296FB4" w:rsidRPr="00EF0B41" w:rsidRDefault="00296FB4" w:rsidP="00944E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</w:t>
            </w:r>
            <w:r w:rsidR="00944EED" w:rsidRPr="00EF0B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4 887</w:t>
            </w:r>
            <w:r w:rsidR="00AF647A" w:rsidRPr="00EF0B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noWrap/>
            <w:vAlign w:val="center"/>
          </w:tcPr>
          <w:p w14:paraId="7B2AEF3A" w14:textId="75E77014" w:rsidR="00296FB4" w:rsidRPr="00EF0B41" w:rsidRDefault="00296FB4" w:rsidP="002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</w:t>
            </w:r>
            <w:r w:rsidR="00944EED" w:rsidRPr="00EF0B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4 887</w:t>
            </w:r>
            <w:r w:rsidR="00AF647A" w:rsidRPr="00EF0B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354" w:type="dxa"/>
            <w:noWrap/>
            <w:vAlign w:val="center"/>
          </w:tcPr>
          <w:p w14:paraId="3928803A" w14:textId="035D8EE5" w:rsidR="00296FB4" w:rsidRPr="00EF0B41" w:rsidRDefault="00296FB4" w:rsidP="00944E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</w:t>
            </w:r>
            <w:r w:rsidR="00944EED" w:rsidRPr="00EF0B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4 887</w:t>
            </w:r>
            <w:r w:rsidR="00AF647A" w:rsidRPr="00EF0B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592" w:type="dxa"/>
            <w:noWrap/>
            <w:vAlign w:val="center"/>
          </w:tcPr>
          <w:p w14:paraId="61CC0A29" w14:textId="20B5278F" w:rsidR="00296FB4" w:rsidRPr="00EF0B41" w:rsidRDefault="00296FB4" w:rsidP="00944E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</w:t>
            </w:r>
            <w:r w:rsidR="00944EED" w:rsidRPr="00EF0B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4 887</w:t>
            </w:r>
            <w:r w:rsidR="00AF647A" w:rsidRPr="00EF0B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 xml:space="preserve"> 000</w:t>
            </w:r>
          </w:p>
        </w:tc>
      </w:tr>
      <w:tr w:rsidR="00296FB4" w:rsidRPr="007B7470" w14:paraId="111EC363" w14:textId="77777777" w:rsidTr="00A11F6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52DFFE9" w14:textId="77777777" w:rsidR="00296FB4" w:rsidRPr="007B7470" w:rsidRDefault="00296FB4" w:rsidP="00296FB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360" w:type="dxa"/>
            <w:noWrap/>
            <w:vAlign w:val="center"/>
          </w:tcPr>
          <w:p w14:paraId="70BF5832" w14:textId="3169CB45" w:rsidR="00296FB4" w:rsidRPr="00EF0B41" w:rsidRDefault="00296FB4" w:rsidP="002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</w:t>
            </w:r>
            <w:r w:rsidR="00944EED" w:rsidRPr="00EF0B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4 887</w:t>
            </w:r>
            <w:r w:rsidR="00AF647A" w:rsidRPr="00EF0B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noWrap/>
            <w:vAlign w:val="center"/>
          </w:tcPr>
          <w:p w14:paraId="77A76C19" w14:textId="7A681C57" w:rsidR="00296FB4" w:rsidRPr="00EF0B41" w:rsidRDefault="00296FB4" w:rsidP="002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</w:t>
            </w:r>
            <w:r w:rsidR="00944EED" w:rsidRPr="00EF0B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4 887</w:t>
            </w:r>
            <w:r w:rsidR="00AF647A" w:rsidRPr="00EF0B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354" w:type="dxa"/>
            <w:noWrap/>
            <w:vAlign w:val="center"/>
          </w:tcPr>
          <w:p w14:paraId="6CEAF7AF" w14:textId="39059AC4" w:rsidR="00296FB4" w:rsidRPr="00EF0B41" w:rsidRDefault="00296FB4" w:rsidP="002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</w:t>
            </w:r>
            <w:r w:rsidR="00944EED" w:rsidRPr="00EF0B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4 887</w:t>
            </w:r>
            <w:r w:rsidR="00AF647A" w:rsidRPr="00EF0B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592" w:type="dxa"/>
            <w:noWrap/>
            <w:vAlign w:val="center"/>
          </w:tcPr>
          <w:p w14:paraId="0D2CF77A" w14:textId="1B6D21C0" w:rsidR="00296FB4" w:rsidRPr="00EF0B41" w:rsidRDefault="00296FB4" w:rsidP="00296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</w:t>
            </w:r>
            <w:r w:rsidR="00944EED" w:rsidRPr="00EF0B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4 887</w:t>
            </w:r>
            <w:r w:rsidR="00AF647A" w:rsidRPr="00EF0B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 xml:space="preserve"> 000</w:t>
            </w:r>
          </w:p>
        </w:tc>
      </w:tr>
      <w:tr w:rsidR="001B6536" w:rsidRPr="007B7470" w14:paraId="19F2BC1E" w14:textId="77777777" w:rsidTr="00A11F6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43A6C0D" w14:textId="77777777" w:rsidR="001B6536" w:rsidRPr="007B7470" w:rsidRDefault="001B6536" w:rsidP="001B6536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360" w:type="dxa"/>
            <w:noWrap/>
            <w:vAlign w:val="center"/>
          </w:tcPr>
          <w:p w14:paraId="30502CAE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ECECFA7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54" w:type="dxa"/>
            <w:noWrap/>
            <w:vAlign w:val="center"/>
          </w:tcPr>
          <w:p w14:paraId="2F00F53D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92" w:type="dxa"/>
            <w:noWrap/>
            <w:vAlign w:val="center"/>
          </w:tcPr>
          <w:p w14:paraId="52CCE825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1B6536" w:rsidRPr="007B7470" w14:paraId="79C512DB" w14:textId="77777777" w:rsidTr="00A11F6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10279B3A" w14:textId="77777777" w:rsidR="001B6536" w:rsidRPr="007B7470" w:rsidRDefault="001B6536" w:rsidP="001B6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360" w:type="dxa"/>
            <w:noWrap/>
            <w:vAlign w:val="center"/>
          </w:tcPr>
          <w:p w14:paraId="5A7AA8C1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EA8E628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54" w:type="dxa"/>
            <w:noWrap/>
            <w:vAlign w:val="center"/>
          </w:tcPr>
          <w:p w14:paraId="2092518B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92" w:type="dxa"/>
            <w:noWrap/>
            <w:vAlign w:val="center"/>
          </w:tcPr>
          <w:p w14:paraId="284F0023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B6536" w:rsidRPr="007B7470" w14:paraId="20E4711D" w14:textId="77777777" w:rsidTr="00A11F6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18715B17" w14:textId="77777777" w:rsidR="001B6536" w:rsidRPr="007B7470" w:rsidRDefault="001B6536" w:rsidP="001B6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360" w:type="dxa"/>
            <w:noWrap/>
            <w:vAlign w:val="center"/>
          </w:tcPr>
          <w:p w14:paraId="4FC03AD3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C9D96B5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54" w:type="dxa"/>
            <w:noWrap/>
            <w:vAlign w:val="center"/>
          </w:tcPr>
          <w:p w14:paraId="64AB605D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92" w:type="dxa"/>
            <w:noWrap/>
            <w:vAlign w:val="center"/>
          </w:tcPr>
          <w:p w14:paraId="1D9CBBFC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EF0B41" w:rsidRPr="007B7470" w14:paraId="696F45E4" w14:textId="77777777" w:rsidTr="00A11F6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76D432B5" w14:textId="77777777" w:rsidR="00EF0B41" w:rsidRPr="007B7470" w:rsidRDefault="00EF0B41" w:rsidP="00EF0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360" w:type="dxa"/>
            <w:noWrap/>
            <w:vAlign w:val="center"/>
          </w:tcPr>
          <w:p w14:paraId="45AA4D67" w14:textId="10F29E2F" w:rsidR="00EF0B41" w:rsidRPr="00EF0B41" w:rsidRDefault="00EF0B41" w:rsidP="00EF0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48 601 755</w:t>
            </w:r>
          </w:p>
        </w:tc>
        <w:tc>
          <w:tcPr>
            <w:tcW w:w="1267" w:type="dxa"/>
            <w:noWrap/>
            <w:vAlign w:val="center"/>
          </w:tcPr>
          <w:p w14:paraId="316847CE" w14:textId="08480996" w:rsidR="00EF0B41" w:rsidRPr="00EF0B41" w:rsidRDefault="00EF0B41" w:rsidP="00EF0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99 440 025</w:t>
            </w:r>
          </w:p>
        </w:tc>
        <w:tc>
          <w:tcPr>
            <w:tcW w:w="1354" w:type="dxa"/>
            <w:noWrap/>
            <w:vAlign w:val="center"/>
          </w:tcPr>
          <w:p w14:paraId="08976615" w14:textId="3BB970F3" w:rsidR="00EF0B41" w:rsidRPr="00EF0B41" w:rsidRDefault="00EF0B41" w:rsidP="00EF0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101 130 506</w:t>
            </w:r>
          </w:p>
        </w:tc>
        <w:tc>
          <w:tcPr>
            <w:tcW w:w="1592" w:type="dxa"/>
            <w:noWrap/>
            <w:vAlign w:val="center"/>
          </w:tcPr>
          <w:p w14:paraId="3333E89B" w14:textId="1F406FE2" w:rsidR="00EF0B41" w:rsidRPr="00EF0B41" w:rsidRDefault="00EF0B41" w:rsidP="00EF0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102 950 855</w:t>
            </w:r>
          </w:p>
        </w:tc>
      </w:tr>
      <w:tr w:rsidR="00EF0B41" w:rsidRPr="007B7470" w14:paraId="4F3CFA28" w14:textId="77777777" w:rsidTr="00A11F6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CD935E2" w14:textId="35D532D5" w:rsidR="00EF0B41" w:rsidRPr="007B7470" w:rsidRDefault="00EF0B41" w:rsidP="00EF0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Národná diaľničná spoločnosť, a. s.</w:t>
            </w:r>
          </w:p>
        </w:tc>
        <w:tc>
          <w:tcPr>
            <w:tcW w:w="1360" w:type="dxa"/>
            <w:noWrap/>
            <w:vAlign w:val="center"/>
          </w:tcPr>
          <w:p w14:paraId="63F51B2E" w14:textId="483A138F" w:rsidR="00EF0B41" w:rsidRPr="00EF0B41" w:rsidRDefault="00EF0B41" w:rsidP="00EF0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48 601 755</w:t>
            </w:r>
          </w:p>
        </w:tc>
        <w:tc>
          <w:tcPr>
            <w:tcW w:w="1267" w:type="dxa"/>
            <w:noWrap/>
            <w:vAlign w:val="center"/>
          </w:tcPr>
          <w:p w14:paraId="4D20AC1F" w14:textId="247E5B9E" w:rsidR="00EF0B41" w:rsidRPr="00EF0B41" w:rsidRDefault="00EF0B41" w:rsidP="00EF0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99 440 025</w:t>
            </w:r>
          </w:p>
        </w:tc>
        <w:tc>
          <w:tcPr>
            <w:tcW w:w="1354" w:type="dxa"/>
            <w:noWrap/>
            <w:vAlign w:val="center"/>
          </w:tcPr>
          <w:p w14:paraId="7977F720" w14:textId="7E1A5E6C" w:rsidR="00EF0B41" w:rsidRPr="00EF0B41" w:rsidRDefault="00EF0B41" w:rsidP="00EF0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101 130 506</w:t>
            </w:r>
          </w:p>
        </w:tc>
        <w:tc>
          <w:tcPr>
            <w:tcW w:w="1592" w:type="dxa"/>
            <w:noWrap/>
            <w:vAlign w:val="center"/>
          </w:tcPr>
          <w:p w14:paraId="0A508CFA" w14:textId="2E23163A" w:rsidR="00EF0B41" w:rsidRPr="00EF0B41" w:rsidRDefault="00EF0B41" w:rsidP="00EF0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102 950 855</w:t>
            </w:r>
          </w:p>
        </w:tc>
      </w:tr>
      <w:tr w:rsidR="00EF0B41" w:rsidRPr="007B7470" w14:paraId="7544E90F" w14:textId="77777777" w:rsidTr="00A11F63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7155B83B" w14:textId="77777777" w:rsidR="00EF0B41" w:rsidRPr="007B7470" w:rsidRDefault="00EF0B41" w:rsidP="00EF0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360" w:type="dxa"/>
            <w:shd w:val="clear" w:color="auto" w:fill="C0C0C0"/>
            <w:noWrap/>
            <w:vAlign w:val="center"/>
          </w:tcPr>
          <w:p w14:paraId="00899843" w14:textId="6DCF7156" w:rsidR="00EF0B41" w:rsidRPr="00EF0B41" w:rsidRDefault="00EF0B41" w:rsidP="00EF0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48 601 755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39A2FA50" w14:textId="5149CAC3" w:rsidR="00EF0B41" w:rsidRPr="00EF0B41" w:rsidRDefault="00EF0B41" w:rsidP="00EF0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99 440 025</w:t>
            </w:r>
          </w:p>
        </w:tc>
        <w:tc>
          <w:tcPr>
            <w:tcW w:w="1354" w:type="dxa"/>
            <w:shd w:val="clear" w:color="auto" w:fill="C0C0C0"/>
            <w:noWrap/>
            <w:vAlign w:val="center"/>
          </w:tcPr>
          <w:p w14:paraId="3C699CD7" w14:textId="5D8DAE09" w:rsidR="00EF0B41" w:rsidRPr="00EF0B41" w:rsidRDefault="00EF0B41" w:rsidP="00EF0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101 130 506</w:t>
            </w:r>
          </w:p>
        </w:tc>
        <w:tc>
          <w:tcPr>
            <w:tcW w:w="1592" w:type="dxa"/>
            <w:shd w:val="clear" w:color="auto" w:fill="C0C0C0"/>
            <w:noWrap/>
            <w:vAlign w:val="center"/>
          </w:tcPr>
          <w:p w14:paraId="3AB2B7E0" w14:textId="577D7003" w:rsidR="00EF0B41" w:rsidRPr="00EF0B41" w:rsidRDefault="00EF0B41" w:rsidP="00EF0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102 950 855</w:t>
            </w:r>
          </w:p>
        </w:tc>
      </w:tr>
      <w:tr w:rsidR="00EF0B41" w:rsidRPr="007B7470" w14:paraId="3FD47394" w14:textId="77777777" w:rsidTr="00A11F6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FADD8BC" w14:textId="7264EBF1" w:rsidR="00EF0B41" w:rsidRPr="007B7470" w:rsidRDefault="00EF0B41" w:rsidP="00EF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Národná diaľničná spoločnosť, a. s.</w:t>
            </w:r>
          </w:p>
        </w:tc>
        <w:tc>
          <w:tcPr>
            <w:tcW w:w="1360" w:type="dxa"/>
            <w:noWrap/>
            <w:vAlign w:val="center"/>
          </w:tcPr>
          <w:p w14:paraId="7B60A0E6" w14:textId="3C0F98C6" w:rsidR="00EF0B41" w:rsidRPr="00EF0B41" w:rsidRDefault="00EF0B41" w:rsidP="00EF0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48 601 755</w:t>
            </w:r>
          </w:p>
        </w:tc>
        <w:tc>
          <w:tcPr>
            <w:tcW w:w="1267" w:type="dxa"/>
            <w:noWrap/>
            <w:vAlign w:val="center"/>
          </w:tcPr>
          <w:p w14:paraId="45099A74" w14:textId="0961F1F1" w:rsidR="00EF0B41" w:rsidRPr="00EF0B41" w:rsidRDefault="00EF0B41" w:rsidP="00EF0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99 440 025</w:t>
            </w:r>
          </w:p>
        </w:tc>
        <w:tc>
          <w:tcPr>
            <w:tcW w:w="1354" w:type="dxa"/>
            <w:noWrap/>
            <w:vAlign w:val="center"/>
          </w:tcPr>
          <w:p w14:paraId="1C773A92" w14:textId="6CEE0B17" w:rsidR="00EF0B41" w:rsidRPr="00EF0B41" w:rsidRDefault="00EF0B41" w:rsidP="00EF0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101 130 506</w:t>
            </w:r>
          </w:p>
        </w:tc>
        <w:tc>
          <w:tcPr>
            <w:tcW w:w="1592" w:type="dxa"/>
            <w:noWrap/>
            <w:vAlign w:val="center"/>
          </w:tcPr>
          <w:p w14:paraId="250EB221" w14:textId="449E643F" w:rsidR="00EF0B41" w:rsidRPr="00EF0B41" w:rsidRDefault="00EF0B41" w:rsidP="00EF0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102 950 855</w:t>
            </w:r>
          </w:p>
        </w:tc>
      </w:tr>
      <w:tr w:rsidR="0091683B" w:rsidRPr="007B7470" w14:paraId="291F25EC" w14:textId="77777777" w:rsidTr="00A11F6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951BCF7" w14:textId="0CEE894B" w:rsidR="0091683B" w:rsidRPr="007B7470" w:rsidRDefault="0091683B" w:rsidP="00EF0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tom FR SR</w:t>
            </w:r>
          </w:p>
        </w:tc>
        <w:tc>
          <w:tcPr>
            <w:tcW w:w="1360" w:type="dxa"/>
            <w:noWrap/>
            <w:vAlign w:val="center"/>
          </w:tcPr>
          <w:p w14:paraId="2FCB2E37" w14:textId="787644AC" w:rsidR="0091683B" w:rsidRPr="00EF0B41" w:rsidRDefault="0091683B" w:rsidP="00EF0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250 000</w:t>
            </w:r>
          </w:p>
        </w:tc>
        <w:tc>
          <w:tcPr>
            <w:tcW w:w="1267" w:type="dxa"/>
            <w:noWrap/>
            <w:vAlign w:val="center"/>
          </w:tcPr>
          <w:p w14:paraId="20B8CFB2" w14:textId="697AEC08" w:rsidR="0091683B" w:rsidRPr="00EF0B41" w:rsidRDefault="0091683B" w:rsidP="00EF0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54" w:type="dxa"/>
            <w:noWrap/>
            <w:vAlign w:val="center"/>
          </w:tcPr>
          <w:p w14:paraId="6D049FBA" w14:textId="3E28B469" w:rsidR="0091683B" w:rsidRPr="00EF0B41" w:rsidRDefault="0091683B" w:rsidP="00EF0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92" w:type="dxa"/>
            <w:noWrap/>
            <w:vAlign w:val="center"/>
          </w:tcPr>
          <w:p w14:paraId="65708805" w14:textId="50C59C3B" w:rsidR="0091683B" w:rsidRPr="00EF0B41" w:rsidRDefault="0091683B" w:rsidP="00EF0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</w:tr>
      <w:tr w:rsidR="001B6536" w:rsidRPr="007B7470" w14:paraId="1E911940" w14:textId="77777777" w:rsidTr="00A11F6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462DB91" w14:textId="77777777" w:rsidR="001B6536" w:rsidRPr="007B7470" w:rsidRDefault="001B6536" w:rsidP="001B6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360" w:type="dxa"/>
            <w:noWrap/>
            <w:vAlign w:val="center"/>
          </w:tcPr>
          <w:p w14:paraId="6F8E2B9B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3C2BC2A9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354" w:type="dxa"/>
            <w:noWrap/>
            <w:vAlign w:val="center"/>
          </w:tcPr>
          <w:p w14:paraId="75D78FDA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592" w:type="dxa"/>
            <w:noWrap/>
            <w:vAlign w:val="center"/>
          </w:tcPr>
          <w:p w14:paraId="69B6A2D1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1B6536" w:rsidRPr="007B7470" w14:paraId="2C93008C" w14:textId="77777777" w:rsidTr="00A11F6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F826040" w14:textId="77777777" w:rsidR="001B6536" w:rsidRPr="007B7470" w:rsidRDefault="001B6536" w:rsidP="001B6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360" w:type="dxa"/>
            <w:noWrap/>
            <w:vAlign w:val="center"/>
          </w:tcPr>
          <w:p w14:paraId="07B35357" w14:textId="48F03646" w:rsidR="001B6536" w:rsidRPr="007B7470" w:rsidRDefault="0091683B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250 000</w:t>
            </w:r>
          </w:p>
        </w:tc>
        <w:tc>
          <w:tcPr>
            <w:tcW w:w="1267" w:type="dxa"/>
            <w:noWrap/>
            <w:vAlign w:val="center"/>
          </w:tcPr>
          <w:p w14:paraId="0590ED27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54" w:type="dxa"/>
            <w:noWrap/>
            <w:vAlign w:val="center"/>
          </w:tcPr>
          <w:p w14:paraId="23E69BA8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92" w:type="dxa"/>
            <w:noWrap/>
            <w:vAlign w:val="center"/>
          </w:tcPr>
          <w:p w14:paraId="60EE2F21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B6536" w:rsidRPr="007B7470" w14:paraId="4661A43C" w14:textId="77777777" w:rsidTr="00A11F6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E88C27E" w14:textId="77777777" w:rsidR="001B6536" w:rsidRPr="007B7470" w:rsidRDefault="001B6536" w:rsidP="001B6536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360" w:type="dxa"/>
            <w:noWrap/>
            <w:vAlign w:val="center"/>
          </w:tcPr>
          <w:p w14:paraId="7F9A281F" w14:textId="425EE5E9" w:rsidR="001B6536" w:rsidRPr="00032B44" w:rsidRDefault="0091683B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032B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250 000</w:t>
            </w:r>
          </w:p>
        </w:tc>
        <w:tc>
          <w:tcPr>
            <w:tcW w:w="1267" w:type="dxa"/>
            <w:noWrap/>
            <w:vAlign w:val="center"/>
          </w:tcPr>
          <w:p w14:paraId="580230FC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54" w:type="dxa"/>
            <w:noWrap/>
            <w:vAlign w:val="center"/>
          </w:tcPr>
          <w:p w14:paraId="671E19F9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92" w:type="dxa"/>
            <w:noWrap/>
            <w:vAlign w:val="center"/>
          </w:tcPr>
          <w:p w14:paraId="08D74AEA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B6536" w:rsidRPr="007B7470" w14:paraId="449E85B9" w14:textId="77777777" w:rsidTr="00A11F6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AE6789A" w14:textId="77777777" w:rsidR="001B6536" w:rsidRPr="007B7470" w:rsidRDefault="001B6536" w:rsidP="001B6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360" w:type="dxa"/>
            <w:noWrap/>
            <w:vAlign w:val="center"/>
          </w:tcPr>
          <w:p w14:paraId="66AD6783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568F5F1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54" w:type="dxa"/>
            <w:noWrap/>
            <w:vAlign w:val="center"/>
          </w:tcPr>
          <w:p w14:paraId="46AFE0DD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92" w:type="dxa"/>
            <w:noWrap/>
            <w:vAlign w:val="center"/>
          </w:tcPr>
          <w:p w14:paraId="64524E9B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1B6536" w:rsidRPr="007B7470" w14:paraId="711F5EAA" w14:textId="77777777" w:rsidTr="00A11F6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07CD5E3" w14:textId="77777777" w:rsidR="001B6536" w:rsidRPr="007B7470" w:rsidRDefault="001B6536" w:rsidP="001B6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360" w:type="dxa"/>
            <w:noWrap/>
            <w:vAlign w:val="center"/>
          </w:tcPr>
          <w:p w14:paraId="20262A7A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33848F5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54" w:type="dxa"/>
            <w:noWrap/>
            <w:vAlign w:val="center"/>
          </w:tcPr>
          <w:p w14:paraId="5153D983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92" w:type="dxa"/>
            <w:noWrap/>
            <w:vAlign w:val="center"/>
          </w:tcPr>
          <w:p w14:paraId="18CC4FD5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1B6536" w:rsidRPr="007B7470" w14:paraId="72AB0848" w14:textId="77777777" w:rsidTr="00A11F6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5B7F9A1D" w14:textId="77777777" w:rsidR="001B6536" w:rsidRPr="007B7470" w:rsidRDefault="001B6536" w:rsidP="001B6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360" w:type="dxa"/>
            <w:noWrap/>
            <w:vAlign w:val="center"/>
          </w:tcPr>
          <w:p w14:paraId="49483C33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33A5F6B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54" w:type="dxa"/>
            <w:noWrap/>
            <w:vAlign w:val="center"/>
          </w:tcPr>
          <w:p w14:paraId="216B857B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92" w:type="dxa"/>
            <w:noWrap/>
            <w:vAlign w:val="center"/>
          </w:tcPr>
          <w:p w14:paraId="34EC9208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B6536" w:rsidRPr="007B7470" w14:paraId="24594AB7" w14:textId="77777777" w:rsidTr="00A11F6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669A805" w14:textId="77777777" w:rsidR="001B6536" w:rsidRPr="007B7470" w:rsidRDefault="001B6536" w:rsidP="001B6536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z toho vplyv nových úloh v zmysle ods. 2 Čl. 6 ústavného zákona č. 493/2011 Z. z. </w:t>
            </w:r>
          </w:p>
          <w:p w14:paraId="3E5F9704" w14:textId="77777777" w:rsidR="001B6536" w:rsidRPr="007B7470" w:rsidRDefault="001B6536" w:rsidP="001B6536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360" w:type="dxa"/>
            <w:noWrap/>
            <w:vAlign w:val="center"/>
          </w:tcPr>
          <w:p w14:paraId="74314E11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28CC54F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54" w:type="dxa"/>
            <w:noWrap/>
            <w:vAlign w:val="center"/>
          </w:tcPr>
          <w:p w14:paraId="0D7A272B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92" w:type="dxa"/>
            <w:noWrap/>
            <w:vAlign w:val="center"/>
          </w:tcPr>
          <w:p w14:paraId="223D4A54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1B6536" w:rsidRPr="007B7470" w14:paraId="0E787362" w14:textId="77777777" w:rsidTr="00A11F6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10940BED" w14:textId="77777777" w:rsidR="001B6536" w:rsidRPr="007B7470" w:rsidRDefault="001B6536" w:rsidP="001B6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360" w:type="dxa"/>
            <w:noWrap/>
            <w:vAlign w:val="center"/>
          </w:tcPr>
          <w:p w14:paraId="1A9A347A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8DBFAB2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54" w:type="dxa"/>
            <w:noWrap/>
            <w:vAlign w:val="center"/>
          </w:tcPr>
          <w:p w14:paraId="1A2D585B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92" w:type="dxa"/>
            <w:noWrap/>
            <w:vAlign w:val="center"/>
          </w:tcPr>
          <w:p w14:paraId="58A35ECB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B6536" w:rsidRPr="007B7470" w14:paraId="02628AB8" w14:textId="77777777" w:rsidTr="007B454B">
        <w:trPr>
          <w:trHeight w:val="1217"/>
          <w:jc w:val="center"/>
        </w:trPr>
        <w:tc>
          <w:tcPr>
            <w:tcW w:w="4661" w:type="dxa"/>
            <w:noWrap/>
            <w:vAlign w:val="center"/>
          </w:tcPr>
          <w:p w14:paraId="3DEF1DB7" w14:textId="77777777" w:rsidR="001B6536" w:rsidRPr="007B7470" w:rsidRDefault="001B6536" w:rsidP="001B6536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z toho vplyv nových úloh v zmysle ods. 2 Čl. 6 ústavného zákona č. 493/2011 Z. z. </w:t>
            </w:r>
          </w:p>
          <w:p w14:paraId="1953C847" w14:textId="77777777" w:rsidR="001B6536" w:rsidRPr="007B7470" w:rsidRDefault="001B6536" w:rsidP="001B6536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360" w:type="dxa"/>
            <w:noWrap/>
            <w:vAlign w:val="center"/>
          </w:tcPr>
          <w:p w14:paraId="3E371A9E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304FC88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54" w:type="dxa"/>
            <w:noWrap/>
            <w:vAlign w:val="center"/>
          </w:tcPr>
          <w:p w14:paraId="5158E524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92" w:type="dxa"/>
            <w:noWrap/>
            <w:vAlign w:val="center"/>
          </w:tcPr>
          <w:p w14:paraId="5A5B79F5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EF0B41" w:rsidRPr="007B7470" w14:paraId="523292A1" w14:textId="77777777" w:rsidTr="00A11F6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97058BD" w14:textId="77777777" w:rsidR="00EF0B41" w:rsidRPr="007B7470" w:rsidRDefault="00EF0B41" w:rsidP="00EF0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360" w:type="dxa"/>
            <w:noWrap/>
            <w:vAlign w:val="center"/>
          </w:tcPr>
          <w:p w14:paraId="0608FE5E" w14:textId="43FF6DAC" w:rsidR="00EF0B41" w:rsidRPr="00EF0B41" w:rsidRDefault="00EF0B41" w:rsidP="00EF0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48 601 755</w:t>
            </w:r>
          </w:p>
        </w:tc>
        <w:tc>
          <w:tcPr>
            <w:tcW w:w="1267" w:type="dxa"/>
            <w:noWrap/>
            <w:vAlign w:val="center"/>
          </w:tcPr>
          <w:p w14:paraId="22130D01" w14:textId="7BEFED74" w:rsidR="00EF0B41" w:rsidRPr="00EF0B41" w:rsidRDefault="00EF0B41" w:rsidP="00EF0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99 440 025</w:t>
            </w:r>
          </w:p>
        </w:tc>
        <w:tc>
          <w:tcPr>
            <w:tcW w:w="1354" w:type="dxa"/>
            <w:noWrap/>
            <w:vAlign w:val="center"/>
          </w:tcPr>
          <w:p w14:paraId="4FE6A353" w14:textId="3AD05EE3" w:rsidR="00EF0B41" w:rsidRPr="00EF0B41" w:rsidRDefault="00EF0B41" w:rsidP="00EF0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101 130 506</w:t>
            </w:r>
          </w:p>
        </w:tc>
        <w:tc>
          <w:tcPr>
            <w:tcW w:w="1592" w:type="dxa"/>
            <w:noWrap/>
            <w:vAlign w:val="center"/>
          </w:tcPr>
          <w:p w14:paraId="5E147753" w14:textId="156C1200" w:rsidR="00EF0B41" w:rsidRPr="00EF0B41" w:rsidRDefault="00EF0B41" w:rsidP="00EF0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102 950 855</w:t>
            </w:r>
          </w:p>
        </w:tc>
      </w:tr>
      <w:tr w:rsidR="00EF0B41" w:rsidRPr="007B7470" w14:paraId="42D3515D" w14:textId="77777777" w:rsidTr="00A11F6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92FFE68" w14:textId="327B3B5E" w:rsidR="00EF0B41" w:rsidRPr="007B7470" w:rsidRDefault="00EF0B41" w:rsidP="00EF0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Národná diaľničná spoločnosť, a. s.</w:t>
            </w:r>
          </w:p>
        </w:tc>
        <w:tc>
          <w:tcPr>
            <w:tcW w:w="1360" w:type="dxa"/>
            <w:noWrap/>
            <w:vAlign w:val="center"/>
          </w:tcPr>
          <w:p w14:paraId="413FC668" w14:textId="2FDED02C" w:rsidR="00EF0B41" w:rsidRPr="00635A61" w:rsidRDefault="00EF0B41" w:rsidP="00EF0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48 601 755</w:t>
            </w:r>
          </w:p>
        </w:tc>
        <w:tc>
          <w:tcPr>
            <w:tcW w:w="1267" w:type="dxa"/>
            <w:noWrap/>
            <w:vAlign w:val="center"/>
          </w:tcPr>
          <w:p w14:paraId="46AB498A" w14:textId="1608B56B" w:rsidR="00EF0B41" w:rsidRPr="00635A61" w:rsidRDefault="00EF0B41" w:rsidP="00EF0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99 440 025</w:t>
            </w:r>
          </w:p>
        </w:tc>
        <w:tc>
          <w:tcPr>
            <w:tcW w:w="1354" w:type="dxa"/>
            <w:noWrap/>
            <w:vAlign w:val="center"/>
          </w:tcPr>
          <w:p w14:paraId="34311118" w14:textId="7F92FDDC" w:rsidR="00EF0B41" w:rsidRPr="00635A61" w:rsidRDefault="00EF0B41" w:rsidP="00EF0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101 130 506</w:t>
            </w:r>
          </w:p>
        </w:tc>
        <w:tc>
          <w:tcPr>
            <w:tcW w:w="1592" w:type="dxa"/>
            <w:noWrap/>
            <w:vAlign w:val="center"/>
          </w:tcPr>
          <w:p w14:paraId="59699704" w14:textId="404A946C" w:rsidR="00EF0B41" w:rsidRPr="00635A61" w:rsidRDefault="00EF0B41" w:rsidP="00EF0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102 950 855</w:t>
            </w:r>
          </w:p>
        </w:tc>
      </w:tr>
      <w:tr w:rsidR="001B6536" w:rsidRPr="007B7470" w14:paraId="1CA22071" w14:textId="77777777" w:rsidTr="00A11F63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38717068" w14:textId="77777777" w:rsidR="001B6536" w:rsidRPr="007B7470" w:rsidRDefault="001B6536" w:rsidP="001B6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360" w:type="dxa"/>
            <w:shd w:val="clear" w:color="auto" w:fill="BFBFBF" w:themeFill="background1" w:themeFillShade="BF"/>
            <w:noWrap/>
            <w:vAlign w:val="center"/>
          </w:tcPr>
          <w:p w14:paraId="72F2174D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C74D6CA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54" w:type="dxa"/>
            <w:shd w:val="clear" w:color="auto" w:fill="BFBFBF" w:themeFill="background1" w:themeFillShade="BF"/>
            <w:noWrap/>
            <w:vAlign w:val="center"/>
          </w:tcPr>
          <w:p w14:paraId="3960D9ED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92" w:type="dxa"/>
            <w:shd w:val="clear" w:color="auto" w:fill="BFBFBF" w:themeFill="background1" w:themeFillShade="BF"/>
            <w:noWrap/>
            <w:vAlign w:val="center"/>
          </w:tcPr>
          <w:p w14:paraId="53952B11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1B6536" w:rsidRPr="007B7470" w14:paraId="5E77952B" w14:textId="77777777" w:rsidTr="00A11F6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2C34CCB" w14:textId="77777777" w:rsidR="001B6536" w:rsidRPr="007B7470" w:rsidRDefault="001B6536" w:rsidP="001B6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360" w:type="dxa"/>
            <w:noWrap/>
            <w:vAlign w:val="center"/>
          </w:tcPr>
          <w:p w14:paraId="6965D4FF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2A91EE5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54" w:type="dxa"/>
            <w:noWrap/>
            <w:vAlign w:val="center"/>
          </w:tcPr>
          <w:p w14:paraId="2D12EC04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92" w:type="dxa"/>
            <w:noWrap/>
            <w:vAlign w:val="center"/>
          </w:tcPr>
          <w:p w14:paraId="49F53178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B6536" w:rsidRPr="007B7470" w14:paraId="46178382" w14:textId="77777777" w:rsidTr="00A11F6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CA284E3" w14:textId="77777777" w:rsidR="001B6536" w:rsidRPr="007B7470" w:rsidRDefault="001B6536" w:rsidP="001B6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360" w:type="dxa"/>
            <w:noWrap/>
            <w:vAlign w:val="center"/>
          </w:tcPr>
          <w:p w14:paraId="71D0D260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323ABE0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54" w:type="dxa"/>
            <w:noWrap/>
            <w:vAlign w:val="center"/>
          </w:tcPr>
          <w:p w14:paraId="3A85AC15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92" w:type="dxa"/>
            <w:noWrap/>
            <w:vAlign w:val="center"/>
          </w:tcPr>
          <w:p w14:paraId="35277746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B6536" w:rsidRPr="007B7470" w14:paraId="6DD9828E" w14:textId="77777777" w:rsidTr="00A11F6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F1CEC38" w14:textId="77777777" w:rsidR="001B6536" w:rsidRPr="007B7470" w:rsidRDefault="001B6536" w:rsidP="001B6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360" w:type="dxa"/>
            <w:noWrap/>
            <w:vAlign w:val="center"/>
          </w:tcPr>
          <w:p w14:paraId="639ED996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00E4700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54" w:type="dxa"/>
            <w:noWrap/>
            <w:vAlign w:val="center"/>
          </w:tcPr>
          <w:p w14:paraId="1EC6C057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92" w:type="dxa"/>
            <w:noWrap/>
            <w:vAlign w:val="center"/>
          </w:tcPr>
          <w:p w14:paraId="49CD8E50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B6536" w:rsidRPr="007B7470" w14:paraId="2F9B1ED0" w14:textId="77777777" w:rsidTr="00A11F6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C726637" w14:textId="77777777" w:rsidR="001B6536" w:rsidRPr="007B7470" w:rsidRDefault="001B6536" w:rsidP="001B6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360" w:type="dxa"/>
            <w:noWrap/>
            <w:vAlign w:val="center"/>
          </w:tcPr>
          <w:p w14:paraId="5BC823B8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80F3E95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54" w:type="dxa"/>
            <w:noWrap/>
            <w:vAlign w:val="center"/>
          </w:tcPr>
          <w:p w14:paraId="6BE0B3D1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92" w:type="dxa"/>
            <w:noWrap/>
            <w:vAlign w:val="center"/>
          </w:tcPr>
          <w:p w14:paraId="265F4307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B6536" w:rsidRPr="007B7470" w14:paraId="49FFB813" w14:textId="77777777" w:rsidTr="00A11F63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6CF9DF09" w14:textId="77777777" w:rsidR="001B6536" w:rsidRPr="007B7470" w:rsidRDefault="001B6536" w:rsidP="001B6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360" w:type="dxa"/>
            <w:shd w:val="clear" w:color="auto" w:fill="BFBFBF" w:themeFill="background1" w:themeFillShade="BF"/>
            <w:noWrap/>
            <w:vAlign w:val="center"/>
          </w:tcPr>
          <w:p w14:paraId="48EE556E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7A502BDB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54" w:type="dxa"/>
            <w:shd w:val="clear" w:color="auto" w:fill="BFBFBF" w:themeFill="background1" w:themeFillShade="BF"/>
            <w:noWrap/>
            <w:vAlign w:val="center"/>
          </w:tcPr>
          <w:p w14:paraId="70AF7B06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92" w:type="dxa"/>
            <w:shd w:val="clear" w:color="auto" w:fill="BFBFBF" w:themeFill="background1" w:themeFillShade="BF"/>
            <w:noWrap/>
            <w:vAlign w:val="center"/>
          </w:tcPr>
          <w:p w14:paraId="170F88CC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1B6536" w:rsidRPr="007B7470" w14:paraId="1AB18B7C" w14:textId="77777777" w:rsidTr="00A11F6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245930E" w14:textId="77777777" w:rsidR="001B6536" w:rsidRPr="007B7470" w:rsidRDefault="001B6536" w:rsidP="001B6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360" w:type="dxa"/>
            <w:noWrap/>
            <w:vAlign w:val="center"/>
          </w:tcPr>
          <w:p w14:paraId="72277E56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026ABFD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54" w:type="dxa"/>
            <w:noWrap/>
            <w:vAlign w:val="center"/>
          </w:tcPr>
          <w:p w14:paraId="16A107C4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92" w:type="dxa"/>
            <w:noWrap/>
            <w:vAlign w:val="center"/>
          </w:tcPr>
          <w:p w14:paraId="3AB3B19C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B6536" w:rsidRPr="007B7470" w14:paraId="4B9E7C39" w14:textId="77777777" w:rsidTr="00A11F6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840D769" w14:textId="77777777" w:rsidR="001B6536" w:rsidRPr="007B7470" w:rsidRDefault="001B6536" w:rsidP="001B6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360" w:type="dxa"/>
            <w:noWrap/>
            <w:vAlign w:val="center"/>
          </w:tcPr>
          <w:p w14:paraId="5A9495EF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148D3E9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54" w:type="dxa"/>
            <w:noWrap/>
            <w:vAlign w:val="center"/>
          </w:tcPr>
          <w:p w14:paraId="31F63C34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92" w:type="dxa"/>
            <w:noWrap/>
            <w:vAlign w:val="center"/>
          </w:tcPr>
          <w:p w14:paraId="4E707753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B6536" w:rsidRPr="007B7470" w14:paraId="19D692FB" w14:textId="77777777" w:rsidTr="00A11F6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A108514" w14:textId="77777777" w:rsidR="001B6536" w:rsidRPr="007B7470" w:rsidRDefault="001B6536" w:rsidP="001B6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360" w:type="dxa"/>
            <w:noWrap/>
            <w:vAlign w:val="center"/>
          </w:tcPr>
          <w:p w14:paraId="06CE191A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BA59CD7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54" w:type="dxa"/>
            <w:noWrap/>
            <w:vAlign w:val="center"/>
          </w:tcPr>
          <w:p w14:paraId="0B7EA5E5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92" w:type="dxa"/>
            <w:noWrap/>
            <w:vAlign w:val="center"/>
          </w:tcPr>
          <w:p w14:paraId="14AF081A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B6536" w:rsidRPr="007B7470" w14:paraId="63AA4497" w14:textId="77777777" w:rsidTr="00A11F6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7D1703D" w14:textId="77777777" w:rsidR="001B6536" w:rsidRPr="007B7470" w:rsidRDefault="001B6536" w:rsidP="001B6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360" w:type="dxa"/>
            <w:noWrap/>
            <w:vAlign w:val="center"/>
          </w:tcPr>
          <w:p w14:paraId="18CBB1D3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971A113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54" w:type="dxa"/>
            <w:noWrap/>
            <w:vAlign w:val="center"/>
          </w:tcPr>
          <w:p w14:paraId="773D434B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92" w:type="dxa"/>
            <w:noWrap/>
            <w:vAlign w:val="center"/>
          </w:tcPr>
          <w:p w14:paraId="044B9BF2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1B6536" w:rsidRPr="007B7470" w14:paraId="78A7244D" w14:textId="77777777" w:rsidTr="00A11F63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16163F1B" w14:textId="77777777" w:rsidR="001B6536" w:rsidRPr="007B7470" w:rsidRDefault="001B6536" w:rsidP="001B6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360" w:type="dxa"/>
            <w:shd w:val="clear" w:color="auto" w:fill="C0C0C0"/>
            <w:noWrap/>
            <w:vAlign w:val="center"/>
          </w:tcPr>
          <w:p w14:paraId="6E7FB803" w14:textId="4DA6E440" w:rsidR="001B6536" w:rsidRPr="007B7470" w:rsidRDefault="0091683B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250 000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34C336B0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54" w:type="dxa"/>
            <w:shd w:val="clear" w:color="auto" w:fill="C0C0C0"/>
            <w:noWrap/>
            <w:vAlign w:val="center"/>
          </w:tcPr>
          <w:p w14:paraId="4015D17C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92" w:type="dxa"/>
            <w:shd w:val="clear" w:color="auto" w:fill="C0C0C0"/>
            <w:noWrap/>
            <w:vAlign w:val="center"/>
          </w:tcPr>
          <w:p w14:paraId="201249D5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1B6536" w:rsidRPr="007B7470" w14:paraId="488AF98F" w14:textId="77777777" w:rsidTr="00A11F6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F289974" w14:textId="4C82248E" w:rsidR="001B6536" w:rsidRPr="007B7470" w:rsidRDefault="001B6536" w:rsidP="001B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v tom: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Národná diaľničná spoločnosť, a.</w:t>
            </w:r>
            <w:r w:rsidR="006B6F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s.</w:t>
            </w:r>
          </w:p>
        </w:tc>
        <w:tc>
          <w:tcPr>
            <w:tcW w:w="1360" w:type="dxa"/>
            <w:noWrap/>
            <w:vAlign w:val="center"/>
          </w:tcPr>
          <w:p w14:paraId="1393DE2C" w14:textId="194DAF69" w:rsidR="001B6536" w:rsidRPr="001B6536" w:rsidRDefault="00017A81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ABEE819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54" w:type="dxa"/>
            <w:noWrap/>
            <w:vAlign w:val="center"/>
          </w:tcPr>
          <w:p w14:paraId="78DABDB4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92" w:type="dxa"/>
            <w:noWrap/>
            <w:vAlign w:val="center"/>
          </w:tcPr>
          <w:p w14:paraId="7AAC8C30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E1762B" w:rsidRPr="007B7470" w14:paraId="58D782F9" w14:textId="77777777" w:rsidTr="00A11F6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6AEE7D0" w14:textId="3579FCB5" w:rsidR="00E1762B" w:rsidRPr="007B7470" w:rsidRDefault="00E1762B" w:rsidP="001B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tom: MF SR</w:t>
            </w:r>
          </w:p>
        </w:tc>
        <w:tc>
          <w:tcPr>
            <w:tcW w:w="1360" w:type="dxa"/>
            <w:noWrap/>
            <w:vAlign w:val="center"/>
          </w:tcPr>
          <w:p w14:paraId="7EFFCFBB" w14:textId="5D8549AA" w:rsidR="00E1762B" w:rsidRDefault="00E1762B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250 000</w:t>
            </w:r>
          </w:p>
        </w:tc>
        <w:tc>
          <w:tcPr>
            <w:tcW w:w="1267" w:type="dxa"/>
            <w:noWrap/>
            <w:vAlign w:val="center"/>
          </w:tcPr>
          <w:p w14:paraId="36D134FA" w14:textId="77777777" w:rsidR="00E1762B" w:rsidRPr="007B7470" w:rsidRDefault="00E1762B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54" w:type="dxa"/>
            <w:noWrap/>
            <w:vAlign w:val="center"/>
          </w:tcPr>
          <w:p w14:paraId="12EA3C9B" w14:textId="77777777" w:rsidR="00E1762B" w:rsidRPr="007B7470" w:rsidRDefault="00E1762B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92" w:type="dxa"/>
            <w:noWrap/>
            <w:vAlign w:val="center"/>
          </w:tcPr>
          <w:p w14:paraId="3F23BB5C" w14:textId="77777777" w:rsidR="00E1762B" w:rsidRPr="007B7470" w:rsidRDefault="00E1762B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B6536" w:rsidRPr="007B7470" w14:paraId="715DB6C5" w14:textId="77777777" w:rsidTr="00A11F63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1694C0FD" w14:textId="77777777" w:rsidR="001B6536" w:rsidRPr="007B7470" w:rsidRDefault="001B6536" w:rsidP="001B6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360" w:type="dxa"/>
            <w:shd w:val="clear" w:color="auto" w:fill="BFBFBF" w:themeFill="background1" w:themeFillShade="BF"/>
            <w:noWrap/>
            <w:vAlign w:val="center"/>
          </w:tcPr>
          <w:p w14:paraId="63BC5BD0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4C1B135A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54" w:type="dxa"/>
            <w:shd w:val="clear" w:color="auto" w:fill="BFBFBF" w:themeFill="background1" w:themeFillShade="BF"/>
            <w:noWrap/>
            <w:vAlign w:val="center"/>
          </w:tcPr>
          <w:p w14:paraId="45C246E6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92" w:type="dxa"/>
            <w:shd w:val="clear" w:color="auto" w:fill="BFBFBF" w:themeFill="background1" w:themeFillShade="BF"/>
            <w:noWrap/>
            <w:vAlign w:val="center"/>
          </w:tcPr>
          <w:p w14:paraId="4926D247" w14:textId="77777777" w:rsidR="001B6536" w:rsidRPr="007B7470" w:rsidRDefault="001B6536" w:rsidP="001B6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A11F63" w:rsidRPr="007B7470" w14:paraId="18BD1BD6" w14:textId="77777777" w:rsidTr="00A11F63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14:paraId="3339A09F" w14:textId="77777777" w:rsidR="00A11F63" w:rsidRPr="007B7470" w:rsidRDefault="00A11F63" w:rsidP="00A11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360" w:type="dxa"/>
            <w:shd w:val="clear" w:color="auto" w:fill="A6A6A6" w:themeFill="background1" w:themeFillShade="A6"/>
            <w:noWrap/>
            <w:vAlign w:val="center"/>
          </w:tcPr>
          <w:p w14:paraId="44D3D3BF" w14:textId="16FD6431" w:rsidR="00A11F63" w:rsidRPr="00635A61" w:rsidRDefault="00A11F63" w:rsidP="00A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48 601 755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0D6F1404" w14:textId="73D94167" w:rsidR="00A11F63" w:rsidRPr="00635A61" w:rsidRDefault="00A11F63" w:rsidP="00A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99 440 025</w:t>
            </w:r>
          </w:p>
        </w:tc>
        <w:tc>
          <w:tcPr>
            <w:tcW w:w="1354" w:type="dxa"/>
            <w:shd w:val="clear" w:color="auto" w:fill="A6A6A6" w:themeFill="background1" w:themeFillShade="A6"/>
            <w:noWrap/>
            <w:vAlign w:val="center"/>
          </w:tcPr>
          <w:p w14:paraId="795F97D2" w14:textId="7963319A" w:rsidR="00A11F63" w:rsidRPr="00635A61" w:rsidRDefault="00A11F63" w:rsidP="00A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101 130 506</w:t>
            </w:r>
          </w:p>
        </w:tc>
        <w:tc>
          <w:tcPr>
            <w:tcW w:w="1592" w:type="dxa"/>
            <w:shd w:val="clear" w:color="auto" w:fill="A6A6A6" w:themeFill="background1" w:themeFillShade="A6"/>
            <w:noWrap/>
            <w:vAlign w:val="center"/>
          </w:tcPr>
          <w:p w14:paraId="6350403C" w14:textId="63D7A547" w:rsidR="00A11F63" w:rsidRPr="00635A61" w:rsidRDefault="00A11F63" w:rsidP="00A1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102 950 855</w:t>
            </w:r>
          </w:p>
        </w:tc>
      </w:tr>
    </w:tbl>
    <w:bookmarkEnd w:id="0"/>
    <w:p w14:paraId="29E192A5" w14:textId="77777777" w:rsidR="001F624A" w:rsidRPr="007B7470" w:rsidRDefault="001C721D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Tabuľka č. 1/B</w:t>
      </w:r>
    </w:p>
    <w:tbl>
      <w:tblPr>
        <w:tblW w:w="1006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1134"/>
        <w:gridCol w:w="1417"/>
        <w:gridCol w:w="1418"/>
        <w:gridCol w:w="1275"/>
      </w:tblGrid>
      <w:tr w:rsidR="001C721D" w:rsidRPr="007B7470" w14:paraId="13AC3E8C" w14:textId="77777777" w:rsidTr="00965CE0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DC39CBB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4609523" w14:textId="77777777" w:rsidR="001C721D" w:rsidRPr="007B7470" w:rsidRDefault="001B6536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8464C6F" w14:textId="77777777" w:rsidR="001C721D" w:rsidRPr="007B7470" w:rsidRDefault="001B6536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BEF2DAA" w14:textId="77777777" w:rsidR="001C721D" w:rsidRPr="007B7470" w:rsidRDefault="001B6536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1B7CFD0" w14:textId="77777777" w:rsidR="001C721D" w:rsidRPr="007B7470" w:rsidRDefault="001B6536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2028</w:t>
            </w:r>
          </w:p>
        </w:tc>
      </w:tr>
      <w:tr w:rsidR="0063036B" w:rsidRPr="007B7470" w14:paraId="53A0C6F9" w14:textId="77777777" w:rsidTr="00965CE0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1E84E7C" w14:textId="77777777" w:rsidR="0063036B" w:rsidRPr="007B7470" w:rsidRDefault="0063036B" w:rsidP="00630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Vplyvy na limit verejných výdavkov verejnej správy celkom (v metodike ESA 2010)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CBC7" w14:textId="63F1BD95" w:rsidR="0063036B" w:rsidRPr="00965CE0" w:rsidRDefault="0063036B" w:rsidP="0063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965C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k-SK"/>
              </w:rPr>
              <w:t>48 601 755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7E3E" w14:textId="2861A733" w:rsidR="0063036B" w:rsidRPr="00965CE0" w:rsidRDefault="0063036B" w:rsidP="0063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965C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k-SK"/>
              </w:rPr>
              <w:t>99 440 025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C80D" w14:textId="6223ADB9" w:rsidR="0063036B" w:rsidRPr="00965CE0" w:rsidRDefault="0063036B" w:rsidP="0063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965C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k-SK"/>
              </w:rPr>
              <w:t>101 130 506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3EB0" w14:textId="7A9B4903" w:rsidR="0063036B" w:rsidRPr="00965CE0" w:rsidRDefault="0063036B" w:rsidP="0063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sk-SK"/>
              </w:rPr>
            </w:pPr>
            <w:r w:rsidRPr="00965C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k-SK"/>
              </w:rPr>
              <w:t>102 950 855</w:t>
            </w:r>
          </w:p>
        </w:tc>
      </w:tr>
      <w:tr w:rsidR="0063036B" w:rsidRPr="007B7470" w14:paraId="269A15F4" w14:textId="77777777" w:rsidTr="00965CE0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9FE118D" w14:textId="32B444C2" w:rsidR="0063036B" w:rsidRPr="007B7470" w:rsidRDefault="0063036B" w:rsidP="0063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 xml:space="preserve">v tom: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NDS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38ED" w14:textId="124FC792" w:rsidR="0063036B" w:rsidRPr="00965CE0" w:rsidRDefault="0063036B" w:rsidP="0063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965CE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sk-SK"/>
              </w:rPr>
              <w:t>48 601 755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8262" w14:textId="573F67BF" w:rsidR="0063036B" w:rsidRPr="00965CE0" w:rsidRDefault="0063036B" w:rsidP="0063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965CE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sk-SK"/>
              </w:rPr>
              <w:t>99 440 025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E2D7" w14:textId="4B3CC7BD" w:rsidR="0063036B" w:rsidRPr="00965CE0" w:rsidRDefault="0063036B" w:rsidP="0063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965CE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sk-SK"/>
              </w:rPr>
              <w:t>101 130 506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189D" w14:textId="03485842" w:rsidR="0063036B" w:rsidRPr="00965CE0" w:rsidRDefault="0063036B" w:rsidP="0063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965CE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sk-SK"/>
              </w:rPr>
              <w:t>102 950 855</w:t>
            </w:r>
          </w:p>
        </w:tc>
      </w:tr>
      <w:tr w:rsidR="001C721D" w:rsidRPr="007B7470" w14:paraId="785779A8" w14:textId="77777777" w:rsidTr="00965CE0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0490018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z toho: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5304" w14:textId="77777777" w:rsidR="001C721D" w:rsidRPr="00965CE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65C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8011" w14:textId="77777777" w:rsidR="001C721D" w:rsidRPr="00965CE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65C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FC8F" w14:textId="77777777" w:rsidR="001C721D" w:rsidRPr="00965CE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65C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D657" w14:textId="77777777" w:rsidR="001C721D" w:rsidRPr="00965CE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65CE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1C721D" w:rsidRPr="007B7470" w14:paraId="6EEB8582" w14:textId="77777777" w:rsidTr="00D96DD9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EE308C2" w14:textId="77777777" w:rsidR="001C721D" w:rsidRPr="007B7470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</w:t>
            </w:r>
            <w:r w:rsidR="00C64BDB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limit verejných výdavkov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 xml:space="preserve">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3D583" w14:textId="1B18EBB7" w:rsidR="001C721D" w:rsidRPr="00965CE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2F707" w14:textId="68A0CEB8" w:rsidR="001C721D" w:rsidRPr="00965CE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BABDF" w14:textId="78E5C4B6" w:rsidR="001C721D" w:rsidRPr="00965CE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D6C2B" w14:textId="34879AA7" w:rsidR="001C721D" w:rsidRPr="00965CE0" w:rsidRDefault="001C721D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</w:p>
        </w:tc>
      </w:tr>
      <w:tr w:rsidR="0063036B" w:rsidRPr="007B7470" w14:paraId="23A272B0" w14:textId="77777777" w:rsidTr="00965CE0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C6DCEE6" w14:textId="77777777" w:rsidR="0063036B" w:rsidRPr="007B7470" w:rsidRDefault="0063036B" w:rsidP="00630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ostatných subjekty verejnej správy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455D" w14:textId="2C3DC00B" w:rsidR="0063036B" w:rsidRPr="00965CE0" w:rsidRDefault="0063036B" w:rsidP="0063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965CE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sk-SK"/>
              </w:rPr>
              <w:t>48 601 755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EBA2" w14:textId="25EEEFCD" w:rsidR="0063036B" w:rsidRPr="00965CE0" w:rsidRDefault="0063036B" w:rsidP="0063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965CE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sk-SK"/>
              </w:rPr>
              <w:t>99 440 025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8096" w14:textId="6DFC69E4" w:rsidR="0063036B" w:rsidRPr="00965CE0" w:rsidRDefault="0063036B" w:rsidP="0063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965CE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sk-SK"/>
              </w:rPr>
              <w:t>101 130 506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F96C" w14:textId="07519424" w:rsidR="0063036B" w:rsidRPr="00965CE0" w:rsidRDefault="0063036B" w:rsidP="0063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sk-SK"/>
              </w:rPr>
            </w:pPr>
            <w:r w:rsidRPr="00965CE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sk-SK"/>
              </w:rPr>
              <w:t>102 950 855</w:t>
            </w:r>
          </w:p>
        </w:tc>
      </w:tr>
      <w:tr w:rsidR="002135D4" w:rsidRPr="007B7470" w14:paraId="3CADB0A0" w14:textId="77777777" w:rsidTr="00965CE0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A16843C" w14:textId="77777777" w:rsidR="002135D4" w:rsidRPr="007B7470" w:rsidRDefault="00C64BDB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ďalších súčastí rozpočtu verejnej správy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B169" w14:textId="77777777" w:rsidR="002135D4" w:rsidRPr="007B7470" w:rsidRDefault="002135D4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1EB26" w14:textId="77777777" w:rsidR="002135D4" w:rsidRPr="007B7470" w:rsidRDefault="002135D4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7011F" w14:textId="77777777" w:rsidR="002135D4" w:rsidRPr="007B7470" w:rsidRDefault="002135D4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2E6D1" w14:textId="77777777" w:rsidR="002135D4" w:rsidRPr="007B7470" w:rsidRDefault="002135D4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6E5DB5A6" w14:textId="77777777" w:rsidR="003F35B7" w:rsidRPr="007B7470" w:rsidRDefault="003F35B7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8E0C3C3" w14:textId="504EB623" w:rsidR="007D5748" w:rsidRPr="007B7470" w:rsidRDefault="007D5748" w:rsidP="00F87875">
      <w:pPr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14:paraId="73961B24" w14:textId="3370D1EC" w:rsidR="00E432B9" w:rsidRPr="00E432B9" w:rsidRDefault="00E432B9" w:rsidP="00E432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432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Návrhom sa znižuje objem rozpočtovaných príjmov v kapitole VPS</w:t>
      </w:r>
      <w:r w:rsidR="000B2331" w:rsidRPr="000B2331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</w:t>
      </w:r>
      <w:r w:rsidR="000B2331" w:rsidRPr="002B3726">
        <w:rPr>
          <w:rFonts w:ascii="Times New Roman" w:hAnsi="Times New Roman"/>
          <w:color w:val="000000" w:themeColor="text1"/>
          <w:sz w:val="24"/>
          <w:szCs w:val="24"/>
          <w:lang w:eastAsia="sk-SK"/>
        </w:rPr>
        <w:t>z dôvodu zníženia ročných sadzieb dane</w:t>
      </w:r>
      <w:r w:rsidR="0065198C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z motorových vozidiel</w:t>
      </w:r>
      <w:r w:rsidRPr="00E432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Očakáva sa tiež negatívny vplyv vyplývajúci z nákladov na implementáciu návrhu zákona prostredníctvom informačného systému Finančnej správy SR</w:t>
      </w:r>
      <w:r w:rsidR="009168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(IS FS – SD, DR SKEN a Portál FS, tlačivo daňového priznania)</w:t>
      </w:r>
      <w:r w:rsidRPr="00E432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ktorý bude rozpočtovo zabezpečený v rámci schválených limitov výdavkov verejnej správy.</w:t>
      </w:r>
      <w:r w:rsidR="009168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Úpravy informačných systémov (zmena sadzieb, vnútorné kontroly na elektronickom formulári</w:t>
      </w:r>
      <w:r w:rsidR="00E176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väzby n</w:t>
      </w:r>
      <w:r w:rsidR="009168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upravené riadky daňového priznania 2025) budú prebiehať na prelome rokov 2024 a 2025 s predpokladaným nasadením do produkcie v januári 2025, preto výdavok FR SR je z pohľadu potrieb financovania priradený do roka 2025. V súvislosti s </w:t>
      </w:r>
      <w:proofErr w:type="spellStart"/>
      <w:r w:rsidR="009168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predvypĺňaním</w:t>
      </w:r>
      <w:proofErr w:type="spellEnd"/>
      <w:r w:rsidR="009168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daňového priznania za zdaňovacie obdobie roka 2025 (zasielané daňovým subjektom v januári 2026) budú technické činnosti vrátane testovania taktiež realizované v roku 2025.</w:t>
      </w:r>
      <w:r w:rsidR="0091683B" w:rsidRPr="009168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168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Expertný odhad nákladov na tieto úpravy je 250 000 eur.</w:t>
      </w:r>
    </w:p>
    <w:p w14:paraId="61C31091" w14:textId="7A3B8772" w:rsidR="009821AD" w:rsidRDefault="003717FF" w:rsidP="003717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30D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Predkladaný návrh </w:t>
      </w:r>
      <w:r w:rsidR="00CA01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zákona</w:t>
      </w:r>
      <w:r w:rsidRPr="00A30D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predpokladá </w:t>
      </w:r>
      <w:r w:rsidR="009821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zvýšenie</w:t>
      </w:r>
      <w:r w:rsidRPr="00A30D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výnosov z výberu úhrady </w:t>
      </w:r>
      <w:r w:rsidR="009821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mýta</w:t>
      </w:r>
      <w:r w:rsidRPr="00A30D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pre Náro</w:t>
      </w:r>
      <w:r w:rsidR="009821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dnú diaľničnú spoločnosť, a. s.</w:t>
      </w:r>
    </w:p>
    <w:p w14:paraId="135F66EA" w14:textId="77777777" w:rsidR="009821AD" w:rsidRDefault="009821AD" w:rsidP="009821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Pr="009821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rijatím smernice Európskeho parlamentu a Rady (EÚ) 2022/362 z 24. februára 2022, ktorou sa menia a dopĺňajú smernice 1999/62/ES, 1999/37/ES a (EÚ) 2019/520, pokiaľ ide o výber poplatkov za používanie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určitej dopravnej infraštruktúry vozidlami</w:t>
      </w:r>
      <w:r w:rsidRPr="009821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(ďalej len „smernica 2022/362“), ktorá sa týmto legislatívnym návrhom transponuje, sa má dosiahnuť pokrok v uplatňovaní princípov „užívateľ platí“ a „znečisťovateľ platí“. Mýto je poplatok vychádzajúci z princípu úhrady nákladov na infraštruktúru, nové sadzby mýta sú </w:t>
      </w:r>
      <w:r w:rsidRPr="009821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súčtom poplatku za infraštruktúru, poplatku za emisie CO</w:t>
      </w:r>
      <w:r w:rsidRPr="00757256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 w:rsidRPr="009821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poplatku za externé náklady spojené so znečistením ovzdušia spôsobeným premávkou.</w:t>
      </w:r>
    </w:p>
    <w:p w14:paraId="4DFBE97C" w14:textId="77F22880" w:rsidR="009821AD" w:rsidRDefault="009821AD" w:rsidP="009821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D23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Výška predpokladaného zvýšenia výnosov z výberu mýta pre Národnú diaľničnú spoločnosť, a. s., je</w:t>
      </w:r>
      <w:bookmarkStart w:id="1" w:name="_GoBack"/>
      <w:bookmarkEnd w:id="1"/>
      <w:r w:rsidRPr="00BD23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ovplyvnená zavedením poplatku za emisie CO</w:t>
      </w:r>
      <w:r w:rsidRPr="00BD23CB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 w:rsidRPr="00BD23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poplatku za externé náklady spojené so znečistením ovzdušia spôsobeným premávkou. </w:t>
      </w:r>
      <w:r w:rsidR="004E6CCF" w:rsidRPr="00BD23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Zahrnutie týchto poplatkov do sadzieb mýta predstavuje ich zvýšenie o 19 %, zároveň sa zvyšuje poplatok za infraštruktúru o 21 %, takže celkové zvýšenie sadzieb mýta o 40 % </w:t>
      </w:r>
      <w:r w:rsidR="00785E67" w:rsidRPr="00BD23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podľa návrhu nariadenia </w:t>
      </w:r>
      <w:r w:rsidR="004E6CCF" w:rsidRPr="00BD23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 1. 7. 2025 zvyšuje výnosy z výberu mýta pre Nár</w:t>
      </w:r>
      <w:r w:rsidR="00785E67" w:rsidRPr="00BD23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odnú diaľničnú spoločnosť, a. s. Uvedené zvýšenie výnosov z výberu mýta pre Národnú diaľničnú spoločnosť, a. s., už ráta s úpravou </w:t>
      </w:r>
      <w:r w:rsidR="00D07CC9" w:rsidRPr="00BD23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poskytovania </w:t>
      </w:r>
      <w:r w:rsidRPr="00BD23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tzv. </w:t>
      </w:r>
      <w:r w:rsidR="006B6F3C" w:rsidRPr="00BD23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množstvových</w:t>
      </w:r>
      <w:r w:rsidRPr="00BD23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zliav </w:t>
      </w:r>
      <w:r w:rsidR="00785E67" w:rsidRPr="00BD23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 zmysle návrhu nariadenia, t. j. zníženie príslušnej sadzby mýta </w:t>
      </w:r>
      <w:r w:rsidR="00D07CC9" w:rsidRPr="00BD23C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pro </w:t>
      </w:r>
      <w:proofErr w:type="spellStart"/>
      <w:r w:rsidR="00D07CC9" w:rsidRPr="00BD23C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futuro</w:t>
      </w:r>
      <w:proofErr w:type="spellEnd"/>
      <w:r w:rsidR="00D07CC9" w:rsidRPr="00BD23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85E67" w:rsidRPr="00BD23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 dosiahnutí príslušného limitu najazdených kilometrov. Úprava množstvových zliav </w:t>
      </w:r>
      <w:r w:rsidR="00087FF2" w:rsidRPr="00BD23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stále </w:t>
      </w:r>
      <w:r w:rsidR="00785E67" w:rsidRPr="00BD23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znamená ich poskytovanú výšku približne na dnešnej úrovni, cca 8 mil.</w:t>
      </w:r>
      <w:r w:rsidR="00087FF2" w:rsidRPr="00BD23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534889" w:rsidRPr="00BD23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náraste celkových výnosov</w:t>
      </w:r>
      <w:r w:rsidR="00087FF2" w:rsidRPr="00BD23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 mýta sa táto zmena zliav podieľa len výškou cca 0,75 mil.</w:t>
      </w:r>
    </w:p>
    <w:p w14:paraId="54392904" w14:textId="3D8B38DD" w:rsidR="007D5748" w:rsidRDefault="003717FF" w:rsidP="001568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30D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 súvislosti s návrhom </w:t>
      </w:r>
      <w:r w:rsidR="00CA01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zákona </w:t>
      </w:r>
      <w:r w:rsidRPr="00A30D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vzniknú </w:t>
      </w:r>
      <w:r w:rsidR="003F63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 roku 2025 </w:t>
      </w:r>
      <w:r w:rsidRPr="00A30D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jednorazové náklady pre Národnú diaľničnú spoločnosť, a. s., maximálne vo výške </w:t>
      </w:r>
      <w:r w:rsidR="00B91D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2 250</w:t>
      </w:r>
      <w:r w:rsidRPr="00A30D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000,- eur z dôvodu nevyhnutných úprav informačného systému </w:t>
      </w:r>
      <w:r w:rsidR="00B91D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elektronického výberu mýta</w:t>
      </w:r>
      <w:r w:rsidRPr="00A30D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Odhad výšky predpokladaných  nákladov vychádza zo </w:t>
      </w:r>
      <w:r w:rsidR="00B91D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skúseností s nákladmi zmenových konaní v minulosti.</w:t>
      </w:r>
    </w:p>
    <w:p w14:paraId="0CBC0D98" w14:textId="4E5F60E6" w:rsidR="00E432B9" w:rsidRPr="00E432B9" w:rsidRDefault="00017A81" w:rsidP="001568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Zvýšené príjmy </w:t>
      </w:r>
      <w:r w:rsidR="009F20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 mýta použije Národná diaľničná spoločnosť, a. s., v súlade s ustanoveniami článku 9 ods. 2 Smernice</w:t>
      </w:r>
      <w:r w:rsidR="009F2045" w:rsidRPr="009F20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Európskeho parlamentu a Rady 1999/62/ES zo 17. júna 1999 o poplatkoch za používanie cestnej infraštruktúry vozidlami</w:t>
      </w:r>
      <w:r w:rsidR="009F20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 platnom znení, ustanovením § 2 ods. 6 zákona č. 474/2013 Z. z. </w:t>
      </w:r>
      <w:r w:rsidR="009F2045" w:rsidRPr="009F20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 výbere mýta za užívanie vymedzených úsekov pozemných komunikácií a o zmene a doplnení niektorých zákonov</w:t>
      </w:r>
      <w:r w:rsidR="009F20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§ 12 ods. 1 zákona č. 639/2004 Z. z. </w:t>
      </w:r>
      <w:r w:rsidR="009F2045" w:rsidRPr="009F20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 Národnej diaľničnej spoločnosti a o zmene a doplnení zákona č. 135/1961 Zb. o pozemných komunikáciách (cestný zákon) v znení neskorších predpisov</w:t>
      </w:r>
      <w:r w:rsidR="009F20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F2045" w:rsidRPr="009F20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prípravu, realizáciu opráv, údržbu a výstavbu diaľnic</w:t>
      </w:r>
      <w:r w:rsidR="009F20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vrátane zníženia znečistenia z cestnej dopravy (vrátane znečistenia hlukom), zlepšenia bezpečnosti cestnej premávky vrátane parkovania na odpočívadlách atď.</w:t>
      </w:r>
    </w:p>
    <w:p w14:paraId="59416645" w14:textId="77777777" w:rsidR="00B91DF7" w:rsidRDefault="00B91DF7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CFD5037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14:paraId="5CFB1E14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8BDC5C6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135914F9" w14:textId="77777777" w:rsidR="007D5748" w:rsidRPr="007B7470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B509FA9" w14:textId="77777777" w:rsidR="00965CE0" w:rsidRPr="00D5357F" w:rsidRDefault="00965CE0" w:rsidP="00965C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CE0">
        <w:rPr>
          <w:rFonts w:ascii="Times New Roman" w:hAnsi="Times New Roman" w:cs="Times New Roman"/>
          <w:color w:val="000000"/>
          <w:sz w:val="24"/>
          <w:szCs w:val="24"/>
        </w:rPr>
        <w:t>Návrh zákona, ktorým sa mení a dopĺňa zákon 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474/2013 Z. z. o výbere mýta </w:t>
      </w:r>
      <w:r w:rsidRPr="00965CE0">
        <w:rPr>
          <w:rFonts w:ascii="Times New Roman" w:hAnsi="Times New Roman" w:cs="Times New Roman"/>
          <w:color w:val="000000"/>
          <w:sz w:val="24"/>
          <w:szCs w:val="24"/>
        </w:rPr>
        <w:t>za užívanie vymedzených úsekov pozemných komunikácií a o zmene a doplnení niektorých zákonov v znení neskorších predpisov a ktorým sa menia a dopĺňajú niektoré zákony</w:t>
      </w:r>
      <w:r w:rsidRPr="00D535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D5357F">
        <w:rPr>
          <w:rFonts w:ascii="Times New Roman" w:hAnsi="Times New Roman" w:cs="Times New Roman"/>
          <w:color w:val="000000"/>
          <w:sz w:val="24"/>
          <w:szCs w:val="24"/>
        </w:rPr>
        <w:t>predkladá Ministerstvo dopravy Slovenskej republiky na základe bodu B.5. uznesenia vlády Slovenskej republiky č. 609/2022.</w:t>
      </w:r>
    </w:p>
    <w:p w14:paraId="01EC1096" w14:textId="7498AB25" w:rsidR="00771946" w:rsidRDefault="003717FF" w:rsidP="007719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946">
        <w:rPr>
          <w:rFonts w:ascii="Times New Roman" w:hAnsi="Times New Roman" w:cs="Times New Roman"/>
          <w:color w:val="000000"/>
          <w:sz w:val="24"/>
          <w:szCs w:val="24"/>
        </w:rPr>
        <w:t>Účelom návrhu zá</w:t>
      </w:r>
      <w:r w:rsidR="00364956" w:rsidRPr="00771946">
        <w:rPr>
          <w:rFonts w:ascii="Times New Roman" w:hAnsi="Times New Roman" w:cs="Times New Roman"/>
          <w:color w:val="000000"/>
          <w:sz w:val="24"/>
          <w:szCs w:val="24"/>
        </w:rPr>
        <w:t xml:space="preserve">kona je </w:t>
      </w:r>
      <w:r w:rsidR="00C65278">
        <w:rPr>
          <w:rFonts w:ascii="Times New Roman" w:hAnsi="Times New Roman" w:cs="Times New Roman"/>
          <w:color w:val="000000"/>
          <w:sz w:val="24"/>
          <w:szCs w:val="24"/>
        </w:rPr>
        <w:t>čiastočná transpozícia</w:t>
      </w:r>
      <w:r w:rsidR="00364956" w:rsidRPr="00771946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Pr="00771946">
        <w:rPr>
          <w:rFonts w:ascii="Times New Roman" w:hAnsi="Times New Roman" w:cs="Times New Roman"/>
          <w:color w:val="000000"/>
          <w:sz w:val="24"/>
          <w:szCs w:val="24"/>
        </w:rPr>
        <w:t>mernice Európskeho parlamentu a Rady (EÚ) 2022/362 z 24. februára 2022, ktorou sa menia smernice 1999/62/ES, 1999/37/ES a (EÚ) 2019/520, pokiaľ ide o poplatky za používanie určitej dopravnej infraštruktúry vozidlami. Cieľom náv</w:t>
      </w:r>
      <w:r w:rsidR="00CA012F" w:rsidRPr="00771946">
        <w:rPr>
          <w:rFonts w:ascii="Times New Roman" w:hAnsi="Times New Roman" w:cs="Times New Roman"/>
          <w:color w:val="000000"/>
          <w:sz w:val="24"/>
          <w:szCs w:val="24"/>
        </w:rPr>
        <w:t xml:space="preserve">rhu </w:t>
      </w:r>
      <w:r w:rsidR="00364956" w:rsidRPr="00771946">
        <w:rPr>
          <w:rFonts w:ascii="Times New Roman" w:hAnsi="Times New Roman" w:cs="Times New Roman"/>
          <w:color w:val="000000"/>
          <w:sz w:val="24"/>
          <w:szCs w:val="24"/>
        </w:rPr>
        <w:t xml:space="preserve">zákona </w:t>
      </w:r>
      <w:r w:rsidR="00771946" w:rsidRPr="00771946">
        <w:rPr>
          <w:rFonts w:ascii="Times New Roman" w:hAnsi="Times New Roman" w:cs="Times New Roman"/>
          <w:color w:val="000000"/>
          <w:sz w:val="24"/>
          <w:szCs w:val="24"/>
        </w:rPr>
        <w:t>je dosiahnutie pokrok</w:t>
      </w:r>
      <w:r w:rsidR="00771946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771946" w:rsidRPr="00771946">
        <w:rPr>
          <w:rFonts w:ascii="Times New Roman" w:hAnsi="Times New Roman" w:cs="Times New Roman"/>
          <w:color w:val="000000"/>
          <w:sz w:val="24"/>
          <w:szCs w:val="24"/>
        </w:rPr>
        <w:t xml:space="preserve"> v uplatňovaní princípov „užívateľ platí“ a „znečisťovateľ platí“. Mýto je poplatok vychádzajúci z princípu úhrady nákladov na infraštruktúru, nové sadzby mýta sú súčtom poplatku za infraštruktúru, poplatku za emisie CO</w:t>
      </w:r>
      <w:r w:rsidR="00771946" w:rsidRPr="00757256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771946" w:rsidRPr="00771946">
        <w:rPr>
          <w:rFonts w:ascii="Times New Roman" w:hAnsi="Times New Roman" w:cs="Times New Roman"/>
          <w:color w:val="000000"/>
          <w:sz w:val="24"/>
          <w:szCs w:val="24"/>
        </w:rPr>
        <w:t xml:space="preserve"> a poplatku za externé náklady spojené so znečistením ovzdušia spôsobeným premávkou.</w:t>
      </w:r>
    </w:p>
    <w:p w14:paraId="2845B1C7" w14:textId="4859058A" w:rsidR="00E432B9" w:rsidRPr="007B7470" w:rsidRDefault="00E432B9" w:rsidP="00E432B9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 xml:space="preserve">Návrh zákona zároveň reaguje aj na požiadavky prednesené podnikateľskou obcou s cieľom zlepšiť podnikateľské prostredie najmä prevádzkovateľom kamiónovej dopravy a posilnenie ich konkurencieschopnosti s autodopravcami z iných krajín. </w:t>
      </w:r>
      <w:r w:rsidRPr="006C68EB">
        <w:rPr>
          <w:rFonts w:ascii="Times New Roman" w:hAnsi="Times New Roman"/>
          <w:sz w:val="24"/>
          <w:szCs w:val="24"/>
        </w:rPr>
        <w:t xml:space="preserve">Cieľom </w:t>
      </w:r>
      <w:r>
        <w:rPr>
          <w:rFonts w:ascii="Times New Roman" w:hAnsi="Times New Roman"/>
          <w:sz w:val="24"/>
          <w:szCs w:val="24"/>
        </w:rPr>
        <w:t xml:space="preserve">tohto </w:t>
      </w:r>
      <w:r w:rsidRPr="006C68EB">
        <w:rPr>
          <w:rFonts w:ascii="Times New Roman" w:hAnsi="Times New Roman"/>
          <w:sz w:val="24"/>
          <w:szCs w:val="24"/>
        </w:rPr>
        <w:t xml:space="preserve">návrhu </w:t>
      </w:r>
      <w:r w:rsidR="00D17CB8">
        <w:rPr>
          <w:rFonts w:ascii="Times New Roman" w:hAnsi="Times New Roman"/>
          <w:sz w:val="24"/>
          <w:szCs w:val="24"/>
          <w:lang w:eastAsia="sk-SK"/>
        </w:rPr>
        <w:t>zmeny z</w:t>
      </w:r>
      <w:r w:rsidR="00D17CB8" w:rsidRPr="003F63C8">
        <w:rPr>
          <w:rFonts w:ascii="Times New Roman" w:hAnsi="Times New Roman"/>
          <w:sz w:val="24"/>
          <w:szCs w:val="24"/>
          <w:lang w:eastAsia="sk-SK"/>
        </w:rPr>
        <w:t>ákon</w:t>
      </w:r>
      <w:r w:rsidR="00D17CB8">
        <w:rPr>
          <w:rFonts w:ascii="Times New Roman" w:hAnsi="Times New Roman"/>
          <w:sz w:val="24"/>
          <w:szCs w:val="24"/>
          <w:lang w:eastAsia="sk-SK"/>
        </w:rPr>
        <w:t>a</w:t>
      </w:r>
      <w:r w:rsidR="00D17CB8" w:rsidRPr="003F63C8">
        <w:rPr>
          <w:rFonts w:ascii="Times New Roman" w:hAnsi="Times New Roman"/>
          <w:sz w:val="24"/>
          <w:szCs w:val="24"/>
          <w:lang w:eastAsia="sk-SK"/>
        </w:rPr>
        <w:t xml:space="preserve"> č. 361/2014 Z. z. o dani z motorových vozidiel a o zmene a doplnení niektorých zákonov </w:t>
      </w:r>
      <w:r w:rsidR="00D17CB8">
        <w:rPr>
          <w:rFonts w:ascii="Times New Roman" w:hAnsi="Times New Roman"/>
          <w:sz w:val="24"/>
          <w:szCs w:val="24"/>
          <w:lang w:eastAsia="sk-SK"/>
        </w:rPr>
        <w:t>v znení neskorších predpisov</w:t>
      </w:r>
      <w:r w:rsidRPr="006C68EB">
        <w:rPr>
          <w:rFonts w:ascii="Times New Roman" w:hAnsi="Times New Roman"/>
          <w:sz w:val="24"/>
          <w:szCs w:val="24"/>
        </w:rPr>
        <w:t xml:space="preserve"> je </w:t>
      </w:r>
      <w:r w:rsidR="00D17CB8">
        <w:rPr>
          <w:rFonts w:ascii="Times New Roman" w:hAnsi="Times New Roman"/>
          <w:sz w:val="24"/>
          <w:szCs w:val="24"/>
        </w:rPr>
        <w:t>z</w:t>
      </w:r>
      <w:r w:rsidRPr="006C68EB">
        <w:rPr>
          <w:rFonts w:ascii="Times New Roman" w:hAnsi="Times New Roman"/>
          <w:sz w:val="24"/>
          <w:szCs w:val="24"/>
        </w:rPr>
        <w:t xml:space="preserve">níženie zdanenia vozidiel používaných na podnikanie na úroveň minimálnych sadzieb daní stanovených v prílohe I Smernice Európskeho parlamentu a Rady 1999/62/ES zo 17. júna 1999 o poplatkoch za používanie cestnej infraštruktúry vozidlami </w:t>
      </w:r>
      <w:r w:rsidRPr="003E0C1C">
        <w:rPr>
          <w:rFonts w:ascii="Times New Roman" w:hAnsi="Times New Roman"/>
          <w:sz w:val="24"/>
          <w:szCs w:val="24"/>
        </w:rPr>
        <w:t>(ďalej len „</w:t>
      </w:r>
      <w:r w:rsidR="00412478">
        <w:rPr>
          <w:rFonts w:ascii="Times New Roman" w:hAnsi="Times New Roman"/>
          <w:sz w:val="24"/>
          <w:szCs w:val="24"/>
        </w:rPr>
        <w:t>s</w:t>
      </w:r>
      <w:r w:rsidRPr="003E0C1C">
        <w:rPr>
          <w:rFonts w:ascii="Times New Roman" w:hAnsi="Times New Roman"/>
          <w:sz w:val="24"/>
          <w:szCs w:val="24"/>
        </w:rPr>
        <w:t xml:space="preserve">mernica </w:t>
      </w:r>
      <w:proofErr w:type="spellStart"/>
      <w:r w:rsidRPr="003E0C1C">
        <w:rPr>
          <w:rFonts w:ascii="Times New Roman" w:hAnsi="Times New Roman"/>
          <w:sz w:val="24"/>
          <w:szCs w:val="24"/>
        </w:rPr>
        <w:t>Eurovignette</w:t>
      </w:r>
      <w:proofErr w:type="spellEnd"/>
      <w:r w:rsidRPr="003E0C1C">
        <w:rPr>
          <w:rFonts w:ascii="Times New Roman" w:hAnsi="Times New Roman"/>
          <w:sz w:val="24"/>
          <w:szCs w:val="24"/>
        </w:rPr>
        <w:t>“) v spojení s ust</w:t>
      </w:r>
      <w:r w:rsidR="00412478">
        <w:rPr>
          <w:rFonts w:ascii="Times New Roman" w:hAnsi="Times New Roman"/>
          <w:sz w:val="24"/>
          <w:szCs w:val="24"/>
        </w:rPr>
        <w:t>anoveniami článku 3 a článku 6 s</w:t>
      </w:r>
      <w:r w:rsidRPr="003E0C1C">
        <w:rPr>
          <w:rFonts w:ascii="Times New Roman" w:hAnsi="Times New Roman"/>
          <w:sz w:val="24"/>
          <w:szCs w:val="24"/>
        </w:rPr>
        <w:t xml:space="preserve">mernice </w:t>
      </w:r>
      <w:proofErr w:type="spellStart"/>
      <w:r w:rsidRPr="003E0C1C">
        <w:rPr>
          <w:rFonts w:ascii="Times New Roman" w:hAnsi="Times New Roman"/>
          <w:sz w:val="24"/>
          <w:szCs w:val="24"/>
        </w:rPr>
        <w:t>Eurovignette</w:t>
      </w:r>
      <w:proofErr w:type="spellEnd"/>
      <w:r w:rsidRPr="003E0C1C">
        <w:rPr>
          <w:rFonts w:ascii="Times New Roman" w:hAnsi="Times New Roman"/>
          <w:sz w:val="24"/>
          <w:szCs w:val="24"/>
        </w:rPr>
        <w:t>, ktorými sú harmonizované minimálne sadzby dane pre ťažké nákladné vozidlá nad 12 ton.</w:t>
      </w:r>
      <w:r w:rsidR="00E63030">
        <w:rPr>
          <w:rFonts w:ascii="Times New Roman" w:hAnsi="Times New Roman"/>
          <w:sz w:val="24"/>
          <w:szCs w:val="24"/>
        </w:rPr>
        <w:t xml:space="preserve"> </w:t>
      </w:r>
      <w:r w:rsidR="00E63030" w:rsidRPr="00E63030">
        <w:rPr>
          <w:rFonts w:ascii="Times New Roman" w:hAnsi="Times New Roman"/>
          <w:sz w:val="24"/>
          <w:szCs w:val="24"/>
        </w:rPr>
        <w:t>Dochádza tiež k zjednoteniu úpravy sadzby dane podľa veku vozidla rovnako pre všetky typy vozidiel aj do 3,5 tony aj nad 3,5 tony.</w:t>
      </w:r>
    </w:p>
    <w:p w14:paraId="1FEA8F39" w14:textId="77777777" w:rsidR="00E432B9" w:rsidRDefault="00E432B9" w:rsidP="007719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44F7AC" w14:textId="77777777" w:rsidR="00771946" w:rsidRDefault="00771946" w:rsidP="007719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DE6FA1" w14:textId="77777777" w:rsidR="007D5748" w:rsidRPr="007B7470" w:rsidRDefault="007D5748" w:rsidP="007719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386D64C8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C018B5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7F80BF9A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09436DB6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lastRenderedPageBreak/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7AD48ED8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4778E95B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049D2FB0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D3B2E6F" w14:textId="77777777" w:rsidR="00C64BDB" w:rsidRPr="007B7470" w:rsidRDefault="00C64BDB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2711459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47263A67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6B2939" w14:textId="071E65E2" w:rsidR="00E432B9" w:rsidRDefault="00E63030" w:rsidP="00E4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Zmeny súvisiace s daňou z motorových vozidiel:</w:t>
      </w:r>
    </w:p>
    <w:p w14:paraId="3437334B" w14:textId="7B3D1B8C" w:rsidR="00A56592" w:rsidRDefault="00A56592" w:rsidP="00E4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260"/>
        <w:gridCol w:w="1260"/>
        <w:gridCol w:w="1260"/>
        <w:gridCol w:w="1265"/>
        <w:gridCol w:w="1260"/>
        <w:gridCol w:w="1255"/>
      </w:tblGrid>
      <w:tr w:rsidR="00944EED" w:rsidRPr="003F63C8" w14:paraId="280C2A88" w14:textId="77777777" w:rsidTr="006967C0">
        <w:trPr>
          <w:trHeight w:val="100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  <w:vAlign w:val="center"/>
            <w:hideMark/>
          </w:tcPr>
          <w:p w14:paraId="28B2D9F1" w14:textId="511EDE44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b/>
                <w:bCs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b/>
                <w:bCs/>
                <w:lang w:eastAsia="sk-SK"/>
              </w:rPr>
              <w:t xml:space="preserve">kategória vozidiel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auto" w:fill="auto"/>
            <w:vAlign w:val="center"/>
            <w:hideMark/>
          </w:tcPr>
          <w:p w14:paraId="705FA86C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b/>
                <w:bCs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b/>
                <w:bCs/>
                <w:lang w:eastAsia="sk-SK"/>
              </w:rPr>
              <w:t>počet vozidiel</w:t>
            </w:r>
          </w:p>
          <w:p w14:paraId="20CD2814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b/>
                <w:bCs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b/>
                <w:bCs/>
                <w:lang w:eastAsia="sk-SK"/>
              </w:rPr>
              <w:t>(ks)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auto" w:fill="auto"/>
            <w:vAlign w:val="center"/>
            <w:hideMark/>
          </w:tcPr>
          <w:p w14:paraId="79875005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b/>
                <w:bCs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b/>
                <w:bCs/>
                <w:lang w:eastAsia="sk-SK"/>
              </w:rPr>
              <w:t>aktuálna priemerná sadzba</w:t>
            </w:r>
          </w:p>
          <w:p w14:paraId="5715B7F7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b/>
                <w:bCs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b/>
                <w:bCs/>
                <w:lang w:eastAsia="sk-SK"/>
              </w:rPr>
              <w:t>(eur)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auto" w:fill="auto"/>
            <w:vAlign w:val="center"/>
            <w:hideMark/>
          </w:tcPr>
          <w:p w14:paraId="773F6B26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b/>
                <w:bCs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b/>
                <w:bCs/>
                <w:lang w:eastAsia="sk-SK"/>
              </w:rPr>
              <w:t>aktuálny príjem ročne</w:t>
            </w:r>
          </w:p>
          <w:p w14:paraId="56FE8AA3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b/>
                <w:bCs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b/>
                <w:bCs/>
                <w:lang w:eastAsia="sk-SK"/>
              </w:rPr>
              <w:t>(tis. eur)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auto" w:fill="auto"/>
            <w:vAlign w:val="center"/>
            <w:hideMark/>
          </w:tcPr>
          <w:p w14:paraId="7E19768A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b/>
                <w:bCs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b/>
                <w:bCs/>
                <w:lang w:eastAsia="sk-SK"/>
              </w:rPr>
              <w:t>navrhovaná priemerná sadzba</w:t>
            </w:r>
          </w:p>
          <w:p w14:paraId="31E5787B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b/>
                <w:bCs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b/>
                <w:bCs/>
                <w:lang w:eastAsia="sk-SK"/>
              </w:rPr>
              <w:t>(eur)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auto" w:fill="auto"/>
            <w:vAlign w:val="center"/>
            <w:hideMark/>
          </w:tcPr>
          <w:p w14:paraId="4B4BD356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b/>
                <w:bCs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b/>
                <w:bCs/>
                <w:lang w:eastAsia="sk-SK"/>
              </w:rPr>
              <w:t>očakávaný príjem ročne (tis. eur)</w:t>
            </w:r>
          </w:p>
          <w:p w14:paraId="36F75D1D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auto" w:fill="auto"/>
            <w:vAlign w:val="center"/>
            <w:hideMark/>
          </w:tcPr>
          <w:p w14:paraId="4ABBF754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b/>
                <w:bCs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b/>
                <w:bCs/>
                <w:lang w:eastAsia="sk-SK"/>
              </w:rPr>
              <w:t>rozdiel (tis. eur)</w:t>
            </w:r>
          </w:p>
        </w:tc>
      </w:tr>
      <w:tr w:rsidR="00944EED" w:rsidRPr="003F63C8" w14:paraId="0551171A" w14:textId="77777777" w:rsidTr="006967C0">
        <w:trPr>
          <w:trHeight w:val="38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87526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M1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33987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521 175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2BA4B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1CFAD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52 639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8E036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141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E5295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73 538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2E53C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+20 945</w:t>
            </w:r>
          </w:p>
        </w:tc>
      </w:tr>
      <w:tr w:rsidR="00944EED" w:rsidRPr="003F63C8" w14:paraId="40FEF9EB" w14:textId="77777777" w:rsidTr="006967C0">
        <w:trPr>
          <w:trHeight w:val="38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FEDEE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N1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780C1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123 974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335EA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171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84EFD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21 200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B18DA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221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52DFA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27 441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18DEF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+6 241</w:t>
            </w:r>
          </w:p>
        </w:tc>
      </w:tr>
      <w:tr w:rsidR="00944EED" w:rsidRPr="003F63C8" w14:paraId="5E4FFC4B" w14:textId="77777777" w:rsidTr="006967C0">
        <w:trPr>
          <w:trHeight w:val="38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67C06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0A8E1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18 845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B8A25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F6F15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980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5309A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651B9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1 348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9EE82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+368</w:t>
            </w:r>
          </w:p>
        </w:tc>
      </w:tr>
      <w:tr w:rsidR="00944EED" w:rsidRPr="003F63C8" w14:paraId="3FE85308" w14:textId="77777777" w:rsidTr="006967C0">
        <w:trPr>
          <w:trHeight w:val="38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A7E2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 xml:space="preserve"> O1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4C64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12 257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5027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A802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858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2546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D263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847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DF6F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-11</w:t>
            </w:r>
          </w:p>
        </w:tc>
      </w:tr>
      <w:tr w:rsidR="00944EED" w:rsidRPr="003F63C8" w14:paraId="0BDDEF38" w14:textId="77777777" w:rsidTr="006967C0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2C1A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 xml:space="preserve"> O2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C540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10 624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FFFD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137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81A7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1 455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96FE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7860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951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CD25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-504</w:t>
            </w:r>
          </w:p>
        </w:tc>
      </w:tr>
      <w:tr w:rsidR="00944EED" w:rsidRPr="003F63C8" w14:paraId="643ADAF0" w14:textId="77777777" w:rsidTr="006967C0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E4AD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 xml:space="preserve"> O3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9692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1 161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0AB9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391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3114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454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85E3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125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2317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126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70A17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-328</w:t>
            </w:r>
          </w:p>
        </w:tc>
      </w:tr>
      <w:tr w:rsidR="00944EED" w:rsidRPr="003F63C8" w14:paraId="18340FD5" w14:textId="77777777" w:rsidTr="006967C0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0713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 xml:space="preserve"> O4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2E3C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28 220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6E78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460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ADB0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12 981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0656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036E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3 730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A8C46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-9 251</w:t>
            </w:r>
          </w:p>
        </w:tc>
      </w:tr>
      <w:tr w:rsidR="00944EED" w:rsidRPr="003F63C8" w14:paraId="5E715D22" w14:textId="77777777" w:rsidTr="006967C0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0CEA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 xml:space="preserve"> N2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2FC5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17 519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6C57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424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FBED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7 428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A764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321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62AD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5 622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34EE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-1 807</w:t>
            </w:r>
          </w:p>
        </w:tc>
      </w:tr>
      <w:tr w:rsidR="00944EED" w:rsidRPr="003F63C8" w14:paraId="71AA3574" w14:textId="77777777" w:rsidTr="006967C0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D6EA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 xml:space="preserve"> N3 - ťahač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A89F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27 108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BEE4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576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1694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15 614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1F61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410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B07D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11 113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ACF6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-4 501</w:t>
            </w:r>
          </w:p>
        </w:tc>
      </w:tr>
      <w:tr w:rsidR="00944EED" w:rsidRPr="003F63C8" w14:paraId="18999EB2" w14:textId="77777777" w:rsidTr="006967C0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860C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 xml:space="preserve"> N3 – „</w:t>
            </w:r>
            <w:proofErr w:type="spellStart"/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neťahač</w:t>
            </w:r>
            <w:proofErr w:type="spellEnd"/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 xml:space="preserve">“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4B34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20 094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09B9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916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AD0A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18 406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2043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180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9D0E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3 615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FF73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-14 791</w:t>
            </w:r>
          </w:p>
        </w:tc>
      </w:tr>
      <w:tr w:rsidR="00944EED" w:rsidRPr="003F63C8" w14:paraId="0B1E487C" w14:textId="77777777" w:rsidTr="006967C0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C3D1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 xml:space="preserve">M2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08C2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531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E088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842B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108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3964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208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8E04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DFD60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+2</w:t>
            </w:r>
          </w:p>
        </w:tc>
      </w:tr>
      <w:tr w:rsidR="00944EED" w:rsidRPr="003F63C8" w14:paraId="14E213A2" w14:textId="77777777" w:rsidTr="006967C0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7339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 xml:space="preserve"> M3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11B2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8 034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B826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227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6585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1 824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5F62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F1B2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573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EAE4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color w:val="131D2B"/>
                <w:lang w:eastAsia="sk-SK"/>
              </w:rPr>
              <w:t>-1 251</w:t>
            </w:r>
          </w:p>
        </w:tc>
      </w:tr>
      <w:tr w:rsidR="00944EED" w:rsidRPr="003F63C8" w14:paraId="49AC605C" w14:textId="77777777" w:rsidTr="006967C0">
        <w:trPr>
          <w:trHeight w:val="3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E96B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b/>
                <w:bCs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b/>
                <w:bCs/>
                <w:color w:val="131D2B"/>
                <w:lang w:eastAsia="sk-SK"/>
              </w:rPr>
              <w:t xml:space="preserve"> spolu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9738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b/>
                <w:bCs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b/>
                <w:bCs/>
                <w:color w:val="131D2B"/>
                <w:lang w:eastAsia="sk-SK"/>
              </w:rPr>
              <w:t>789 542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2806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b/>
                <w:bCs/>
                <w:color w:val="131D2B"/>
                <w:lang w:eastAsia="sk-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1837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b/>
                <w:bCs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b/>
                <w:bCs/>
                <w:color w:val="131D2B"/>
                <w:lang w:eastAsia="sk-SK"/>
              </w:rPr>
              <w:t>133 947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CC00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color w:val="131D2B"/>
                <w:lang w:eastAsia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E38F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b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b/>
                <w:color w:val="131D2B"/>
                <w:lang w:eastAsia="sk-SK"/>
              </w:rPr>
              <w:t>129 059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DAA55" w14:textId="77777777" w:rsidR="00944EED" w:rsidRPr="003F63C8" w:rsidRDefault="00944EED" w:rsidP="006967C0">
            <w:pPr>
              <w:spacing w:after="0" w:line="240" w:lineRule="auto"/>
              <w:jc w:val="center"/>
              <w:rPr>
                <w:rFonts w:ascii="Times New Roman" w:eastAsia="Yu Gothic UI" w:hAnsi="Times New Roman" w:cs="Times New Roman"/>
                <w:b/>
                <w:color w:val="131D2B"/>
                <w:lang w:eastAsia="sk-SK"/>
              </w:rPr>
            </w:pPr>
            <w:r w:rsidRPr="003F63C8">
              <w:rPr>
                <w:rFonts w:ascii="Times New Roman" w:eastAsia="Yu Gothic UI" w:hAnsi="Times New Roman" w:cs="Times New Roman"/>
                <w:b/>
                <w:color w:val="131D2B"/>
                <w:lang w:eastAsia="sk-SK"/>
              </w:rPr>
              <w:t>-4 887</w:t>
            </w:r>
          </w:p>
        </w:tc>
      </w:tr>
    </w:tbl>
    <w:p w14:paraId="7256BB13" w14:textId="5D579AA2" w:rsidR="00A56592" w:rsidRDefault="00A56592" w:rsidP="00E4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6F75B3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1B031D9C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93AB62" w14:textId="4C1735F0" w:rsidR="00A710A6" w:rsidRPr="00D5357F" w:rsidRDefault="00965CE0" w:rsidP="00965C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CE0">
        <w:rPr>
          <w:rFonts w:ascii="Times New Roman" w:hAnsi="Times New Roman" w:cs="Times New Roman"/>
          <w:color w:val="000000"/>
          <w:sz w:val="24"/>
          <w:szCs w:val="24"/>
        </w:rPr>
        <w:t>Návrh zákona, ktorým sa mení a dopĺňa zákon 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474/2013 Z. z. o výbere mýta </w:t>
      </w:r>
      <w:r w:rsidRPr="00965CE0">
        <w:rPr>
          <w:rFonts w:ascii="Times New Roman" w:hAnsi="Times New Roman" w:cs="Times New Roman"/>
          <w:color w:val="000000"/>
          <w:sz w:val="24"/>
          <w:szCs w:val="24"/>
        </w:rPr>
        <w:t>za užívanie vymedzených úsekov pozemných komunikácií a o zmene a doplnení niektorých zákonov v znení neskorších predpisov a ktorým sa menia a dopĺňajú niektoré zákony</w:t>
      </w:r>
      <w:r w:rsidR="00D5357F" w:rsidRPr="00D535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A710A6" w:rsidRPr="00D5357F">
        <w:rPr>
          <w:rFonts w:ascii="Times New Roman" w:hAnsi="Times New Roman" w:cs="Times New Roman"/>
          <w:color w:val="000000"/>
          <w:sz w:val="24"/>
          <w:szCs w:val="24"/>
        </w:rPr>
        <w:t xml:space="preserve">predkladá Ministerstvo dopravy Slovenskej republiky na základe </w:t>
      </w:r>
      <w:r w:rsidR="006258B0" w:rsidRPr="00D5357F">
        <w:rPr>
          <w:rFonts w:ascii="Times New Roman" w:hAnsi="Times New Roman" w:cs="Times New Roman"/>
          <w:color w:val="000000"/>
          <w:sz w:val="24"/>
          <w:szCs w:val="24"/>
        </w:rPr>
        <w:t xml:space="preserve">bodu B.5. </w:t>
      </w:r>
      <w:r w:rsidR="00A710A6" w:rsidRPr="00D5357F">
        <w:rPr>
          <w:rFonts w:ascii="Times New Roman" w:hAnsi="Times New Roman" w:cs="Times New Roman"/>
          <w:color w:val="000000"/>
          <w:sz w:val="24"/>
          <w:szCs w:val="24"/>
        </w:rPr>
        <w:t>uznesenia vlády Slovenskej republiky č. 609/2022.</w:t>
      </w:r>
    </w:p>
    <w:p w14:paraId="7922B3E7" w14:textId="77777777" w:rsidR="00A710A6" w:rsidRPr="00965CE0" w:rsidRDefault="00A710A6" w:rsidP="00965C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5D2E81" w14:textId="06491522" w:rsidR="007D5748" w:rsidRDefault="00A710A6" w:rsidP="00965C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3FE">
        <w:rPr>
          <w:rFonts w:ascii="Times New Roman" w:hAnsi="Times New Roman" w:cs="Times New Roman"/>
          <w:color w:val="000000"/>
          <w:sz w:val="24"/>
          <w:szCs w:val="24"/>
        </w:rPr>
        <w:t xml:space="preserve">V návrhu </w:t>
      </w:r>
      <w:r w:rsidR="00364956">
        <w:rPr>
          <w:rFonts w:ascii="Times New Roman" w:hAnsi="Times New Roman" w:cs="Times New Roman"/>
          <w:color w:val="000000"/>
          <w:sz w:val="24"/>
          <w:szCs w:val="24"/>
        </w:rPr>
        <w:t xml:space="preserve">zákona </w:t>
      </w:r>
      <w:r w:rsidRPr="000D43FE">
        <w:rPr>
          <w:rFonts w:ascii="Times New Roman" w:hAnsi="Times New Roman" w:cs="Times New Roman"/>
          <w:color w:val="000000"/>
          <w:sz w:val="24"/>
          <w:szCs w:val="24"/>
        </w:rPr>
        <w:t xml:space="preserve">je zohľadnený </w:t>
      </w:r>
      <w:r w:rsidR="001B6536">
        <w:rPr>
          <w:rFonts w:ascii="Times New Roman" w:hAnsi="Times New Roman" w:cs="Times New Roman"/>
          <w:color w:val="000000"/>
          <w:sz w:val="24"/>
          <w:szCs w:val="24"/>
        </w:rPr>
        <w:t>pozitívny</w:t>
      </w:r>
      <w:r w:rsidRPr="000D43FE">
        <w:rPr>
          <w:rFonts w:ascii="Times New Roman" w:hAnsi="Times New Roman" w:cs="Times New Roman"/>
          <w:color w:val="000000"/>
          <w:sz w:val="24"/>
          <w:szCs w:val="24"/>
        </w:rPr>
        <w:t xml:space="preserve"> vplyv na rozpočet verejnej správy v rokoch 202</w:t>
      </w:r>
      <w:r w:rsidR="00B91DF7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0D43F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91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43FE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B91DF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0D43FE">
        <w:rPr>
          <w:rFonts w:ascii="Times New Roman" w:hAnsi="Times New Roman" w:cs="Times New Roman"/>
          <w:color w:val="000000"/>
          <w:sz w:val="24"/>
          <w:szCs w:val="24"/>
        </w:rPr>
        <w:t xml:space="preserve"> z dôvodu </w:t>
      </w:r>
      <w:r w:rsidR="00B91DF7" w:rsidRPr="00965CE0">
        <w:rPr>
          <w:rFonts w:ascii="Times New Roman" w:hAnsi="Times New Roman" w:cs="Times New Roman"/>
          <w:color w:val="000000"/>
          <w:sz w:val="24"/>
          <w:szCs w:val="24"/>
        </w:rPr>
        <w:t>zvýšenia výnosov z výberu úhrady mýta pre Národnú diaľničnú spoločnosť, a. s.</w:t>
      </w:r>
      <w:r w:rsidRPr="00965C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D43FE">
        <w:rPr>
          <w:rFonts w:ascii="Times New Roman" w:hAnsi="Times New Roman" w:cs="Times New Roman"/>
          <w:color w:val="000000"/>
          <w:sz w:val="24"/>
          <w:szCs w:val="24"/>
        </w:rPr>
        <w:t>Zároveň je zohľadnený negatívny vplyv na roz</w:t>
      </w:r>
      <w:r w:rsidR="00B91DF7">
        <w:rPr>
          <w:rFonts w:ascii="Times New Roman" w:hAnsi="Times New Roman" w:cs="Times New Roman"/>
          <w:color w:val="000000"/>
          <w:sz w:val="24"/>
          <w:szCs w:val="24"/>
        </w:rPr>
        <w:t xml:space="preserve">počet verejnej správy </w:t>
      </w:r>
      <w:r w:rsidR="00965CE0">
        <w:rPr>
          <w:rFonts w:ascii="Times New Roman" w:hAnsi="Times New Roman" w:cs="Times New Roman"/>
          <w:color w:val="000000"/>
          <w:sz w:val="24"/>
          <w:szCs w:val="24"/>
        </w:rPr>
        <w:t xml:space="preserve">v roku 2025 </w:t>
      </w:r>
      <w:r w:rsidR="00B91DF7" w:rsidRPr="00B91DF7">
        <w:rPr>
          <w:rFonts w:ascii="Times New Roman" w:hAnsi="Times New Roman" w:cs="Times New Roman"/>
          <w:color w:val="000000"/>
          <w:sz w:val="24"/>
          <w:szCs w:val="24"/>
        </w:rPr>
        <w:t>z dôvodu nevyhnutných úprav informačného systému elektronického výberu mýta.</w:t>
      </w:r>
    </w:p>
    <w:p w14:paraId="49362994" w14:textId="4BDD8F6F" w:rsidR="00E432B9" w:rsidRDefault="00E432B9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542373" w14:textId="6CD55ABC" w:rsidR="00E432B9" w:rsidRPr="00965CE0" w:rsidRDefault="00E432B9" w:rsidP="00E432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965CE0">
        <w:rPr>
          <w:rFonts w:ascii="Times New Roman" w:hAnsi="Times New Roman"/>
          <w:sz w:val="24"/>
          <w:szCs w:val="24"/>
          <w:lang w:eastAsia="sk-SK"/>
        </w:rPr>
        <w:t xml:space="preserve">Fiškálny vplyv </w:t>
      </w:r>
      <w:r w:rsidR="003F63C8">
        <w:rPr>
          <w:rFonts w:ascii="Times New Roman" w:hAnsi="Times New Roman"/>
          <w:sz w:val="24"/>
          <w:szCs w:val="24"/>
          <w:lang w:eastAsia="sk-SK"/>
        </w:rPr>
        <w:t>zmeny z</w:t>
      </w:r>
      <w:r w:rsidR="003F63C8" w:rsidRPr="003F63C8">
        <w:rPr>
          <w:rFonts w:ascii="Times New Roman" w:hAnsi="Times New Roman"/>
          <w:sz w:val="24"/>
          <w:szCs w:val="24"/>
          <w:lang w:eastAsia="sk-SK"/>
        </w:rPr>
        <w:t>ákon</w:t>
      </w:r>
      <w:r w:rsidR="003F63C8">
        <w:rPr>
          <w:rFonts w:ascii="Times New Roman" w:hAnsi="Times New Roman"/>
          <w:sz w:val="24"/>
          <w:szCs w:val="24"/>
          <w:lang w:eastAsia="sk-SK"/>
        </w:rPr>
        <w:t>a</w:t>
      </w:r>
      <w:r w:rsidR="003F63C8" w:rsidRPr="003F63C8">
        <w:rPr>
          <w:rFonts w:ascii="Times New Roman" w:hAnsi="Times New Roman"/>
          <w:sz w:val="24"/>
          <w:szCs w:val="24"/>
          <w:lang w:eastAsia="sk-SK"/>
        </w:rPr>
        <w:t xml:space="preserve"> č. 361/2014 Z. z. o dani z motorových vozidiel a o zmene a doplnení niektorých zákonov </w:t>
      </w:r>
      <w:r w:rsidR="003F63C8">
        <w:rPr>
          <w:rFonts w:ascii="Times New Roman" w:hAnsi="Times New Roman"/>
          <w:sz w:val="24"/>
          <w:szCs w:val="24"/>
          <w:lang w:eastAsia="sk-SK"/>
        </w:rPr>
        <w:t xml:space="preserve">v znení neskorších predpisov </w:t>
      </w:r>
      <w:r w:rsidRPr="00965CE0">
        <w:rPr>
          <w:rFonts w:ascii="Times New Roman" w:hAnsi="Times New Roman"/>
          <w:sz w:val="24"/>
          <w:szCs w:val="24"/>
          <w:lang w:eastAsia="sk-SK"/>
        </w:rPr>
        <w:t>vychádza z anonymizovaných individuálnych daňových priznaní z roku 202</w:t>
      </w:r>
      <w:r w:rsidR="001A7C40" w:rsidRPr="00965CE0">
        <w:rPr>
          <w:rFonts w:ascii="Times New Roman" w:hAnsi="Times New Roman"/>
          <w:sz w:val="24"/>
          <w:szCs w:val="24"/>
          <w:lang w:eastAsia="sk-SK"/>
        </w:rPr>
        <w:t>2</w:t>
      </w:r>
      <w:r w:rsidRPr="00965CE0">
        <w:rPr>
          <w:rFonts w:ascii="Times New Roman" w:hAnsi="Times New Roman"/>
          <w:sz w:val="24"/>
          <w:szCs w:val="24"/>
          <w:lang w:eastAsia="sk-SK"/>
        </w:rPr>
        <w:t>, ktorý bol indexovaný na rozpočtované obdobie</w:t>
      </w:r>
      <w:r w:rsidR="001A7C40" w:rsidRPr="00965CE0">
        <w:rPr>
          <w:rFonts w:ascii="Times New Roman" w:hAnsi="Times New Roman"/>
          <w:sz w:val="24"/>
          <w:szCs w:val="24"/>
          <w:lang w:eastAsia="sk-SK"/>
        </w:rPr>
        <w:t xml:space="preserve"> 2025</w:t>
      </w:r>
      <w:r w:rsidRPr="00965CE0">
        <w:rPr>
          <w:rFonts w:ascii="Times New Roman" w:hAnsi="Times New Roman"/>
          <w:sz w:val="24"/>
          <w:szCs w:val="24"/>
          <w:lang w:eastAsia="sk-SK"/>
        </w:rPr>
        <w:t xml:space="preserve">. Na základe dát vychádza, že legislatívna úprava sa pozitívne dotkne 27,8 tisíc podnikateľských subjektov. Zníženie sadzieb dane pre vozidlá kategórie N2, N3, M2, M3, O3 </w:t>
      </w:r>
      <w:r w:rsidRPr="00965CE0">
        <w:rPr>
          <w:rFonts w:ascii="Times New Roman" w:hAnsi="Times New Roman"/>
          <w:sz w:val="24"/>
          <w:szCs w:val="24"/>
          <w:lang w:eastAsia="sk-SK"/>
        </w:rPr>
        <w:lastRenderedPageBreak/>
        <w:t>a O4 si môžu uplatniť na 103 tisíc vozidiel. Legislatívna úprava ponecháva environmentálny aspekt zvýhodnením vozidiel s nižším vekom. Vozidlá do 3 rokov budú mať základnú sadzbu, staršie vozidlá budú mať zvýšenú sadzbu (staršie ako 15 rokov o 50 %).</w:t>
      </w:r>
      <w:r w:rsidR="00A56592" w:rsidRPr="00965CE0">
        <w:rPr>
          <w:rFonts w:ascii="Times New Roman" w:hAnsi="Times New Roman"/>
          <w:sz w:val="24"/>
          <w:szCs w:val="24"/>
          <w:lang w:eastAsia="sk-SK"/>
        </w:rPr>
        <w:t xml:space="preserve"> Rovnaký princíp základnej sadzby dane pre vozidlá do 3 rokov veku a zvýšenej sadzby dane pre staršie vozidlá sa uplatňuje aj na vozidlá kategórie L, M1 a N1. Z toho vyplýva, že sadzba dane pre vozidlá kategórie L, M1 a N1 sa zvýši v priemere o 40 eur na vozidlo pre </w:t>
      </w:r>
      <w:r w:rsidR="001A7C40" w:rsidRPr="00965CE0">
        <w:rPr>
          <w:rFonts w:ascii="Times New Roman" w:hAnsi="Times New Roman"/>
          <w:sz w:val="24"/>
          <w:szCs w:val="24"/>
          <w:lang w:eastAsia="sk-SK"/>
        </w:rPr>
        <w:t>663 994</w:t>
      </w:r>
      <w:r w:rsidR="00A56592" w:rsidRPr="00965CE0">
        <w:rPr>
          <w:rFonts w:ascii="Times New Roman" w:hAnsi="Times New Roman"/>
          <w:sz w:val="24"/>
          <w:szCs w:val="24"/>
          <w:lang w:eastAsia="sk-SK"/>
        </w:rPr>
        <w:t xml:space="preserve"> vozidiel (216 200 podnikateľských subjektov).</w:t>
      </w:r>
    </w:p>
    <w:p w14:paraId="61E0CBF1" w14:textId="77777777" w:rsidR="00E432B9" w:rsidRPr="00965CE0" w:rsidRDefault="00E432B9" w:rsidP="00E432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sk-SK"/>
        </w:rPr>
      </w:pPr>
    </w:p>
    <w:p w14:paraId="07FCBC3D" w14:textId="77777777" w:rsidR="00E432B9" w:rsidRPr="00965CE0" w:rsidRDefault="00E432B9" w:rsidP="00E432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sk-SK"/>
        </w:rPr>
      </w:pPr>
      <w:r w:rsidRPr="00965CE0">
        <w:rPr>
          <w:rFonts w:ascii="Times New Roman" w:hAnsi="Times New Roman"/>
          <w:b/>
          <w:sz w:val="28"/>
          <w:szCs w:val="28"/>
          <w:lang w:eastAsia="sk-SK"/>
        </w:rPr>
        <w:t>Negatívny vplyv na rozpočet</w:t>
      </w:r>
    </w:p>
    <w:p w14:paraId="05CE21EB" w14:textId="77777777" w:rsidR="00E432B9" w:rsidRPr="00965CE0" w:rsidRDefault="00E432B9" w:rsidP="00E432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sk-SK"/>
        </w:rPr>
      </w:pPr>
    </w:p>
    <w:p w14:paraId="4FF7D8DC" w14:textId="48B08D78" w:rsidR="00E432B9" w:rsidRPr="008D23D6" w:rsidRDefault="00E432B9" w:rsidP="00E432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965CE0">
        <w:rPr>
          <w:rFonts w:ascii="Times New Roman" w:hAnsi="Times New Roman"/>
          <w:sz w:val="24"/>
          <w:szCs w:val="24"/>
          <w:lang w:eastAsia="sk-SK"/>
        </w:rPr>
        <w:t xml:space="preserve">Návrh </w:t>
      </w:r>
      <w:r w:rsidR="003F63C8">
        <w:rPr>
          <w:rFonts w:ascii="Times New Roman" w:hAnsi="Times New Roman"/>
          <w:sz w:val="24"/>
          <w:szCs w:val="24"/>
          <w:lang w:eastAsia="sk-SK"/>
        </w:rPr>
        <w:t>zmeny z</w:t>
      </w:r>
      <w:r w:rsidR="003F63C8" w:rsidRPr="003F63C8">
        <w:rPr>
          <w:rFonts w:ascii="Times New Roman" w:hAnsi="Times New Roman"/>
          <w:sz w:val="24"/>
          <w:szCs w:val="24"/>
          <w:lang w:eastAsia="sk-SK"/>
        </w:rPr>
        <w:t>ákon</w:t>
      </w:r>
      <w:r w:rsidR="003F63C8">
        <w:rPr>
          <w:rFonts w:ascii="Times New Roman" w:hAnsi="Times New Roman"/>
          <w:sz w:val="24"/>
          <w:szCs w:val="24"/>
          <w:lang w:eastAsia="sk-SK"/>
        </w:rPr>
        <w:t>a</w:t>
      </w:r>
      <w:r w:rsidR="003F63C8" w:rsidRPr="003F63C8">
        <w:rPr>
          <w:rFonts w:ascii="Times New Roman" w:hAnsi="Times New Roman"/>
          <w:sz w:val="24"/>
          <w:szCs w:val="24"/>
          <w:lang w:eastAsia="sk-SK"/>
        </w:rPr>
        <w:t xml:space="preserve"> č. 361/2014 Z. z. o dani z motorových vozidiel a o zmene a doplnení niektorých zákonov </w:t>
      </w:r>
      <w:r w:rsidR="003F63C8">
        <w:rPr>
          <w:rFonts w:ascii="Times New Roman" w:hAnsi="Times New Roman"/>
          <w:sz w:val="24"/>
          <w:szCs w:val="24"/>
          <w:lang w:eastAsia="sk-SK"/>
        </w:rPr>
        <w:t>v znení neskorších predpisov</w:t>
      </w:r>
      <w:r w:rsidRPr="00965CE0">
        <w:rPr>
          <w:rFonts w:ascii="Times New Roman" w:hAnsi="Times New Roman"/>
          <w:sz w:val="24"/>
          <w:szCs w:val="24"/>
          <w:lang w:eastAsia="sk-SK"/>
        </w:rPr>
        <w:t xml:space="preserve"> rieši zmiernenie daňového zaťaženia autodopravcov v nákladnej doprave. Kvantifikácia vplyvu predpokladá nižšie daňové zaťaženie podnikateľov pri podaní daňového priznania už za rok 2025. Celkový akruálny výpadok zo zavedenia nižších ročných sadzieb vozidiel dotknutých kategórií </w:t>
      </w:r>
      <w:r w:rsidR="00A56592" w:rsidRPr="00965CE0">
        <w:rPr>
          <w:rFonts w:ascii="Times New Roman" w:hAnsi="Times New Roman"/>
          <w:sz w:val="24"/>
          <w:szCs w:val="24"/>
          <w:lang w:eastAsia="sk-SK"/>
        </w:rPr>
        <w:t xml:space="preserve">a upravených koeficientov zvýšenia sadzby dane pre vozidlá kategórie L, M1 a N1 </w:t>
      </w:r>
      <w:r w:rsidRPr="00965CE0">
        <w:rPr>
          <w:rFonts w:ascii="Times New Roman" w:hAnsi="Times New Roman"/>
          <w:sz w:val="24"/>
          <w:szCs w:val="24"/>
          <w:lang w:eastAsia="sk-SK"/>
        </w:rPr>
        <w:t xml:space="preserve">sa odhaduje na </w:t>
      </w:r>
      <w:r w:rsidR="00942E6B" w:rsidRPr="00965CE0">
        <w:rPr>
          <w:rFonts w:ascii="Times New Roman" w:hAnsi="Times New Roman"/>
          <w:sz w:val="24"/>
          <w:szCs w:val="24"/>
          <w:lang w:eastAsia="sk-SK"/>
        </w:rPr>
        <w:t>4,9</w:t>
      </w:r>
      <w:r w:rsidR="00965CE0" w:rsidRPr="00965CE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65CE0">
        <w:rPr>
          <w:rFonts w:ascii="Times New Roman" w:hAnsi="Times New Roman"/>
          <w:sz w:val="24"/>
          <w:szCs w:val="24"/>
          <w:lang w:eastAsia="sk-SK"/>
        </w:rPr>
        <w:t>mil. eur.</w:t>
      </w:r>
    </w:p>
    <w:p w14:paraId="0DD46F77" w14:textId="77777777" w:rsidR="00E432B9" w:rsidRPr="007B7470" w:rsidRDefault="00E432B9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E432B9" w:rsidRPr="007B7470" w:rsidSect="002B63F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14:paraId="4DCDFA48" w14:textId="26449350" w:rsidR="007D5748" w:rsidRPr="007B7470" w:rsidRDefault="003408F5" w:rsidP="00635A61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</w:t>
      </w:r>
      <w:r w:rsidR="00017A81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Národná diaľničná spoločnosť, a.</w:t>
      </w:r>
      <w:r w:rsidR="00635A61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</w:t>
      </w:r>
      <w:r w:rsidR="00017A81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s.</w:t>
      </w: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Tabuľka č. 3</w:t>
      </w:r>
    </w:p>
    <w:tbl>
      <w:tblPr>
        <w:tblpPr w:leftFromText="141" w:rightFromText="141" w:vertAnchor="page" w:horzAnchor="margin" w:tblpXSpec="center" w:tblpY="171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3408F5" w:rsidRPr="007B7470" w14:paraId="4534CBDE" w14:textId="77777777" w:rsidTr="003408F5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0779E4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DC0296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A5BF78D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408F5" w:rsidRPr="007B7470" w14:paraId="12D07120" w14:textId="77777777" w:rsidTr="003408F5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CFDA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9BAD9F" w14:textId="77777777" w:rsidR="003408F5" w:rsidRPr="007B7470" w:rsidRDefault="00B91DF7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6074EA" w14:textId="77777777" w:rsidR="003408F5" w:rsidRPr="007B7470" w:rsidRDefault="00B91DF7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723224" w14:textId="77777777" w:rsidR="003408F5" w:rsidRPr="007B7470" w:rsidRDefault="00B91DF7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FA4FBE" w14:textId="77777777" w:rsidR="003408F5" w:rsidRPr="007B7470" w:rsidRDefault="00B91DF7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2028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FC80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3408F5" w:rsidRPr="007B7470" w14:paraId="6973AB65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9C0F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FE314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7162F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AF173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DA3AA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C9743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A779D" w:rsidRPr="007B7470" w14:paraId="4543BA8E" w14:textId="77777777" w:rsidTr="00E1762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3B87" w14:textId="77777777" w:rsidR="001A779D" w:rsidRPr="007B7470" w:rsidRDefault="001A779D" w:rsidP="001A7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F6ADB" w14:textId="075E11FA" w:rsidR="001A779D" w:rsidRPr="007B7470" w:rsidRDefault="001A779D" w:rsidP="001A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48 601 755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331F8" w14:textId="5729E4F9" w:rsidR="001A779D" w:rsidRPr="007B7470" w:rsidRDefault="001A779D" w:rsidP="001A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99 440 025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0CBD7" w14:textId="68C82FA4" w:rsidR="001A779D" w:rsidRPr="007B7470" w:rsidRDefault="001A779D" w:rsidP="001A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101 130 506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8BB4A" w14:textId="289AC556" w:rsidR="001A779D" w:rsidRPr="007B7470" w:rsidRDefault="001A779D" w:rsidP="001A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102 950 855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5EAF7" w14:textId="77777777" w:rsidR="001A779D" w:rsidRPr="007B7470" w:rsidRDefault="001A779D" w:rsidP="001A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3B864C43" w14:textId="77777777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B599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B8A85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DE548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1FA9D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80B77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C9113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32DC7407" w14:textId="77777777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6F52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3737B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1597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32EE1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2C4D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27983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7B7470" w14:paraId="62EE2EA1" w14:textId="77777777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F76D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FE3FE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677A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0BC37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15E6D" w14:textId="77777777" w:rsidR="003408F5" w:rsidRPr="007B7470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04A45" w14:textId="77777777" w:rsidR="003408F5" w:rsidRPr="007B7470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A779D" w:rsidRPr="007B7470" w14:paraId="763BA9DF" w14:textId="77777777" w:rsidTr="00E1762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7FB01A" w14:textId="77777777" w:rsidR="001A779D" w:rsidRPr="007B7470" w:rsidRDefault="001A779D" w:rsidP="001A7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93B893" w14:textId="35E0362F" w:rsidR="001A779D" w:rsidRPr="007B7470" w:rsidRDefault="001A779D" w:rsidP="001A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48 601 755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1CC527" w14:textId="012D7F16" w:rsidR="001A779D" w:rsidRPr="007B7470" w:rsidRDefault="001A779D" w:rsidP="001A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99 440 025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C45CA2" w14:textId="11C0443D" w:rsidR="001A779D" w:rsidRPr="007B7470" w:rsidRDefault="001A779D" w:rsidP="001A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101 130 506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22893F" w14:textId="502A46BD" w:rsidR="001A779D" w:rsidRPr="007B7470" w:rsidRDefault="001A779D" w:rsidP="001A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102 950 855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AF7F9EC" w14:textId="77777777" w:rsidR="001A779D" w:rsidRPr="007B7470" w:rsidRDefault="001A779D" w:rsidP="001A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69F0D9BA" w14:textId="0467DD6E" w:rsidR="001A779D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14:paraId="1FA68121" w14:textId="77777777" w:rsidR="001A779D" w:rsidRDefault="001A779D">
      <w:pP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br w:type="page"/>
      </w:r>
    </w:p>
    <w:p w14:paraId="1F40EAA4" w14:textId="6DCAD2C4" w:rsidR="00E432B9" w:rsidRPr="007B7470" w:rsidRDefault="00A11F63" w:rsidP="001A779D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Všeobecná pokladničná správa                                                                                                                                                                                                   </w:t>
      </w:r>
      <w:r w:rsidR="001A779D" w:rsidRPr="001A779D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Tabuľka č. 3</w:t>
      </w:r>
      <w:r w:rsidR="00E432B9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page" w:horzAnchor="margin" w:tblpXSpec="center" w:tblpY="171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E432B9" w:rsidRPr="007B7470" w14:paraId="475B32DD" w14:textId="77777777" w:rsidTr="00AF647A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765E7C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138AC6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8BF8B98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E432B9" w:rsidRPr="007B7470" w14:paraId="5D7F0B5A" w14:textId="77777777" w:rsidTr="00AF647A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30AA" w14:textId="77777777" w:rsidR="00E432B9" w:rsidRPr="007B7470" w:rsidRDefault="00E432B9" w:rsidP="00AF6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469E34" w14:textId="2B7EF324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A11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3036CA" w14:textId="40427C2D" w:rsidR="00E432B9" w:rsidRPr="007B7470" w:rsidRDefault="00E432B9" w:rsidP="00A1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A11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B2ADA2" w14:textId="51A2AADB" w:rsidR="00E432B9" w:rsidRPr="007B7470" w:rsidRDefault="00E432B9" w:rsidP="00A1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A11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BC2047" w14:textId="68816B99" w:rsidR="00E432B9" w:rsidRPr="007B7470" w:rsidRDefault="00E432B9" w:rsidP="00A1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A11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2A85" w14:textId="77777777" w:rsidR="00E432B9" w:rsidRPr="007B7470" w:rsidRDefault="00E432B9" w:rsidP="00AF6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E432B9" w:rsidRPr="007B7470" w14:paraId="6D1A00D3" w14:textId="77777777" w:rsidTr="00AF647A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7022" w14:textId="77777777" w:rsidR="00E432B9" w:rsidRPr="007B7470" w:rsidRDefault="00E432B9" w:rsidP="00AF6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1AC88" w14:textId="2C17A89E" w:rsidR="00E432B9" w:rsidRPr="00374F8D" w:rsidRDefault="00A11F63" w:rsidP="00AF6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-4 887 00</w:t>
            </w:r>
            <w:r w:rsidR="00E432B9" w:rsidRPr="00374F8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4B1B3" w14:textId="16259628" w:rsidR="00E432B9" w:rsidRPr="00374F8D" w:rsidRDefault="00E432B9" w:rsidP="001D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374F8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-</w:t>
            </w:r>
            <w:r w:rsidR="001D1E2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4 887 </w:t>
            </w:r>
            <w:r w:rsidR="00A56592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20722" w14:textId="454C5569" w:rsidR="00E432B9" w:rsidRPr="00374F8D" w:rsidRDefault="00E432B9" w:rsidP="001D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374F8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-</w:t>
            </w:r>
            <w:r w:rsidR="001D1E2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4 887</w:t>
            </w:r>
            <w:r w:rsidRPr="00374F8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8546E" w14:textId="618211CB" w:rsidR="00E432B9" w:rsidRPr="00374F8D" w:rsidRDefault="00E432B9" w:rsidP="001D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374F8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-</w:t>
            </w:r>
            <w:r w:rsidR="001D1E2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4 887</w:t>
            </w:r>
            <w:r w:rsidRPr="00374F8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BD8D3" w14:textId="3F9C3B66" w:rsidR="00E432B9" w:rsidRPr="007B7470" w:rsidRDefault="00E432B9" w:rsidP="00A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B3726"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  <w:t xml:space="preserve">Pokles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  <w:t>príjmov</w:t>
            </w:r>
            <w:r w:rsidRPr="002B3726"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  <w:t xml:space="preserve"> z dôvodu zníženia ročných sadzieb dane</w:t>
            </w:r>
            <w:r w:rsidR="00A56592">
              <w:rPr>
                <w:rFonts w:ascii="Times New Roman" w:hAnsi="Times New Roman"/>
                <w:color w:val="000000" w:themeColor="text1"/>
                <w:sz w:val="24"/>
                <w:szCs w:val="24"/>
                <w:lang w:eastAsia="sk-SK"/>
              </w:rPr>
              <w:t xml:space="preserve"> a upravených koeficientov veku vozidla pre všetky kategórie vozidiel jednotne</w:t>
            </w:r>
          </w:p>
        </w:tc>
      </w:tr>
      <w:tr w:rsidR="00E432B9" w:rsidRPr="007B7470" w14:paraId="2D39AB63" w14:textId="77777777" w:rsidTr="00AF647A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8741" w14:textId="77777777" w:rsidR="00E432B9" w:rsidRPr="007B7470" w:rsidRDefault="00E432B9" w:rsidP="00AF6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791F7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7AA44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BBE27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ADB01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05A00" w14:textId="77777777" w:rsidR="00E432B9" w:rsidRPr="007B7470" w:rsidRDefault="00E432B9" w:rsidP="00A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432B9" w:rsidRPr="007B7470" w14:paraId="1D175FAC" w14:textId="77777777" w:rsidTr="00AF647A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B255" w14:textId="77777777" w:rsidR="00E432B9" w:rsidRPr="007B7470" w:rsidRDefault="00E432B9" w:rsidP="00AF6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637A7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1D429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52893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256A9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E36145" w14:textId="77777777" w:rsidR="00E432B9" w:rsidRPr="007B7470" w:rsidRDefault="00E432B9" w:rsidP="00A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432B9" w:rsidRPr="007B7470" w14:paraId="5E24720C" w14:textId="77777777" w:rsidTr="00AF647A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0787" w14:textId="77777777" w:rsidR="00E432B9" w:rsidRPr="007B7470" w:rsidRDefault="00E432B9" w:rsidP="00AF6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388CE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1A9B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88FE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6C8F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8AA68E" w14:textId="77777777" w:rsidR="00E432B9" w:rsidRPr="007B7470" w:rsidRDefault="00E432B9" w:rsidP="00A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432B9" w:rsidRPr="007B7470" w14:paraId="4340E8DC" w14:textId="77777777" w:rsidTr="00AF647A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15BE" w14:textId="77777777" w:rsidR="00E432B9" w:rsidRPr="007B7470" w:rsidRDefault="00E432B9" w:rsidP="00AF6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6FCA0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87D4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93AC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2E84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8292F" w14:textId="77777777" w:rsidR="00E432B9" w:rsidRPr="007B7470" w:rsidRDefault="00E432B9" w:rsidP="00A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432B9" w:rsidRPr="007B7470" w14:paraId="63DCCCB6" w14:textId="77777777" w:rsidTr="00AF647A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321245" w14:textId="77777777" w:rsidR="00E432B9" w:rsidRPr="007B7470" w:rsidRDefault="00E432B9" w:rsidP="00AF6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F3AC72" w14:textId="1C526056" w:rsidR="00E432B9" w:rsidRPr="00374F8D" w:rsidRDefault="00A11F63" w:rsidP="00AF64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-4 887 00</w:t>
            </w:r>
            <w:r w:rsidR="00E432B9" w:rsidRPr="00374F8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2B60E9" w14:textId="2F68E0C1" w:rsidR="00E432B9" w:rsidRPr="00374F8D" w:rsidRDefault="00E432B9" w:rsidP="001D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374F8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-</w:t>
            </w:r>
            <w:r w:rsidR="001D1E2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4 887</w:t>
            </w:r>
            <w:r w:rsidRPr="00374F8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31C021" w14:textId="71290C45" w:rsidR="00E432B9" w:rsidRPr="00374F8D" w:rsidRDefault="00E432B9" w:rsidP="001D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374F8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-</w:t>
            </w:r>
            <w:r w:rsidR="001D1E2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4 887</w:t>
            </w:r>
            <w:r w:rsidRPr="00374F8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A4AB00" w14:textId="02F7223C" w:rsidR="00E432B9" w:rsidRPr="00374F8D" w:rsidRDefault="00E432B9" w:rsidP="001D1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374F8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-</w:t>
            </w:r>
            <w:r w:rsidR="001D1E2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4 887</w:t>
            </w:r>
            <w:r w:rsidRPr="00374F8D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040DFF6" w14:textId="77777777" w:rsidR="00E432B9" w:rsidRPr="007B7470" w:rsidRDefault="00E432B9" w:rsidP="00A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28A654FC" w14:textId="77777777" w:rsidR="00E432B9" w:rsidRPr="007B7470" w:rsidRDefault="00E432B9" w:rsidP="00E432B9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14:paraId="733D80EF" w14:textId="77777777" w:rsidR="007D5748" w:rsidRPr="007B7470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1C77E4F2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3E96DBA6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C7550F0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BAED4A9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D21508D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21C267D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CFD473B" w14:textId="77777777"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BA2504A" w14:textId="77777777" w:rsidR="003408F5" w:rsidRPr="007B7470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CEF1E02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C5F1C74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7D34CEE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03B288B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88F2D6B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7CE424D" w14:textId="77777777" w:rsidR="007D5748" w:rsidRPr="007B7470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2C630A1" w14:textId="5CA17BB3" w:rsidR="007D5748" w:rsidRPr="007B7470" w:rsidRDefault="0042281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</w:t>
      </w:r>
      <w:r w:rsidR="00017A81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Národná diaľničná spoločnosť, a.</w:t>
      </w:r>
      <w:r w:rsidR="00E432B9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</w:t>
      </w:r>
      <w:r w:rsidR="00017A81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s.</w:t>
      </w:r>
      <w:r w:rsidR="00B801BA"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Tabuľka č. 4/A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7D5748" w:rsidRPr="007B7470" w14:paraId="312D3F49" w14:textId="77777777" w:rsidTr="005E3699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444E28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771AD1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74C9CEE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B7470" w14:paraId="13847D90" w14:textId="77777777" w:rsidTr="005E3699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E1B1C8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6E0C78" w14:textId="77777777" w:rsidR="007D5748" w:rsidRPr="007B7470" w:rsidRDefault="001B653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E0FDA9" w14:textId="77777777" w:rsidR="007D5748" w:rsidRPr="007B7470" w:rsidRDefault="001B653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6FFA5D" w14:textId="77777777" w:rsidR="007D5748" w:rsidRPr="007B7470" w:rsidRDefault="001B653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E48915" w14:textId="77777777" w:rsidR="007D5748" w:rsidRPr="00791768" w:rsidRDefault="001B653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2028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AACE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B7470" w14:paraId="1BC40BD3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BB80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3148F" w14:textId="77777777" w:rsidR="007D5748" w:rsidRPr="007B7470" w:rsidRDefault="001B6536" w:rsidP="001B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2 25</w:t>
            </w:r>
            <w:r w:rsidR="00A710A6" w:rsidRPr="00831A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0 000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8A3D6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24C8A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F3773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BF3795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524C8D7D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5613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0E820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5E992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E46A2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857FE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94A361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398141B5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D8AA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0CCF1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33BEE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ECF08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9613E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443A67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25676B49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90C0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7E0FA" w14:textId="77777777" w:rsidR="007D5748" w:rsidRPr="001B6536" w:rsidRDefault="001B653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B6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2 250 000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EBEBE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87CD5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9A9F4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9E6C8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710A6" w:rsidRPr="007B7470" w14:paraId="21838DD4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A730" w14:textId="77777777" w:rsidR="00A710A6" w:rsidRPr="00791768" w:rsidRDefault="00791768" w:rsidP="00791768">
            <w:pPr>
              <w:pStyle w:val="Odsekzoznamu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zmenové konanie NDS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9A3D9" w14:textId="77777777" w:rsidR="00A710A6" w:rsidRPr="001B6536" w:rsidRDefault="001B653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1B6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2 250 000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F7348" w14:textId="77777777" w:rsidR="00A710A6" w:rsidRPr="007B7470" w:rsidRDefault="00A710A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65485" w14:textId="77777777" w:rsidR="00A710A6" w:rsidRPr="007B7470" w:rsidRDefault="00A710A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5311A" w14:textId="77777777" w:rsidR="00A710A6" w:rsidRPr="007B7470" w:rsidRDefault="00A710A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9BAE3" w14:textId="77777777" w:rsidR="00A710A6" w:rsidRPr="007B7470" w:rsidRDefault="00A710A6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14:paraId="42C70366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BF0E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2490A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8CD03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DD7C4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B2E6D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0FC97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21EC3928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3206" w14:textId="77777777" w:rsidR="007D5748" w:rsidRPr="007B7470" w:rsidRDefault="007D5748" w:rsidP="008D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="008D339D" w:rsidRPr="007B7470">
              <w:t xml:space="preserve"> </w:t>
            </w:r>
            <w:r w:rsidR="008D339D"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E0571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3A427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D5FC8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05FFD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F28C8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A779D" w:rsidRPr="007B7470" w14:paraId="0B0E07D4" w14:textId="77777777" w:rsidTr="00E1762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655B" w14:textId="77777777" w:rsidR="001A779D" w:rsidRPr="007B7470" w:rsidRDefault="001A779D" w:rsidP="001A7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24C3E" w14:textId="33753908" w:rsidR="001A779D" w:rsidRPr="00635A61" w:rsidRDefault="001A779D" w:rsidP="001A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6</w:t>
            </w:r>
            <w:r w:rsidRPr="00EF0B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35</w:t>
            </w:r>
            <w:r w:rsidRPr="00EF0B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1 755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3CDD9" w14:textId="31128C50" w:rsidR="001A779D" w:rsidRPr="00635A61" w:rsidRDefault="001A779D" w:rsidP="001A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99 440 025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CEA2D" w14:textId="50E4EE14" w:rsidR="001A779D" w:rsidRPr="00635A61" w:rsidRDefault="001A779D" w:rsidP="001A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101 130 506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0B35D" w14:textId="65F31428" w:rsidR="001A779D" w:rsidRPr="00635A61" w:rsidRDefault="001A779D" w:rsidP="001A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102 950 855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DC9A8" w14:textId="77777777" w:rsidR="001A779D" w:rsidRPr="007B7470" w:rsidRDefault="001A779D" w:rsidP="001A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A779D" w:rsidRPr="007B7470" w14:paraId="68F27DD9" w14:textId="77777777" w:rsidTr="00E1762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02AB" w14:textId="77777777" w:rsidR="001A779D" w:rsidRPr="007B7470" w:rsidRDefault="001A779D" w:rsidP="001A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62BDE" w14:textId="1600604B" w:rsidR="001A779D" w:rsidRPr="001A779D" w:rsidRDefault="001A779D" w:rsidP="001A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46</w:t>
            </w:r>
            <w:r w:rsidRPr="001A77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35</w:t>
            </w:r>
            <w:r w:rsidRPr="001A77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1 755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DC402" w14:textId="4F99AB06" w:rsidR="001A779D" w:rsidRPr="001A779D" w:rsidRDefault="001A779D" w:rsidP="001A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  <w:r w:rsidRPr="001A77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99 440 025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54AD5" w14:textId="7FB228A9" w:rsidR="001A779D" w:rsidRPr="001A779D" w:rsidRDefault="001A779D" w:rsidP="001A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  <w:r w:rsidRPr="001A77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101 130 506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49981" w14:textId="49559F24" w:rsidR="001A779D" w:rsidRPr="001A779D" w:rsidRDefault="001A779D" w:rsidP="001A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  <w:r w:rsidRPr="001A77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102 950 855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51D8AF" w14:textId="77777777" w:rsidR="001A779D" w:rsidRPr="007B7470" w:rsidRDefault="001A779D" w:rsidP="001A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5D58CA1D" w14:textId="77777777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EA97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E66E3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E0FF8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78086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A7005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83367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12783D21" w14:textId="77777777" w:rsidTr="007B747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9041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0DFAA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12C43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E653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CBC8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97206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A779D" w:rsidRPr="007B7470" w14:paraId="06E06A36" w14:textId="77777777" w:rsidTr="00E1762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CDD283" w14:textId="77777777" w:rsidR="001A779D" w:rsidRPr="007B7470" w:rsidRDefault="001A779D" w:rsidP="001A7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11B5EB" w14:textId="1CDE1362" w:rsidR="001A779D" w:rsidRPr="00635A61" w:rsidRDefault="001A779D" w:rsidP="001A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48 601 755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7CD967" w14:textId="537CCBE1" w:rsidR="001A779D" w:rsidRPr="00635A61" w:rsidRDefault="001A779D" w:rsidP="001A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99 440 025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AD26DF" w14:textId="0B92EB3B" w:rsidR="001A779D" w:rsidRPr="00635A61" w:rsidRDefault="001A779D" w:rsidP="001A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101 130 506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B92CC7" w14:textId="06D9E703" w:rsidR="001A779D" w:rsidRPr="00635A61" w:rsidRDefault="001A779D" w:rsidP="001A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102 950 855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5F79A20" w14:textId="77777777" w:rsidR="001A779D" w:rsidRPr="007B7470" w:rsidRDefault="001A779D" w:rsidP="001A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6A575003" w14:textId="4F0BD24A" w:rsidR="0042281A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</w:t>
      </w:r>
      <w:r w:rsidR="007D5748"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14:paraId="20915A3D" w14:textId="77777777" w:rsidR="0034188C" w:rsidRDefault="0034188C">
      <w:pP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138F407F" w14:textId="6CA211CA" w:rsidR="0042281A" w:rsidRDefault="0034188C">
      <w:pP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247267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Zvýšené výdavky NDS, a. s. sú kryté zo zvýšených príjmov z výnosov z výberu mýta v roku 2025 v sume 48 601 755 eur, v roku 2026 v sume 99 440 025 eur, v roku 2027 v sume 101 130 506 eur a v roku 2028 v sume 102 950 855 eur, čo je považované za </w:t>
      </w:r>
      <w:proofErr w:type="spellStart"/>
      <w:r w:rsidRPr="00247267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diskrečné</w:t>
      </w:r>
      <w:proofErr w:type="spellEnd"/>
      <w:r w:rsidRPr="00247267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príjmové opatrenie, a teda nedochádza k negatívnemu vplyvu na limit verejných výdavkov.</w:t>
      </w:r>
      <w:r w:rsidR="0042281A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br w:type="page"/>
      </w:r>
    </w:p>
    <w:p w14:paraId="3DB6C10F" w14:textId="77777777" w:rsidR="00E432B9" w:rsidRPr="007B7470" w:rsidRDefault="00E432B9" w:rsidP="00E432B9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Tabuľka č. 4/A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E432B9" w:rsidRPr="007B7470" w14:paraId="7C4F41F9" w14:textId="77777777" w:rsidTr="00AF647A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1944AD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6C6DBA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DBA39FB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E432B9" w:rsidRPr="007B7470" w14:paraId="13A23B2B" w14:textId="77777777" w:rsidTr="00AF647A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A2EDF6" w14:textId="77777777" w:rsidR="00E432B9" w:rsidRPr="007B7470" w:rsidRDefault="00E432B9" w:rsidP="00AF6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8FBDA1" w14:textId="279C2C66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5B3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6A72FF" w14:textId="2D5FFDB4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5B3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CA929B" w14:textId="5694A22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5B3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67026C" w14:textId="1F1DA21D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5B3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D954" w14:textId="77777777" w:rsidR="00E432B9" w:rsidRPr="007B7470" w:rsidRDefault="00E432B9" w:rsidP="00AF6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E432B9" w:rsidRPr="007B7470" w14:paraId="69D31567" w14:textId="77777777" w:rsidTr="00AF647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9751" w14:textId="77777777" w:rsidR="00E432B9" w:rsidRPr="007B7470" w:rsidRDefault="00E432B9" w:rsidP="00AF6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DEF30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E12CE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420CF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B72F9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6A921" w14:textId="77777777" w:rsidR="00E432B9" w:rsidRPr="007B7470" w:rsidRDefault="00E432B9" w:rsidP="00A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432B9" w:rsidRPr="007B7470" w14:paraId="41EB6104" w14:textId="77777777" w:rsidTr="00AF647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F605" w14:textId="77777777" w:rsidR="00E432B9" w:rsidRPr="007B7470" w:rsidRDefault="00E432B9" w:rsidP="00A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30358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42587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08EB9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03183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8546A" w14:textId="77777777" w:rsidR="00E432B9" w:rsidRPr="007B7470" w:rsidRDefault="00E432B9" w:rsidP="00A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432B9" w:rsidRPr="007B7470" w14:paraId="27A3BCF2" w14:textId="77777777" w:rsidTr="00AF647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AFB0" w14:textId="77777777" w:rsidR="00E432B9" w:rsidRPr="007B7470" w:rsidRDefault="00E432B9" w:rsidP="00A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1FFF4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507C9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8832E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D81C2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7C7AC" w14:textId="77777777" w:rsidR="00E432B9" w:rsidRPr="007B7470" w:rsidRDefault="00E432B9" w:rsidP="00A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432B9" w:rsidRPr="007B7470" w14:paraId="2599F8D1" w14:textId="77777777" w:rsidTr="00AF647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50E0" w14:textId="77777777" w:rsidR="00E432B9" w:rsidRPr="007B7470" w:rsidRDefault="00E432B9" w:rsidP="00A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F8DBA" w14:textId="4EE0F43F" w:rsidR="00E432B9" w:rsidRPr="007B7470" w:rsidRDefault="005B3241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250 000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CBEB6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D110D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3FDC1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AD3BF" w14:textId="77777777" w:rsidR="00E432B9" w:rsidRPr="007B7470" w:rsidRDefault="00E432B9" w:rsidP="00A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432B9" w:rsidRPr="007B7470" w14:paraId="1A97D481" w14:textId="77777777" w:rsidTr="00AF647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26C5" w14:textId="77777777" w:rsidR="00E432B9" w:rsidRPr="007B7470" w:rsidRDefault="00E432B9" w:rsidP="00A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B19ED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E6213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56FF5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4E9FD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15C8A" w14:textId="77777777" w:rsidR="00E432B9" w:rsidRPr="007B7470" w:rsidRDefault="00E432B9" w:rsidP="00A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432B9" w:rsidRPr="007B7470" w14:paraId="12C29DE5" w14:textId="77777777" w:rsidTr="00AF647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1F72" w14:textId="77777777" w:rsidR="00E432B9" w:rsidRPr="007B7470" w:rsidRDefault="00E432B9" w:rsidP="00A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3364C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6F24D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A5501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BE9E5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8CAA2" w14:textId="77777777" w:rsidR="00E432B9" w:rsidRPr="007B7470" w:rsidRDefault="00E432B9" w:rsidP="00A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432B9" w:rsidRPr="007B7470" w14:paraId="04698887" w14:textId="77777777" w:rsidTr="00AF647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032D" w14:textId="77777777" w:rsidR="00E432B9" w:rsidRPr="007B7470" w:rsidRDefault="00E432B9" w:rsidP="00AF6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6BCE5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99E72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03BA0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C5C85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6034E" w14:textId="77777777" w:rsidR="00E432B9" w:rsidRPr="007B7470" w:rsidRDefault="00E432B9" w:rsidP="00A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432B9" w:rsidRPr="007B7470" w14:paraId="2ACB30A0" w14:textId="77777777" w:rsidTr="00AF647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5792" w14:textId="77777777" w:rsidR="00E432B9" w:rsidRPr="007B7470" w:rsidRDefault="00E432B9" w:rsidP="00A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7532C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E930E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C5248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D77F5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FF01B" w14:textId="77777777" w:rsidR="00E432B9" w:rsidRPr="007B7470" w:rsidRDefault="00E432B9" w:rsidP="00A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432B9" w:rsidRPr="007B7470" w14:paraId="7A671A7E" w14:textId="77777777" w:rsidTr="00AF647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247E" w14:textId="77777777" w:rsidR="00E432B9" w:rsidRPr="007B7470" w:rsidRDefault="00E432B9" w:rsidP="00A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5E2B8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78ABC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1F243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7D55F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17FF8" w14:textId="77777777" w:rsidR="00E432B9" w:rsidRPr="007B7470" w:rsidRDefault="00E432B9" w:rsidP="00A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432B9" w:rsidRPr="007B7470" w14:paraId="3A06770E" w14:textId="77777777" w:rsidTr="00AF647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45F6" w14:textId="77777777" w:rsidR="00E432B9" w:rsidRPr="007B7470" w:rsidRDefault="00E432B9" w:rsidP="00AF6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E7AD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CB49B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99992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21E0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14BD1" w14:textId="77777777" w:rsidR="00E432B9" w:rsidRPr="007B7470" w:rsidRDefault="00E432B9" w:rsidP="00A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E432B9" w:rsidRPr="007B7470" w14:paraId="7379F29D" w14:textId="77777777" w:rsidTr="00AF647A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121DAB" w14:textId="77777777" w:rsidR="00E432B9" w:rsidRPr="007B7470" w:rsidRDefault="00E432B9" w:rsidP="00AF6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08EAD5" w14:textId="2706FA31" w:rsidR="00E432B9" w:rsidRPr="007B7470" w:rsidRDefault="005B3241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250 000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25D2AF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104D3A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6F991E" w14:textId="77777777" w:rsidR="00E432B9" w:rsidRPr="007B7470" w:rsidRDefault="00E432B9" w:rsidP="00A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E51CEDF" w14:textId="77777777" w:rsidR="00E432B9" w:rsidRPr="007B7470" w:rsidRDefault="00E432B9" w:rsidP="00A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285D6B52" w14:textId="77777777" w:rsidR="00E432B9" w:rsidRPr="007B7470" w:rsidRDefault="00E432B9" w:rsidP="00E432B9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2 –  výdavky rozpísať až do položiek platnej ekonomickej klasifikácie</w:t>
      </w:r>
    </w:p>
    <w:p w14:paraId="031FB6B0" w14:textId="6646E3EE" w:rsidR="00F87875" w:rsidRDefault="00F87875">
      <w:pP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br w:type="page"/>
      </w:r>
    </w:p>
    <w:p w14:paraId="0CC4E53E" w14:textId="110E7AFD" w:rsidR="00B801BA" w:rsidRPr="007B7470" w:rsidRDefault="00B801B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</w:t>
      </w:r>
      <w:r w:rsidR="00017A81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Národná diaľničná spoločnosť, a.</w:t>
      </w:r>
      <w:r w:rsidR="00E432B9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</w:t>
      </w:r>
      <w:r w:rsidR="00017A81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s.</w:t>
      </w: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Tabuľka č. 4/B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A738C0" w:rsidRPr="007B7470" w14:paraId="2522D6B7" w14:textId="77777777" w:rsidTr="00C16C1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9B233B" w14:textId="77777777" w:rsidR="00440A1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Vplyvy</w:t>
            </w:r>
            <w:r w:rsidR="003408F5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(v metodike ESA 2010</w:t>
            </w:r>
            <w:r w:rsidR="00440A16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A398F9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</w:t>
            </w:r>
            <w:r w:rsidR="003408F5"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plyv na limit verejných výdavkov subjektu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930831E" w14:textId="77777777" w:rsidR="00440A16" w:rsidRPr="007B7470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poznámka</w:t>
            </w:r>
          </w:p>
        </w:tc>
      </w:tr>
      <w:tr w:rsidR="00A738C0" w:rsidRPr="007B7470" w14:paraId="6CE0A74B" w14:textId="77777777" w:rsidTr="00C16C1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93E287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6629C9" w14:textId="176F8D3C" w:rsidR="00440A16" w:rsidRPr="007B7470" w:rsidRDefault="00017A81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5DEE92" w14:textId="2D89FFDA" w:rsidR="00440A16" w:rsidRPr="007B7470" w:rsidRDefault="00017A81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9615E7" w14:textId="22292BDC" w:rsidR="00440A16" w:rsidRPr="007B7470" w:rsidRDefault="00017A81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D327F8" w14:textId="20844C59" w:rsidR="00440A16" w:rsidRPr="007B7470" w:rsidRDefault="00017A81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5B3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2028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38E7" w14:textId="77777777" w:rsidR="00440A16" w:rsidRPr="007B7470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7B7470" w14:paraId="416882C6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DCFD" w14:textId="77777777" w:rsidR="00F20986" w:rsidRPr="007B7470" w:rsidRDefault="00F2098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08962" w14:textId="77777777"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36CA2" w14:textId="77777777"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B8E24" w14:textId="77777777"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8EEB2" w14:textId="77777777" w:rsidR="00F20986" w:rsidRPr="007B7470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9E08E" w14:textId="77777777" w:rsidR="00F20986" w:rsidRPr="007B7470" w:rsidRDefault="00F2098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017A81" w:rsidRPr="007B7470" w14:paraId="6A0D96F6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C1F1" w14:textId="77777777" w:rsidR="00017A81" w:rsidRPr="007B7470" w:rsidRDefault="00017A81" w:rsidP="00017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6167D" w14:textId="77777777" w:rsidR="00017A81" w:rsidRPr="007B7470" w:rsidRDefault="00017A81" w:rsidP="000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2 25</w:t>
            </w:r>
            <w:r w:rsidRPr="00831A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0 000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98E61" w14:textId="77777777" w:rsidR="00017A81" w:rsidRPr="007B7470" w:rsidRDefault="00017A81" w:rsidP="000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7F854" w14:textId="77777777" w:rsidR="00017A81" w:rsidRPr="007B7470" w:rsidRDefault="00017A81" w:rsidP="000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E873B" w14:textId="77777777" w:rsidR="00017A81" w:rsidRPr="007B7470" w:rsidRDefault="00017A81" w:rsidP="000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6BEAC" w14:textId="77777777" w:rsidR="00017A81" w:rsidRPr="007B7470" w:rsidRDefault="00017A81" w:rsidP="0001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017A81" w:rsidRPr="007B7470" w14:paraId="1C54F5FB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4A56" w14:textId="77777777" w:rsidR="00017A81" w:rsidRPr="007B7470" w:rsidRDefault="00017A81" w:rsidP="0001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19F75" w14:textId="77777777" w:rsidR="00017A81" w:rsidRPr="007B7470" w:rsidRDefault="00017A81" w:rsidP="000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F19A7" w14:textId="77777777" w:rsidR="00017A81" w:rsidRPr="007B7470" w:rsidRDefault="00017A81" w:rsidP="000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806D1" w14:textId="77777777" w:rsidR="00017A81" w:rsidRPr="007B7470" w:rsidRDefault="00017A81" w:rsidP="000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A5006" w14:textId="77777777" w:rsidR="00017A81" w:rsidRPr="007B7470" w:rsidRDefault="00017A81" w:rsidP="000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CD6B1" w14:textId="77777777" w:rsidR="00017A81" w:rsidRPr="007B7470" w:rsidRDefault="00017A81" w:rsidP="0001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017A81" w:rsidRPr="007B7470" w14:paraId="165D5A20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6213" w14:textId="77777777" w:rsidR="00017A81" w:rsidRPr="007B7470" w:rsidRDefault="00017A81" w:rsidP="0001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815BF" w14:textId="77777777" w:rsidR="00017A81" w:rsidRPr="007B7470" w:rsidRDefault="00017A81" w:rsidP="000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705A0" w14:textId="77777777" w:rsidR="00017A81" w:rsidRPr="007B7470" w:rsidRDefault="00017A81" w:rsidP="000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F8F4F" w14:textId="77777777" w:rsidR="00017A81" w:rsidRPr="007B7470" w:rsidRDefault="00017A81" w:rsidP="000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9AEC8" w14:textId="77777777" w:rsidR="00017A81" w:rsidRPr="007B7470" w:rsidRDefault="00017A81" w:rsidP="000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52FA68" w14:textId="77777777" w:rsidR="00017A81" w:rsidRPr="007B7470" w:rsidRDefault="00017A81" w:rsidP="0001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017A81" w:rsidRPr="007B7470" w14:paraId="1486029E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384C" w14:textId="77777777" w:rsidR="00017A81" w:rsidRPr="007B7470" w:rsidRDefault="00017A81" w:rsidP="0001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Tovary a služby (630)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777B4" w14:textId="77777777" w:rsidR="00017A81" w:rsidRPr="007B7470" w:rsidRDefault="00017A81" w:rsidP="000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1B65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2 250 000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801CB" w14:textId="77777777" w:rsidR="00017A81" w:rsidRPr="007B7470" w:rsidRDefault="00017A81" w:rsidP="000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99493" w14:textId="77777777" w:rsidR="00017A81" w:rsidRPr="007B7470" w:rsidRDefault="00017A81" w:rsidP="000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59E5A" w14:textId="77777777" w:rsidR="00017A81" w:rsidRPr="007B7470" w:rsidRDefault="00017A81" w:rsidP="000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89918" w14:textId="77777777" w:rsidR="00017A81" w:rsidRPr="007B7470" w:rsidRDefault="00017A81" w:rsidP="0001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017A81" w:rsidRPr="007B7470" w14:paraId="405A2F95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1327" w14:textId="77777777" w:rsidR="00017A81" w:rsidRPr="007B7470" w:rsidRDefault="00017A81" w:rsidP="0001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Bežné transfery (640)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EC25E" w14:textId="77777777" w:rsidR="00017A81" w:rsidRPr="007B7470" w:rsidRDefault="00017A81" w:rsidP="000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36C17" w14:textId="77777777" w:rsidR="00017A81" w:rsidRPr="007B7470" w:rsidRDefault="00017A81" w:rsidP="000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65CF6" w14:textId="77777777" w:rsidR="00017A81" w:rsidRPr="007B7470" w:rsidRDefault="00017A81" w:rsidP="000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92276" w14:textId="77777777" w:rsidR="00017A81" w:rsidRPr="007B7470" w:rsidRDefault="00017A81" w:rsidP="000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4BBB38" w14:textId="77777777" w:rsidR="00017A81" w:rsidRPr="007B7470" w:rsidRDefault="00017A81" w:rsidP="0001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017A81" w:rsidRPr="007B7470" w14:paraId="0523D870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3D12" w14:textId="77777777" w:rsidR="00017A81" w:rsidRPr="007B7470" w:rsidRDefault="00017A81" w:rsidP="0001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7B7470">
              <w:rPr>
                <w:color w:val="000000" w:themeColor="text1"/>
              </w:rPr>
              <w:t xml:space="preserve"> 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3C27D" w14:textId="77777777" w:rsidR="00017A81" w:rsidRPr="007B7470" w:rsidRDefault="00017A81" w:rsidP="000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92547" w14:textId="77777777" w:rsidR="00017A81" w:rsidRPr="007B7470" w:rsidRDefault="00017A81" w:rsidP="000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7F5E6" w14:textId="77777777" w:rsidR="00017A81" w:rsidRPr="007B7470" w:rsidRDefault="00017A81" w:rsidP="000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161FA" w14:textId="77777777" w:rsidR="00017A81" w:rsidRPr="007B7470" w:rsidRDefault="00017A81" w:rsidP="000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8A377" w14:textId="77777777" w:rsidR="00017A81" w:rsidRPr="007B7470" w:rsidRDefault="00017A81" w:rsidP="0001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B16634" w:rsidRPr="007B7470" w14:paraId="6E554B5B" w14:textId="77777777" w:rsidTr="00E1762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E9BF" w14:textId="77777777" w:rsidR="00B16634" w:rsidRPr="007B7470" w:rsidRDefault="00B16634" w:rsidP="00B1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E32E7" w14:textId="74D91A00" w:rsidR="00B16634" w:rsidRPr="00635A61" w:rsidRDefault="00B16634" w:rsidP="00B1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6</w:t>
            </w:r>
            <w:r w:rsidRPr="00EF0B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35</w:t>
            </w:r>
            <w:r w:rsidRPr="00EF0B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1 755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3C50D" w14:textId="49E521AB" w:rsidR="00B16634" w:rsidRPr="00635A61" w:rsidRDefault="00B16634" w:rsidP="00B1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99 440 025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B4464" w14:textId="7C54224D" w:rsidR="00B16634" w:rsidRPr="00635A61" w:rsidRDefault="00B16634" w:rsidP="00B1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101 130 506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B5A6F" w14:textId="310F9F2E" w:rsidR="00B16634" w:rsidRPr="00635A61" w:rsidRDefault="00B16634" w:rsidP="00B1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102 950 855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957AD" w14:textId="77777777" w:rsidR="00B16634" w:rsidRPr="007B7470" w:rsidRDefault="00B16634" w:rsidP="00B1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B16634" w:rsidRPr="007B7470" w14:paraId="6E6FD629" w14:textId="77777777" w:rsidTr="00E1762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D526" w14:textId="77777777" w:rsidR="00B16634" w:rsidRPr="007B7470" w:rsidRDefault="00B16634" w:rsidP="00B1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5ECA4" w14:textId="0EAA2A14" w:rsidR="00B16634" w:rsidRPr="00635A61" w:rsidRDefault="00B16634" w:rsidP="00B1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46</w:t>
            </w:r>
            <w:r w:rsidRPr="001A77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35</w:t>
            </w:r>
            <w:r w:rsidRPr="001A77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1 755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4479E" w14:textId="3FC9047B" w:rsidR="00B16634" w:rsidRPr="00635A61" w:rsidRDefault="00B16634" w:rsidP="00B1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sk-SK"/>
              </w:rPr>
            </w:pPr>
            <w:r w:rsidRPr="001A77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99 440 025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C2B93" w14:textId="10193355" w:rsidR="00B16634" w:rsidRPr="00635A61" w:rsidRDefault="00B16634" w:rsidP="00B1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sk-SK"/>
              </w:rPr>
            </w:pPr>
            <w:r w:rsidRPr="001A77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101 130 506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08291" w14:textId="0798B684" w:rsidR="00B16634" w:rsidRPr="00635A61" w:rsidRDefault="00B16634" w:rsidP="00B1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sk-SK"/>
              </w:rPr>
            </w:pPr>
            <w:r w:rsidRPr="001A77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sk-SK"/>
              </w:rPr>
              <w:t>102 950 855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DB82F" w14:textId="77777777" w:rsidR="00B16634" w:rsidRPr="007B7470" w:rsidRDefault="00B16634" w:rsidP="00B1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017A81" w:rsidRPr="007B7470" w14:paraId="6B6FC897" w14:textId="77777777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E319" w14:textId="77777777" w:rsidR="00017A81" w:rsidRPr="007B7470" w:rsidRDefault="00017A81" w:rsidP="0001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Kapitálové transfery (720)</w:t>
            </w: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007D4" w14:textId="77777777" w:rsidR="00017A81" w:rsidRPr="007B7470" w:rsidRDefault="00017A81" w:rsidP="000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9305F" w14:textId="77777777" w:rsidR="00017A81" w:rsidRPr="007B7470" w:rsidRDefault="00017A81" w:rsidP="000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19CFA" w14:textId="77777777" w:rsidR="00017A81" w:rsidRPr="007B7470" w:rsidRDefault="00017A81" w:rsidP="000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0154F" w14:textId="77777777" w:rsidR="00017A81" w:rsidRPr="007B7470" w:rsidRDefault="00017A81" w:rsidP="0001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E6684" w14:textId="77777777" w:rsidR="00017A81" w:rsidRPr="007B7470" w:rsidRDefault="00017A81" w:rsidP="00017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B16634" w:rsidRPr="007B7470" w14:paraId="5F841696" w14:textId="77777777" w:rsidTr="00E1762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6F459D" w14:textId="77777777" w:rsidR="00B16634" w:rsidRPr="007B7470" w:rsidRDefault="00B16634" w:rsidP="00B16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CE5C25" w14:textId="60EC5596" w:rsidR="00B16634" w:rsidRPr="00635A61" w:rsidRDefault="00B16634" w:rsidP="00B1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6</w:t>
            </w:r>
            <w:r w:rsidRPr="00EF0B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35</w:t>
            </w:r>
            <w:r w:rsidRPr="00EF0B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1 755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B1D58D" w14:textId="350D0BAC" w:rsidR="00B16634" w:rsidRPr="00635A61" w:rsidRDefault="00B16634" w:rsidP="00B1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99 440 025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5A6175" w14:textId="2FE51458" w:rsidR="00B16634" w:rsidRPr="00635A61" w:rsidRDefault="00B16634" w:rsidP="00B1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101 130 506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599A2B" w14:textId="76E597E3" w:rsidR="00B16634" w:rsidRPr="00635A61" w:rsidRDefault="00B16634" w:rsidP="00B1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sk-SK"/>
              </w:rPr>
            </w:pPr>
            <w:r w:rsidRPr="00EF0B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102 950 855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B7C6D91" w14:textId="77777777" w:rsidR="00B16634" w:rsidRPr="007B7470" w:rsidRDefault="00B16634" w:rsidP="00B16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</w:tbl>
    <w:p w14:paraId="69635A32" w14:textId="7C234F21" w:rsidR="00B16634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 xml:space="preserve">  2 –  výdavky rozpísať až do </w:t>
      </w:r>
      <w:r w:rsidR="00F20986"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pod</w:t>
      </w:r>
      <w:r w:rsidRPr="007B747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</w:t>
      </w: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ložiek platnej ekonomickej klasifikácie</w:t>
      </w:r>
    </w:p>
    <w:p w14:paraId="1008B2B9" w14:textId="77777777" w:rsidR="00247267" w:rsidRDefault="00247267">
      <w:pP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719FA051" w14:textId="399F70FA" w:rsidR="00B16634" w:rsidRDefault="00247267">
      <w:pP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247267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Zvýšené výdavky NDS, a. s. sú kryté zo zvýšených príjmov z výnosov z výberu mýta v roku 2025 v sume 48 601 755 eur, v roku 2026 v sume 99 440 025 eur, v roku 2027 v sume 101 130 506 eur a v roku 2028 v sume 102 950 855 eur, čo je považované za </w:t>
      </w:r>
      <w:proofErr w:type="spellStart"/>
      <w:r w:rsidRPr="00247267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diskrečné</w:t>
      </w:r>
      <w:proofErr w:type="spellEnd"/>
      <w:r w:rsidRPr="00247267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príjmové opatrenie, a teda nedochádza k negatívnemu vplyvu na limit verejných výdavkov.</w:t>
      </w:r>
      <w:r w:rsidR="00B16634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br w:type="page"/>
      </w:r>
    </w:p>
    <w:p w14:paraId="08AE09CF" w14:textId="36A567A1" w:rsidR="007D5748" w:rsidRPr="007B7470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               </w:t>
      </w:r>
    </w:p>
    <w:p w14:paraId="17BB04DF" w14:textId="77777777" w:rsidR="007D5748" w:rsidRPr="007B7470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Tabuľka č. 5</w:t>
      </w:r>
    </w:p>
    <w:tbl>
      <w:tblPr>
        <w:tblW w:w="1495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158"/>
        <w:gridCol w:w="1560"/>
        <w:gridCol w:w="1332"/>
        <w:gridCol w:w="510"/>
      </w:tblGrid>
      <w:tr w:rsidR="007D5748" w:rsidRPr="007B7470" w14:paraId="7C81A73A" w14:textId="77777777" w:rsidTr="005E3699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B69B1A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692837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1386B85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7B7470" w14:paraId="229E2B85" w14:textId="77777777" w:rsidTr="005E3699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F95B14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27BD3F" w14:textId="77777777" w:rsidR="007D5748" w:rsidRPr="007B7470" w:rsidRDefault="001B653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93EF75" w14:textId="77777777" w:rsidR="007D5748" w:rsidRPr="007B7470" w:rsidRDefault="001B653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561F9E" w14:textId="77777777" w:rsidR="007D5748" w:rsidRPr="007B7470" w:rsidRDefault="001B653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07A825" w14:textId="77777777" w:rsidR="007D5748" w:rsidRPr="007B7470" w:rsidRDefault="001B6536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2028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CA72AC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B7470" w14:paraId="4EB6E026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4A89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02C9B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C110D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6D1ED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03F65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ACFEC6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630D2AF4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F323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95DAF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BBF7E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E1219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9344D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86B67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14:paraId="4AA52A0D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B8FF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6C6C3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3DC30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303DE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81ABE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69C40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618D84FD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16A8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0EE05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7F822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6DA50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1FE1D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E6A37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14FFD103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33C2EB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C95F28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543455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688090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18EC6D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93302D0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18DF66C9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25B3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D140D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71043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7B681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1365F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FCD9B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58C20CC9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FEB1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5A5B0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24586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217CB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7B929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741BF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7C00C9D9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510A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EB431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38130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FC98E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4327D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1C073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24B6AB59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9460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4FB2C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487B9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79BA6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B082C" w14:textId="77777777" w:rsidR="007D5748" w:rsidRPr="007B7470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543CB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B7470" w14:paraId="4B4D6190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D83EB1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E9B91C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6F3279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F03ADB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0E9071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C81153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14:paraId="4720F99A" w14:textId="77777777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72A4A4EE" w14:textId="77777777" w:rsidR="007D5748" w:rsidRPr="007B7470" w:rsidRDefault="00D922E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  <w:r w:rsidR="007D5748" w:rsidRPr="007B7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583393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BF64A6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84EA68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2150CD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25AB14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14:paraId="13828D20" w14:textId="77777777" w:rsidTr="005E3699">
        <w:trPr>
          <w:trHeight w:val="255"/>
        </w:trPr>
        <w:tc>
          <w:tcPr>
            <w:tcW w:w="131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571472E5" w14:textId="77777777" w:rsidR="007D5748" w:rsidRPr="007B7470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14:paraId="46888EE3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DE702E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7B7470" w14:paraId="10C0329C" w14:textId="77777777" w:rsidTr="005E3699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6CB435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4A15D7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34C8FA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0ED9A3" w14:textId="77777777" w:rsidR="007D5748" w:rsidRPr="007B7470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38624FD5" w14:textId="77777777" w:rsidR="007D5748" w:rsidRPr="007B7470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E9D6AF5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81D04E7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C521232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390E0CE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80D141A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8C91E69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6A06A61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31DC29C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7BFBD6D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1D2E805" w14:textId="77777777" w:rsidR="002B63FD" w:rsidRPr="007B7470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31BF776" w14:textId="77777777" w:rsidR="002B63FD" w:rsidRPr="007B7470" w:rsidRDefault="00D922E5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 xml:space="preserve">                                                                 </w:t>
      </w:r>
    </w:p>
    <w:p w14:paraId="22F13639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2.2.5. Výpočet vplyvov na dlhodobú udržateľnosť verejných financií </w:t>
      </w:r>
    </w:p>
    <w:p w14:paraId="1AB9DFB5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C7E2AA" w14:textId="77777777" w:rsidR="002B63FD" w:rsidRPr="007B7470" w:rsidRDefault="002B63FD" w:rsidP="00AB5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Uveďte model, ktorý bol použitý na stanovenie vplyvov na príjmy a výdavky v dlhodobom horizonte, ako aj predpoklady, z ktorých ste vychádzali a boli v modeli zahrnuté. Popíšte použitý model spolu s jeho modifikáciami, ak boli pri výpočte vykonané. </w:t>
      </w:r>
    </w:p>
    <w:p w14:paraId="7A4F91A2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992FA0C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</w:t>
      </w:r>
      <w:r w:rsidR="00D922E5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768F847C" w14:textId="77777777" w:rsidR="00943733" w:rsidRPr="007B7470" w:rsidRDefault="005B051A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</w:t>
      </w:r>
      <w:r w:rsidR="00024E31"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747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Tabuľka č. 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47"/>
        <w:gridCol w:w="1559"/>
        <w:gridCol w:w="1559"/>
        <w:gridCol w:w="1418"/>
        <w:gridCol w:w="1984"/>
        <w:gridCol w:w="3119"/>
      </w:tblGrid>
      <w:tr w:rsidR="002B63FD" w:rsidRPr="007B7470" w14:paraId="284BA181" w14:textId="77777777" w:rsidTr="005E3699">
        <w:trPr>
          <w:trHeight w:val="284"/>
        </w:trPr>
        <w:tc>
          <w:tcPr>
            <w:tcW w:w="2943" w:type="dxa"/>
            <w:vMerge w:val="restart"/>
            <w:shd w:val="clear" w:color="auto" w:fill="BFBFBF" w:themeFill="background1" w:themeFillShade="BF"/>
            <w:vAlign w:val="center"/>
          </w:tcPr>
          <w:p w14:paraId="7ADA78FD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Dlhodobá udržateľnosť</w:t>
            </w:r>
          </w:p>
        </w:tc>
        <w:tc>
          <w:tcPr>
            <w:tcW w:w="7967" w:type="dxa"/>
            <w:gridSpan w:val="5"/>
            <w:shd w:val="clear" w:color="auto" w:fill="BFBFBF" w:themeFill="background1" w:themeFillShade="BF"/>
          </w:tcPr>
          <w:p w14:paraId="2A606A23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verejné financie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14:paraId="4FD48DAA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Poznámka</w:t>
            </w:r>
          </w:p>
        </w:tc>
      </w:tr>
      <w:tr w:rsidR="002B63FD" w:rsidRPr="007B7470" w14:paraId="799EBA3D" w14:textId="77777777" w:rsidTr="005E3699">
        <w:trPr>
          <w:trHeight w:val="284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787F972B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14:paraId="51D74D7F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BC4EB29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C7E5E8E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76FE658B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88A7E49" w14:textId="77777777" w:rsidR="002B63FD" w:rsidRPr="007B7470" w:rsidRDefault="00024E31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</w:t>
            </w: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2B63FD"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14:paraId="141B6281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13DE5ECE" w14:textId="77777777" w:rsidTr="005E3699">
        <w:trPr>
          <w:trHeight w:val="284"/>
        </w:trPr>
        <w:tc>
          <w:tcPr>
            <w:tcW w:w="2943" w:type="dxa"/>
            <w:shd w:val="clear" w:color="auto" w:fill="auto"/>
            <w:vAlign w:val="bottom"/>
          </w:tcPr>
          <w:p w14:paraId="595BAC05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výdavky v p. b. HDP</w:t>
            </w:r>
          </w:p>
        </w:tc>
        <w:tc>
          <w:tcPr>
            <w:tcW w:w="1447" w:type="dxa"/>
            <w:shd w:val="clear" w:color="auto" w:fill="auto"/>
          </w:tcPr>
          <w:p w14:paraId="2CE33161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22EA2FDB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0D3AA154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1D4BD2E8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00E6DB63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337B14EC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466272DC" w14:textId="77777777" w:rsidTr="005E3699">
        <w:trPr>
          <w:trHeight w:val="284"/>
        </w:trPr>
        <w:tc>
          <w:tcPr>
            <w:tcW w:w="2943" w:type="dxa"/>
            <w:shd w:val="clear" w:color="auto" w:fill="auto"/>
          </w:tcPr>
          <w:p w14:paraId="54E7C53C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príjmy v p. b. HDP</w:t>
            </w:r>
          </w:p>
        </w:tc>
        <w:tc>
          <w:tcPr>
            <w:tcW w:w="1447" w:type="dxa"/>
            <w:shd w:val="clear" w:color="auto" w:fill="auto"/>
          </w:tcPr>
          <w:p w14:paraId="5A86806D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74F9ADDC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298FD014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0D2E4C30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442D7466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1ED75848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7B7470" w14:paraId="316582A0" w14:textId="77777777" w:rsidTr="005E3699">
        <w:trPr>
          <w:trHeight w:val="284"/>
        </w:trPr>
        <w:tc>
          <w:tcPr>
            <w:tcW w:w="2943" w:type="dxa"/>
            <w:shd w:val="clear" w:color="auto" w:fill="auto"/>
          </w:tcPr>
          <w:p w14:paraId="49DD3E4F" w14:textId="77777777" w:rsidR="002B63FD" w:rsidRPr="007B7470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7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bilanciu  v p. b. HDP</w:t>
            </w:r>
          </w:p>
        </w:tc>
        <w:tc>
          <w:tcPr>
            <w:tcW w:w="1447" w:type="dxa"/>
            <w:shd w:val="clear" w:color="auto" w:fill="auto"/>
          </w:tcPr>
          <w:p w14:paraId="47AC351D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347E8043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14:paraId="740B654D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14:paraId="743A2871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14:paraId="762E5F6C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14:paraId="6C0FB37C" w14:textId="77777777" w:rsidR="002B63FD" w:rsidRPr="007B7470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E51013B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4A8E464" w14:textId="77777777" w:rsidR="002B63FD" w:rsidRPr="007B7470" w:rsidRDefault="00D922E5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Poznámka</w:t>
      </w:r>
      <w:r w:rsidR="002B63FD" w:rsidRPr="007B747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</w:p>
    <w:p w14:paraId="7E4E8D64" w14:textId="77777777" w:rsidR="002B63FD" w:rsidRPr="007B7470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Písmeno „d“ označuje prvý rok nasledujúcej dekády. </w:t>
      </w:r>
    </w:p>
    <w:p w14:paraId="269336F5" w14:textId="77777777" w:rsidR="002B63FD" w:rsidRPr="00791768" w:rsidRDefault="002B63FD" w:rsidP="00791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  <w:sectPr w:rsidR="002B63FD" w:rsidRPr="0079176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7B7470">
        <w:rPr>
          <w:rFonts w:ascii="Times New Roman" w:eastAsia="Times New Roman" w:hAnsi="Times New Roman" w:cs="Times New Roman"/>
          <w:sz w:val="24"/>
          <w:szCs w:val="24"/>
          <w:lang w:eastAsia="sk-SK"/>
        </w:rPr>
        <w:t>Tabuľka sa vypĺňa pre každé opatrenie samostatne. V prípade zavádzania viacerých opatrení sa vyplní aj tabuľka obsahujúca aj kumulatívny efekt zavedeni</w:t>
      </w:r>
      <w:r w:rsidR="00791768">
        <w:rPr>
          <w:rFonts w:ascii="Times New Roman" w:eastAsia="Times New Roman" w:hAnsi="Times New Roman" w:cs="Times New Roman"/>
          <w:sz w:val="24"/>
          <w:szCs w:val="24"/>
          <w:lang w:eastAsia="sk-SK"/>
        </w:rPr>
        <w:t>a všetkých opatrení súčasne</w:t>
      </w:r>
    </w:p>
    <w:p w14:paraId="78B011C5" w14:textId="77777777" w:rsidR="00CB3623" w:rsidRPr="00A738C0" w:rsidRDefault="00CB3623">
      <w:pPr>
        <w:rPr>
          <w:color w:val="000000" w:themeColor="text1"/>
        </w:rPr>
      </w:pPr>
    </w:p>
    <w:sectPr w:rsidR="00CB3623" w:rsidRPr="00A73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FACBF" w14:textId="77777777" w:rsidR="00E1762B" w:rsidRDefault="00E1762B">
      <w:pPr>
        <w:spacing w:after="0" w:line="240" w:lineRule="auto"/>
      </w:pPr>
      <w:r>
        <w:separator/>
      </w:r>
    </w:p>
  </w:endnote>
  <w:endnote w:type="continuationSeparator" w:id="0">
    <w:p w14:paraId="39E98F7F" w14:textId="77777777" w:rsidR="00E1762B" w:rsidRDefault="00E1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36907" w14:textId="77777777" w:rsidR="00E1762B" w:rsidRDefault="00E1762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3730FFB2" w14:textId="77777777" w:rsidR="00E1762B" w:rsidRDefault="00E1762B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34FE1" w14:textId="400064CB" w:rsidR="00E1762B" w:rsidRDefault="00E1762B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BD23CB">
      <w:rPr>
        <w:noProof/>
      </w:rPr>
      <w:t>13</w:t>
    </w:r>
    <w:r>
      <w:fldChar w:fldCharType="end"/>
    </w:r>
  </w:p>
  <w:p w14:paraId="324C24F5" w14:textId="77777777" w:rsidR="00E1762B" w:rsidRDefault="00E1762B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CD1D0" w14:textId="77777777" w:rsidR="00E1762B" w:rsidRDefault="00E1762B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4859D794" w14:textId="77777777" w:rsidR="00E1762B" w:rsidRDefault="00E1762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C09DF" w14:textId="77777777" w:rsidR="00E1762B" w:rsidRDefault="00E1762B">
      <w:pPr>
        <w:spacing w:after="0" w:line="240" w:lineRule="auto"/>
      </w:pPr>
      <w:r>
        <w:separator/>
      </w:r>
    </w:p>
  </w:footnote>
  <w:footnote w:type="continuationSeparator" w:id="0">
    <w:p w14:paraId="7F1C77C7" w14:textId="77777777" w:rsidR="00E1762B" w:rsidRDefault="00E17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B47EE" w14:textId="77777777" w:rsidR="00E1762B" w:rsidRDefault="00E1762B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49F34E2D" w14:textId="77777777" w:rsidR="00E1762B" w:rsidRPr="00EB59C8" w:rsidRDefault="00E1762B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C74F9" w14:textId="77777777" w:rsidR="00E1762B" w:rsidRPr="0024067A" w:rsidRDefault="00E1762B">
    <w:pPr>
      <w:pStyle w:val="Hlavika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11B37" w14:textId="77777777" w:rsidR="00E1762B" w:rsidRPr="000A15AE" w:rsidRDefault="00E1762B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12B1D"/>
    <w:multiLevelType w:val="hybridMultilevel"/>
    <w:tmpl w:val="BB2054A2"/>
    <w:lvl w:ilvl="0" w:tplc="0622AB1C">
      <w:start w:val="850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17A81"/>
    <w:rsid w:val="00021DFF"/>
    <w:rsid w:val="00024735"/>
    <w:rsid w:val="00024E31"/>
    <w:rsid w:val="00032B44"/>
    <w:rsid w:val="00035EB6"/>
    <w:rsid w:val="000373ED"/>
    <w:rsid w:val="00057135"/>
    <w:rsid w:val="00065A2A"/>
    <w:rsid w:val="00087A66"/>
    <w:rsid w:val="00087FF2"/>
    <w:rsid w:val="00095228"/>
    <w:rsid w:val="000B2331"/>
    <w:rsid w:val="000B509B"/>
    <w:rsid w:val="000F00DA"/>
    <w:rsid w:val="001127A8"/>
    <w:rsid w:val="00116F99"/>
    <w:rsid w:val="001568BD"/>
    <w:rsid w:val="00170D2B"/>
    <w:rsid w:val="001A779D"/>
    <w:rsid w:val="001A7C40"/>
    <w:rsid w:val="001B6536"/>
    <w:rsid w:val="001C721D"/>
    <w:rsid w:val="001D1E2F"/>
    <w:rsid w:val="001E52EC"/>
    <w:rsid w:val="001F5D86"/>
    <w:rsid w:val="001F624A"/>
    <w:rsid w:val="00200898"/>
    <w:rsid w:val="00211932"/>
    <w:rsid w:val="00212894"/>
    <w:rsid w:val="002135D4"/>
    <w:rsid w:val="002177DB"/>
    <w:rsid w:val="002309F4"/>
    <w:rsid w:val="00236155"/>
    <w:rsid w:val="00247267"/>
    <w:rsid w:val="00296FB4"/>
    <w:rsid w:val="002B5AD4"/>
    <w:rsid w:val="002B63FD"/>
    <w:rsid w:val="00317B90"/>
    <w:rsid w:val="003408F5"/>
    <w:rsid w:val="0034188C"/>
    <w:rsid w:val="0034446E"/>
    <w:rsid w:val="00364956"/>
    <w:rsid w:val="003717FF"/>
    <w:rsid w:val="003B7684"/>
    <w:rsid w:val="003C5D33"/>
    <w:rsid w:val="003F0735"/>
    <w:rsid w:val="003F35B7"/>
    <w:rsid w:val="003F63C8"/>
    <w:rsid w:val="004079F5"/>
    <w:rsid w:val="00412478"/>
    <w:rsid w:val="0042281A"/>
    <w:rsid w:val="0042480F"/>
    <w:rsid w:val="00427350"/>
    <w:rsid w:val="00440A16"/>
    <w:rsid w:val="00446310"/>
    <w:rsid w:val="00447C49"/>
    <w:rsid w:val="00474F11"/>
    <w:rsid w:val="00487203"/>
    <w:rsid w:val="004A4209"/>
    <w:rsid w:val="004D169C"/>
    <w:rsid w:val="004E5E76"/>
    <w:rsid w:val="004E6CCF"/>
    <w:rsid w:val="005005EC"/>
    <w:rsid w:val="005307FC"/>
    <w:rsid w:val="00534889"/>
    <w:rsid w:val="00553992"/>
    <w:rsid w:val="00592E96"/>
    <w:rsid w:val="005B051A"/>
    <w:rsid w:val="005B3241"/>
    <w:rsid w:val="005C1A2B"/>
    <w:rsid w:val="005E3699"/>
    <w:rsid w:val="005F2ACA"/>
    <w:rsid w:val="006258B0"/>
    <w:rsid w:val="0063036B"/>
    <w:rsid w:val="00635A61"/>
    <w:rsid w:val="00646D61"/>
    <w:rsid w:val="0065198C"/>
    <w:rsid w:val="006967C0"/>
    <w:rsid w:val="006A2947"/>
    <w:rsid w:val="006B6F3C"/>
    <w:rsid w:val="007246BD"/>
    <w:rsid w:val="00727689"/>
    <w:rsid w:val="00757256"/>
    <w:rsid w:val="00771946"/>
    <w:rsid w:val="0077530D"/>
    <w:rsid w:val="00782B91"/>
    <w:rsid w:val="00785085"/>
    <w:rsid w:val="00785E67"/>
    <w:rsid w:val="00791768"/>
    <w:rsid w:val="007A4012"/>
    <w:rsid w:val="007A79F7"/>
    <w:rsid w:val="007B454B"/>
    <w:rsid w:val="007B7470"/>
    <w:rsid w:val="007D5748"/>
    <w:rsid w:val="008142EB"/>
    <w:rsid w:val="008205B7"/>
    <w:rsid w:val="00832D80"/>
    <w:rsid w:val="00893B20"/>
    <w:rsid w:val="00893B76"/>
    <w:rsid w:val="00897BE7"/>
    <w:rsid w:val="008A2787"/>
    <w:rsid w:val="008D339D"/>
    <w:rsid w:val="008E2736"/>
    <w:rsid w:val="008F1555"/>
    <w:rsid w:val="00906E5E"/>
    <w:rsid w:val="0091683B"/>
    <w:rsid w:val="00942E6B"/>
    <w:rsid w:val="00943733"/>
    <w:rsid w:val="00944EED"/>
    <w:rsid w:val="00945A2A"/>
    <w:rsid w:val="00965CE0"/>
    <w:rsid w:val="00965FA1"/>
    <w:rsid w:val="009706B7"/>
    <w:rsid w:val="00975B2B"/>
    <w:rsid w:val="00975B3F"/>
    <w:rsid w:val="009821AD"/>
    <w:rsid w:val="009D22F2"/>
    <w:rsid w:val="009F2045"/>
    <w:rsid w:val="00A02D5F"/>
    <w:rsid w:val="00A11F63"/>
    <w:rsid w:val="00A56592"/>
    <w:rsid w:val="00A710A6"/>
    <w:rsid w:val="00A72E75"/>
    <w:rsid w:val="00A738C0"/>
    <w:rsid w:val="00A82AF1"/>
    <w:rsid w:val="00A82EFF"/>
    <w:rsid w:val="00A846FB"/>
    <w:rsid w:val="00AB5919"/>
    <w:rsid w:val="00AF647A"/>
    <w:rsid w:val="00B15B33"/>
    <w:rsid w:val="00B16634"/>
    <w:rsid w:val="00B45CE5"/>
    <w:rsid w:val="00B5535C"/>
    <w:rsid w:val="00B801BA"/>
    <w:rsid w:val="00B91DF7"/>
    <w:rsid w:val="00B92F23"/>
    <w:rsid w:val="00BD23CB"/>
    <w:rsid w:val="00C15212"/>
    <w:rsid w:val="00C15D88"/>
    <w:rsid w:val="00C16C1B"/>
    <w:rsid w:val="00C455E9"/>
    <w:rsid w:val="00C51FD4"/>
    <w:rsid w:val="00C611AD"/>
    <w:rsid w:val="00C64BDB"/>
    <w:rsid w:val="00C65278"/>
    <w:rsid w:val="00C653D7"/>
    <w:rsid w:val="00CA012F"/>
    <w:rsid w:val="00CA18F2"/>
    <w:rsid w:val="00CB04E9"/>
    <w:rsid w:val="00CB3623"/>
    <w:rsid w:val="00CC0E46"/>
    <w:rsid w:val="00CE299A"/>
    <w:rsid w:val="00CE359E"/>
    <w:rsid w:val="00CF2C35"/>
    <w:rsid w:val="00D07CC9"/>
    <w:rsid w:val="00D12953"/>
    <w:rsid w:val="00D17CB8"/>
    <w:rsid w:val="00D200BE"/>
    <w:rsid w:val="00D432AE"/>
    <w:rsid w:val="00D5357F"/>
    <w:rsid w:val="00D638F5"/>
    <w:rsid w:val="00D7236A"/>
    <w:rsid w:val="00D85029"/>
    <w:rsid w:val="00D9171A"/>
    <w:rsid w:val="00D922E5"/>
    <w:rsid w:val="00D952C5"/>
    <w:rsid w:val="00D96DD9"/>
    <w:rsid w:val="00DB76BB"/>
    <w:rsid w:val="00DE04C5"/>
    <w:rsid w:val="00DE5BF1"/>
    <w:rsid w:val="00E07CE9"/>
    <w:rsid w:val="00E1762B"/>
    <w:rsid w:val="00E432B9"/>
    <w:rsid w:val="00E4770B"/>
    <w:rsid w:val="00E63030"/>
    <w:rsid w:val="00E80506"/>
    <w:rsid w:val="00E963A3"/>
    <w:rsid w:val="00EA1E90"/>
    <w:rsid w:val="00ED2B29"/>
    <w:rsid w:val="00EE0CA3"/>
    <w:rsid w:val="00EE28EB"/>
    <w:rsid w:val="00EF0B41"/>
    <w:rsid w:val="00F03306"/>
    <w:rsid w:val="00F20986"/>
    <w:rsid w:val="00F2530E"/>
    <w:rsid w:val="00F348E6"/>
    <w:rsid w:val="00F40136"/>
    <w:rsid w:val="00F41D99"/>
    <w:rsid w:val="00F55568"/>
    <w:rsid w:val="00F77C59"/>
    <w:rsid w:val="00F87875"/>
    <w:rsid w:val="00FB4A4A"/>
    <w:rsid w:val="00FC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74537"/>
  <w15:docId w15:val="{B3CC93B0-175D-45A4-A6D4-3CD8A0E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08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F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11932"/>
    <w:pPr>
      <w:ind w:left="720"/>
      <w:contextualSpacing/>
    </w:pPr>
  </w:style>
  <w:style w:type="character" w:styleId="Zstupntext">
    <w:name w:val="Placeholder Text"/>
    <w:basedOn w:val="Predvolenpsmoodseku"/>
    <w:uiPriority w:val="99"/>
    <w:rsid w:val="003717FF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semiHidden/>
    <w:unhideWhenUsed/>
    <w:rsid w:val="003717FF"/>
    <w:rPr>
      <w:color w:val="0000FF"/>
      <w:u w:val="single"/>
    </w:rPr>
  </w:style>
  <w:style w:type="paragraph" w:customStyle="1" w:styleId="a">
    <w:uiPriority w:val="99"/>
    <w:rsid w:val="00D535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17A8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17A8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17A8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17A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17A81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017A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f:fields xmlns:f="http://schemas.fabasoft.com/folio/2007/fields">
  <f:record ref="">
    <f:field ref="objname" par="" edit="true" text="Priloha-2---Analýza-vplyvov-na-rozpočet-verejnej-správy"/>
    <f:field ref="objsubject" par="" edit="true" text=""/>
    <f:field ref="objcreatedby" par="" text="Pavlíková, Katarína, Mgr."/>
    <f:field ref="objcreatedat" par="" text="10.11.2022 9:46:31"/>
    <f:field ref="objchangedby" par="" text="Administrator, System"/>
    <f:field ref="objmodifiedat" par="" text="10.11.2022 9:46:3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27C0A-163E-41B2-963D-33B43D5F444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6ED13F4-3367-4267-939A-F204B638A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3091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20675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Považan, Peter</cp:lastModifiedBy>
  <cp:revision>17</cp:revision>
  <cp:lastPrinted>2022-02-25T09:22:00Z</cp:lastPrinted>
  <dcterms:created xsi:type="dcterms:W3CDTF">2024-07-26T07:24:00Z</dcterms:created>
  <dcterms:modified xsi:type="dcterms:W3CDTF">2024-08-15T08:46:00Z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Pavlíková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zmien a doplnení Jednotnej metodiky na posudzovanie vybraných vplyvov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Komponent č. 14 Plánu obnovy a odolnosti SR</vt:lpwstr>
  </property>
  <property fmtid="{D5CDD505-2E9C-101B-9397-08002B2CF9AE}" pid="23" name="FSC#SKEDITIONSLOVLEX@103.510:plnynazovpredpis">
    <vt:lpwstr> Návrh zmien a doplnení Jednotnej metodiky na posudzovanie vybraných vplyvov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44877/2022-3213-103108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LP/2022/744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Výrazné pozitívne vplyvy v tejto oblasti sa očakávajú po implementácii ochrany pred neopodstatneným goldplatingom.&lt;/p&gt;&lt;p style="text-align: justify;"&gt;&amp;nbs</vt:lpwstr>
  </property>
  <property fmtid="{D5CDD505-2E9C-101B-9397-08002B2CF9AE}" pid="66" name="FSC#SKEDITIONSLOVLEX@103.510:AttrStrListDocPropAltRiesenia">
    <vt:lpwstr>Nulový variant – zachovanie súčasného stavu vytvára nekontrolovaný priestor na vytváranie takej regulačnej záťaže podnikateľského prostredia, ktorá znižuje konkurencieschopnosť tuzemských podnikateľov. V prípade zachovania súčasného stavu by nebol zaveden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hospodárstva_x000d_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zmien a doplnení Jednotnej metodiky na posudzovanie vybraných vplyvov predkladá na rokovanie vlády Slovenskej republiky Ministerstvo hospodárstva Slovenskej republiky (ďalej len „MH SR“) v nadväznosti na Komponent č. 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COO.2145.1000.3.5328104</vt:lpwstr>
  </property>
  <property fmtid="{D5CDD505-2E9C-101B-9397-08002B2CF9AE}" pid="152" name="FSC#FSCFOLIO@1.1001:docpropproject">
    <vt:lpwstr/>
  </property>
</Properties>
</file>