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bookmarkStart w:id="0" w:name="_GoBack"/>
      <w:bookmarkEnd w:id="0"/>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D97870" w:rsidRDefault="00D97870">
      <w:pPr>
        <w:jc w:val="center"/>
        <w:divId w:val="1780220289"/>
        <w:rPr>
          <w:rFonts w:ascii="Times" w:hAnsi="Times" w:cs="Times"/>
          <w:sz w:val="25"/>
          <w:szCs w:val="25"/>
        </w:rPr>
      </w:pPr>
      <w:r>
        <w:rPr>
          <w:rFonts w:ascii="Times" w:hAnsi="Times" w:cs="Times"/>
          <w:sz w:val="25"/>
          <w:szCs w:val="25"/>
        </w:rPr>
        <w:t xml:space="preserve">Zákon ktorým sa mení a dopĺňa zákon č. 474/2013 Z. z. o výbere mýta za užívanie vymedzených úsekov pozemných komunikácií a o zmene a doplnení niektorých zákonov v znení neskorších predpisov a ktorým sa menia a dopĺňajú niektoré zákony </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D97870" w:rsidP="00D97870">
            <w:pPr>
              <w:spacing w:after="0" w:line="240" w:lineRule="auto"/>
              <w:rPr>
                <w:rFonts w:ascii="Times New Roman" w:hAnsi="Times New Roman" w:cs="Calibri"/>
                <w:sz w:val="20"/>
                <w:szCs w:val="20"/>
              </w:rPr>
            </w:pPr>
            <w:r>
              <w:rPr>
                <w:rFonts w:ascii="Times" w:hAnsi="Times" w:cs="Times"/>
                <w:sz w:val="25"/>
                <w:szCs w:val="25"/>
              </w:rPr>
              <w:t>88 /10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D97870" w:rsidP="00D97870">
            <w:pPr>
              <w:spacing w:after="0" w:line="240" w:lineRule="auto"/>
              <w:rPr>
                <w:rFonts w:ascii="Times New Roman" w:hAnsi="Times New Roman" w:cs="Calibri"/>
                <w:sz w:val="20"/>
                <w:szCs w:val="20"/>
              </w:rPr>
            </w:pPr>
            <w:r>
              <w:rPr>
                <w:rFonts w:ascii="Times" w:hAnsi="Times" w:cs="Times"/>
                <w:sz w:val="25"/>
                <w:szCs w:val="25"/>
              </w:rPr>
              <w:t>88</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D97870" w:rsidP="00D97870">
            <w:pPr>
              <w:spacing w:after="0" w:line="240" w:lineRule="auto"/>
              <w:rPr>
                <w:rFonts w:ascii="Times New Roman" w:hAnsi="Times New Roman" w:cs="Calibri"/>
                <w:sz w:val="20"/>
                <w:szCs w:val="20"/>
              </w:rPr>
            </w:pPr>
            <w:r>
              <w:rPr>
                <w:rFonts w:ascii="Times" w:hAnsi="Times" w:cs="Times"/>
                <w:sz w:val="25"/>
                <w:szCs w:val="25"/>
              </w:rPr>
              <w:t>61 /8</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D97870" w:rsidP="00D97870">
            <w:pPr>
              <w:spacing w:after="0" w:line="240" w:lineRule="auto"/>
              <w:rPr>
                <w:rFonts w:ascii="Times New Roman" w:hAnsi="Times New Roman" w:cs="Calibri"/>
                <w:sz w:val="20"/>
                <w:szCs w:val="20"/>
              </w:rPr>
            </w:pPr>
            <w:r>
              <w:rPr>
                <w:rFonts w:ascii="Times" w:hAnsi="Times" w:cs="Times"/>
                <w:sz w:val="25"/>
                <w:szCs w:val="25"/>
              </w:rPr>
              <w:t>9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D97870" w:rsidP="00D97870">
            <w:pPr>
              <w:spacing w:after="0" w:line="240" w:lineRule="auto"/>
              <w:rPr>
                <w:rFonts w:ascii="Times New Roman" w:hAnsi="Times New Roman" w:cs="Calibri"/>
                <w:sz w:val="20"/>
                <w:szCs w:val="20"/>
              </w:rPr>
            </w:pPr>
            <w:r>
              <w:rPr>
                <w:rFonts w:ascii="Times" w:hAnsi="Times" w:cs="Times"/>
                <w:sz w:val="25"/>
                <w:szCs w:val="25"/>
              </w:rPr>
              <w:t>18 /2</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D97870" w:rsidRDefault="00D97870"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3597"/>
        <w:gridCol w:w="1404"/>
        <w:gridCol w:w="1404"/>
        <w:gridCol w:w="1391"/>
        <w:gridCol w:w="932"/>
      </w:tblGrid>
      <w:tr w:rsidR="00D97870">
        <w:trPr>
          <w:divId w:val="1309700466"/>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Vôbec nezaslali</w:t>
            </w: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sz w:val="20"/>
                <w:szCs w:val="20"/>
              </w:rPr>
            </w:pP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9 (4o,5z)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sz w:val="20"/>
                <w:szCs w:val="20"/>
              </w:rPr>
            </w:pP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5 (1o,4z)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sz w:val="20"/>
                <w:szCs w:val="20"/>
              </w:rPr>
            </w:pP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4.</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sz w:val="20"/>
                <w:szCs w:val="20"/>
              </w:rPr>
            </w:pP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15 (15o,0z)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sz w:val="20"/>
                <w:szCs w:val="20"/>
              </w:rPr>
            </w:pP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sz w:val="20"/>
                <w:szCs w:val="20"/>
              </w:rPr>
            </w:pP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sz w:val="20"/>
                <w:szCs w:val="20"/>
              </w:rPr>
            </w:pP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Národná diaľničná spoločnosť, a.s.</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sz w:val="20"/>
                <w:szCs w:val="20"/>
              </w:rPr>
            </w:pP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51 (51o,0z)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sz w:val="20"/>
                <w:szCs w:val="20"/>
              </w:rPr>
            </w:pP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sz w:val="20"/>
                <w:szCs w:val="20"/>
              </w:rPr>
            </w:pP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Ministerstvo školstva,výskumu,vývoja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53.</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54.</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55.</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56.</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Samosprávne kraje Slovenska</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x</w:t>
            </w:r>
          </w:p>
        </w:tc>
      </w:tr>
      <w:tr w:rsidR="00D97870">
        <w:trPr>
          <w:divId w:val="1309700466"/>
          <w:jc w:val="center"/>
        </w:trPr>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88 (78o,10z)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870" w:rsidRDefault="00D97870">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D97870" w:rsidRDefault="00D97870"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3632"/>
        <w:gridCol w:w="446"/>
        <w:gridCol w:w="523"/>
        <w:gridCol w:w="2745"/>
      </w:tblGrid>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Spôsob vyhodnotenia</w:t>
            </w: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Všeobecne - O:</w:t>
            </w:r>
            <w:r>
              <w:rPr>
                <w:rFonts w:ascii="Times" w:hAnsi="Times" w:cs="Times"/>
                <w:sz w:val="25"/>
                <w:szCs w:val="25"/>
              </w:rPr>
              <w:br/>
              <w:t>K vyššie uvedenému materiálu Generálna prokuratúra Slovenskej republiky neuplatňuje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analýze vplyvov na podnikateľské prostredie</w:t>
            </w:r>
            <w:r>
              <w:rPr>
                <w:rFonts w:ascii="Times" w:hAnsi="Times" w:cs="Times"/>
                <w:sz w:val="25"/>
                <w:szCs w:val="25"/>
              </w:rPr>
              <w:br/>
              <w:t>Do Analýzy vplyvov na podnikateľské prostredie je potrebné doplniť aj údaje týkajúce sa počtu dotknutých podnikateľských vozidiel uvedené v analýze vplyvov v časti 2.2.4.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Návrh je potrebné zosúladiť s prílohou č. 1 Legislatívnych pravidiel vlády SR (napríklad v čl. I bode 1 § 4 ods. 3 druhej vete za slovo „úsekoch“ vložiť slovo „ciest“, v bode 2 § 4 ods. 5 slovo „spojený“ nahradiť slovom „spojené“, v § 4 ods. 6 prvej vete slová „na infraštruktúru“ nahradiť slovami „za infraštruktúru“, v § 4 ods. 9 slovo „ktoré“ nahradiť slovom „ktorý“, bod 5 preformulovať takto: „5. V § 9 ods. 2 písm. c) sa slovo „alebo“ nahrádza čiarkou a na konci sa pripíjajú tieto slová: „alebo v súlade s dokladom podľa osobitného predpisu,18b)“, v bode 9 § 12 ods. 19 slovo „spojeného“ nahradiť slovom „spojené“, v bode 12 § 23 ods. 2 za slovo „náklady“ vložiť slová „spojené so znečistením ovzdušia spôsobeným premávkou“ a za slovo „sa“ vložiť slovo „tento“, čl. II až IV usporiadať chronologicky a následne upraviť ustanovenie o účinnosti uvedené v čl. V, v čl. III bode 3 § 6 ods. 6 na konci vypustiť úvodzovky hore a bodku, v § 7 ods. 4 slová „a O“ nahradiť slovami „a vozidla kategórie O“, v bode 5 prílohe č. 1 nadpise prvej tabuľky slová „L, M1 a N1, ktorého jediným zdrojom energie je elektrina“ nahradiť slovami „L a M1“ a zároveň v prílohe č. 1a vložiť tabuľku s nadpisom „vozidlo kategórie N1, ktorého jediným zdrojom energie je elektrina“, pričom v tejto tabuľke sa uvedie nulová ročná sadzba dane, v bode 5 prílohe č. 1 prvej tabuľke slová „vozidlo, ktorého“ nahradiť slovami „Vozidlo, ktorého“, v čl. IV § 12 ods. 6 úvodnej vete vypustiť dvojbodku).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analýze vplyvov na podnikateľské prostredie</w:t>
            </w:r>
            <w:r>
              <w:rPr>
                <w:rFonts w:ascii="Times" w:hAnsi="Times" w:cs="Times"/>
                <w:sz w:val="25"/>
                <w:szCs w:val="25"/>
              </w:rPr>
              <w:br/>
              <w:t>V Analýze vplyvov na podnikateľské prostredie v časti 3.1 Náklady regulácie v súhrnnej tabuľke 3.1.1 sa uvádzajú nepriame finančné náklady vo výške 372 788 eur. V kalkulačke nákladov tento údaj absentuje, čo je potrebné doplniť.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analýze vplyvov na rozpočet verejnej správy</w:t>
            </w:r>
            <w:r>
              <w:rPr>
                <w:rFonts w:ascii="Times" w:hAnsi="Times" w:cs="Times"/>
                <w:sz w:val="25"/>
                <w:szCs w:val="25"/>
              </w:rPr>
              <w:br/>
              <w:t>V Analýze vplyvov na rozpočet verejnej správy, na zamestnanosť vo verejnej správe a financovanie návrhu (ďalej len „analýza vplyvov“) sú kvantifikované v rámci vplyvov na príjmy verejnej správy pozitívne vplyvy na NDS, a. s. v roku 2025 v sume 48 601 755 eur, v roku 2026 v sume 99 440 025 eur, v roku 2027 v sume 101 130 506 eur a v roku 2028 v sume 102 950 855 eur z titulu zvýšenia výnosov z výberu mýta a negatívne vplyvy na kapitolu Všeobecná pokladničná správa v sume 4 887 000 eur od roku 2025 z titulu zníženia ročných sadzieb dane z motorových vozidiel. Zároveň sú kvantifikované zvýšené výdavky NDS, a. s. v roku 2025 v sume 48 601 755 eur, v roku 2026 v sume 99 440 025 eur, v roku 2027 v sume 101 130 506 eur a v roku 2028 v sume 102 950 855 eur. V tabuľke č. 1/A je potrebné uviesť tieto výdavky ako zabezpečené v rozpočte. Zároveň je potrebné celkové výdavky NDS, a. s. v jednotlivých rokoch znížiť o sumu znížených daňových príjmov. V prípade zachovania výšky výdavkov NDS, a. s. na úrovni príjmov z výberu mýta (znížených o daňové príjmy) je potrebné vzhľadom na konsolidáciu verejných financií v analýze vplyvov zohľadniť zníženie kapitálových výdavkov v kapitole Ministerstva dopravy SR v rovnakých sumách.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sz w:val="25"/>
                <w:szCs w:val="25"/>
              </w:rPr>
              <w:t>MD SR nesúhlasí so znížením celkových výdavkov NDS, a. s., ktoré sú kryté nárastom príjmov z mýta, v jednotlivých rokoch o sumu znížených daňových príjmov, keďže to nepovažujeme za súčasť konsolidačných opatrení.</w:t>
            </w: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analýze vplyvov na rozpočet verejnej správy</w:t>
            </w:r>
            <w:r>
              <w:rPr>
                <w:rFonts w:ascii="Times" w:hAnsi="Times" w:cs="Times"/>
                <w:sz w:val="25"/>
                <w:szCs w:val="25"/>
              </w:rPr>
              <w:br/>
              <w:t>V analýze vplyvov v bode 2.1.1. Financovanie návrhu sa uvádza, že „Očakáva sa tiež negatívny vplyv vyplývajúci z nákladov na implementáciu návrhu zákona prostredníctvom informačného systému Finančnej správy SR, ktorý bude zabezpečený v rámci schválených limitov výdavkov verejnej správy.“. Tento vplyv nie je zapracovaný v príslušných tabuľkách analýzy vplyvov, čo žiadame doplniť s tým, že súvisiace výdavky sú rozpočtovo zabezpečené v kapitole Ministerstva financií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V doložke vplyvov žiadame doplniť spôsob výpočtu vplyvov na rozpočet verejnej správy, najmä podklady k vyčísleniu vplyvov na NDS, a. s. Nie je zrejmé, akým spôsobom bola vypočítaná výška očakávaných príjmov verejnej správy, konkrétne pre NDS, a. s. Vzhľadom na to, že Inštitút finančnej politiky MF SR prognózuje v rozpočte príjmy NDS, a. s., je dôležité overiť kvantifikáciu tejto významnej fiškálnej zmeny.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sz w:val="25"/>
                <w:szCs w:val="25"/>
              </w:rPr>
              <w:t>V doložke vplyvov a v analýze vplyvov na rozpočet verejnej správy je uvedené o koľko sa zvyšujú sadzby mýta (19 % + 21 %), čo má vplyv na nárast príjmov z mýta, t. z. že výpočet výnosov NDS, a. s. je jednoznačný. NDS, a. s. tiež poskytla MF SR materiály k vyčísleniu nárastu výnosov, avšak MF SR sa k nim ani po urgencii nevyjadrilo.</w:t>
            </w: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V doložke vybraných vplyvov sú označené pozitívne a negatívne vplyvy na rozpočet verejnej správy, pričom sú uvedené ako rozpočtovo nekryté. Vzhľadom na to, že vplyvy na rozpočet Národnej diaľničnej spoločnosti, a. s. (ďalej len „NDS, a. s.“) sa týkajú zvýšených výnosov z výberu mýta a ich použitia vo výdavkoch podľa príslušnej legislatívy a budú zohľadnené v rámci pripravovaného návrhu rozpočtu verejnej správy na roky 2025 až 2027, je potrebné ich označiť ako rozpočtovo zabezpečené. V doložke vybraných vplyvov v bode 10. Poznámky je preto potrebné vypustiť poslednú vetu: „Celkovo sa návrhom zákona predpokladá pozitívny vplyv na rozpočet verejnej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bodu 3 (§ 7)</w:t>
            </w:r>
            <w:r>
              <w:rPr>
                <w:rFonts w:ascii="Times" w:hAnsi="Times" w:cs="Times"/>
                <w:sz w:val="25"/>
                <w:szCs w:val="25"/>
              </w:rPr>
              <w:br/>
              <w:t>V nadväznosti na navrhovanú zmenu § 7 je potrebné do čl. III vložiť nové body 4 a 5 v tomto znení: „4. V § 10 ods. 7 sa číslo „5“ nahrádza číslom „3“. 5. V § 10 ods. 9 sa slová „až 4“ nahrádzajú slovami „a 2“.“ Doterajšie body 4 až 7 je potrebné označiť ako body 6 až 9. Zároveň je potrebné v osobitnej časti dôvodovej správy k čl. III odôvodniť nové body 4 a 5 ako legislatívno-technickú úpravu vnútorných odkazov.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analýze vplyvov na rozpočet verejnej správy</w:t>
            </w:r>
            <w:r>
              <w:rPr>
                <w:rFonts w:ascii="Times" w:hAnsi="Times" w:cs="Times"/>
                <w:sz w:val="25"/>
                <w:szCs w:val="25"/>
              </w:rPr>
              <w:br/>
              <w:t>V súvislosti s vplyvom predloženého materiálu na limit verejných výdavkov NDS, a. s. je potrebné v analýze vplyvov pod tabuľkou č. 1/B uviesť túto poznámku: „Zvýšené výdavky NDS, a. s. sú kryté zo zvýšených príjmov z výnosov z výberu mýta v roku 2025 v sume 48 601 755 eur, v roku 2026 v sume 99 440 025 eur, v roku 2027 v sume 101 130 506 eur a v roku 2028 v sume 102 950 855 eur, čo je považované za diskrečné príjmové opatrenie, a teda nedochádza k negatívnemu vplyvu na limit verejných výdavkov.“.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Analýze vplyvov na PP a kalkulačke nákladov</w:t>
            </w:r>
            <w:r>
              <w:rPr>
                <w:rFonts w:ascii="Times" w:hAnsi="Times" w:cs="Times"/>
                <w:sz w:val="25"/>
                <w:szCs w:val="25"/>
              </w:rPr>
              <w:br/>
              <w:t>1. Žiadame predkladateľa o zosúladenie pôvodu pri reguláciách v celej Analýze vplyvov na podnikateľské prostredie a v Kalkulačke nákladov. Odôvodnenie: V analýze nákladov, v časti 3.1.1 Súhrnná tabuľka nákladov regulácie sa nezhoduje výpočet s tým, ktorý je uvedený v kalkulačke nákladov. Je potrebné rozdeliť náklady úplnej harmonizácie na náklady spojené s úhradou mýta, a na nepriame náklady spojené s úpravou množstevných zliav v kalkulačke nákladov. Následne upravené výpočty reflektovať v analýze vplyvov na podnikateľské prostredie. Zároveň výpočet nákladov spojených s úplnou harmonizáciou je potrebné, pokiaľ ide o expertný odhad, doplniť o informácie na základe čoho vznikol a je potrebné presunúť súčasné informácie k regulácií z časti 3.4. do časti 3.1. V opačnom prípade, že výpočty nebudú dostatočne podložené, celá regulácia bude uvedená v časti 3.4. Zároveň žiadame doplniť výpočet vplyvu na dane poskytnutý Inštitútom finančnej politiky do analýzy vplyvov na podnikateľské prostredie pre účely vytvorenia kvalitného podkladu v rozhodovacom procese daného materiálu. V prípade potreby konzultácie nás môžete kontaktovať na mailovej adrese 1in2out@mhsr.sk 2. Žiadame predkladateľa o dopracovanie Analýzy vplyvov na podnikateľské prostredie a vyplnenie časti 3.1.4, kde je potrebné opísať regulácie spojené s identifikovaným goldplatingom s vplyvom na podnikateľské prostredie v tabuľke zhody. Odôvodnenie: Predkladateľ identifikoval v priloženej tabuľke zhody k Smernici Európskeho parlamentu a Rady (EÚ) 2022/362 z 24. februára 2022 goldplating s vplyvom na podnikateľské prostredie. Takýto goldplating je potrebné popísať v Analýze vplyvov na podnikateľské prostredie, kde je potrebné uviesť odôvodnenie goldplatingu z hľadiska jeho nespochybniteľnej nevyhnutnosti. Rovnako v popise goldplatingu žiadame uviesť bližšie informácie k spôsobu požadovania skoršieho termínu uplatňovania záujmovými združeniami dopravcov. 3. Žiadame predkladateľa vyznačiť a vysvetliť vplyvy na produktivitu a konkurencieschopnosť v časti 3.3 v Analýze vplyvov na podnikateľské prostredie. Odôvodnenie: Prekladateľ vyznačil zvyšovanie konkurencieschopnosti, avšak chýba popis a zároveň chýba vyznačenie a popis k vplyvom na produktivitu (napr. ušetrením nákladov na daniach, ktoré možno investovať do rozvoja podnikateľskej činnosti sa zvyšuje produktivita).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Doložke vybraných vplyvov</w:t>
            </w:r>
            <w:r>
              <w:rPr>
                <w:rFonts w:ascii="Times" w:hAnsi="Times" w:cs="Times"/>
                <w:sz w:val="25"/>
                <w:szCs w:val="25"/>
              </w:rPr>
              <w:br/>
              <w:t>V Doložke vybraných vplyvov odporúčame: 1. dopracovať časť 8. Preskúmanie účelnosti. Odôvodnenie: Ide o povinný údaj podľa Jednotnej metodiky na posudzovanie vybraných vplyvov, stanovenie kritérií slúži na sledovanie plnenia cieľov (dosiahnutia výsledného stavu). 2. v časti 11. Kontakt na spracovateľa doplniť meno a funkciu kontaktnej osoby. Odôvodnenie: Ide o povinný údaj podľa Jednotnej metodiky na posudzovanie vybraných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sz w:val="25"/>
                <w:szCs w:val="25"/>
              </w:rPr>
              <w:t xml:space="preserve">Vzhľadom na skutočnosť, že ide o transpozíciu smernice EP a Rady EÚ, preskúmanie účelnosti sa nevykonáva. Zároveň nie je pre účely legislatívneho procesu nevyhnutné uvádzať meno konkrétnej osoby. Kontakt na spracovateľa/predkladateľa je uvedený. </w:t>
            </w: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Doložke vybraných vplyvov</w:t>
            </w:r>
            <w:r>
              <w:rPr>
                <w:rFonts w:ascii="Times" w:hAnsi="Times" w:cs="Times"/>
                <w:sz w:val="25"/>
                <w:szCs w:val="25"/>
              </w:rPr>
              <w:br/>
              <w:t>V Doložke vybraných vplyvov žiadame: 1. v časti 7. Transpozícia/implementácia práva EÚ a doplnenie oblasti vplyvov identifikovaných goldplatingov v tabuľke zhody. Odôvodnenie: V súlade s Jednotnou metodikou na posudzovanie vybraných vplyvov. 2. v časti 9. Vybrané vplyvy materiálu vyznačiť pozitívne vplyvy na MSP. Odôvodnenie: Pozitívne vplyvy, ktoré materiál uvádza sa týkajú všetkých autodopravcov.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Tabuľke zhody</w:t>
            </w:r>
            <w:r>
              <w:rPr>
                <w:rFonts w:ascii="Times" w:hAnsi="Times" w:cs="Times"/>
                <w:sz w:val="25"/>
                <w:szCs w:val="25"/>
              </w:rPr>
              <w:br/>
              <w:t>Žiadame o náležité vyplnenie stĺpcov (9) a (10) tabuľky zhody a pod tabuľkou zhody uviesť „Vyjadrenie k opodstatnenosti goldplatingu a jeho odôvodnenie“. Odôvodnenie: Predkladateľ identifikoval v priloženej tabuľke zhody k Smernici Európskeho parlamentu a Rady (EÚ) 2022/362 z 24. februára 2022 goldplating a nesprávne vyplnil stĺpce (9) a (10). Stĺpec 9 môže byť vyplnený napr.: „GP – A písm. a) („rozšírenie na iné subjekty“)“, čo znamená, že goldplating je identifikovaný a ide o kategóriu „rozšírenie na iné subjekty“, kedy sa rozšíril rozsah pôsobnosti smernice na subjekty nad rámec minimálnych požiadaviek smernice. V takomto prípade sa v stĺpci 10 uvedie oblasť, na ktorú má goldplating vplyv podľa Jednotnej metodiky na posudzovanie vybraných vplyvov, alebo iná oblasť, na ktorú má goldplating vplyv, pričom ako prvá oblasť sa vždy uvedie oblasť s vplyvom na podnikateľské prostredie, ak je takýto vplyv identifikovaný.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leg. procesu</w:t>
            </w:r>
            <w:r>
              <w:rPr>
                <w:rFonts w:ascii="Times" w:hAnsi="Times" w:cs="Times"/>
                <w:sz w:val="25"/>
                <w:szCs w:val="25"/>
              </w:rPr>
              <w:br/>
              <w:t>Žiadame o predloženie materiálu na záverečné posúdenie v súlade s Jednotnou metodikou na posudzovanie vybraných vplyvov. Odôvodnenie: Materiál má vyznačené vplyvy a nebol predmetom PPK.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Čl. I</w:t>
            </w:r>
            <w:r>
              <w:rPr>
                <w:rFonts w:ascii="Times" w:hAnsi="Times" w:cs="Times"/>
                <w:sz w:val="25"/>
                <w:szCs w:val="25"/>
              </w:rPr>
              <w:br/>
              <w:t>Odporúčame do čl. I vložiť nový novelizačný bod, ktorým sa aktualizujú poznámky pod čiarou k odkazom 24 a 49 v zákone č. 474/2013 Z. z. o výbere mýta za užívanie vymedzených úsekov pozemných komunikácií a o zmene a doplnení niektorých zákonov v znení neskorších predpisov. Odôvodnenie: Zákon Národnej rady Slovenskej republiky č. 198/1994 Z. z. o Vojenskom spravodajstve v znení neskorších predpisov, ktorý je uvedený v poznámkach pod čiarou k odkazom 24 a 49 bol zrušený zákonom č. 500/2022 Z. z. o Vojenskom spravodajstve, ktorý nadobudol účinnosť 1. februára 2023.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sz w:val="25"/>
                <w:szCs w:val="25"/>
              </w:rPr>
              <w:t xml:space="preserve">Pripomienka smeruje nad rámec prekladanej právnej úpravy. Odkaz 24 sa nachádza v ustanovení § 12 ods. 8 zákona a odkaz 49 sa nachádza v ustanovení § 25 ods. 6 zákona, ktoré sa však nenovelizujú. Poznámky pod čiarou nemajú normatívny charakter. </w:t>
            </w: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tabuľke zhody</w:t>
            </w:r>
            <w:r>
              <w:rPr>
                <w:rFonts w:ascii="Times" w:hAnsi="Times" w:cs="Times"/>
                <w:sz w:val="25"/>
                <w:szCs w:val="25"/>
              </w:rPr>
              <w:br/>
              <w:t>Odporúčame na str. 17 odstrániť sledovanie zmien.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obalu</w:t>
            </w:r>
            <w:r>
              <w:rPr>
                <w:rFonts w:ascii="Times" w:hAnsi="Times" w:cs="Times"/>
                <w:sz w:val="25"/>
                <w:szCs w:val="25"/>
              </w:rPr>
              <w:br/>
              <w:t>Odporúčame nahradiť slová „úloha B.5. z uznesenia vlády SR č. 609/2022“ slovami „úloha B.5. z uznesenia vlády Slovenskej republiky č. 609 z 5. októbra 2022“. Uvedené je potrebné zohľadniť aj v prvom odseku predkladacej správy a vo všeobecnej časti dôvodovej správy.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Odporúčame v bode 1. Základné údaje uviesť ako predkladateľa výlučne ministra dopravy.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Odporúčame v bode 6. Vykonávacie predpisy uviesť názov nariadenia vlády Slovenskej republiky v znení „Nariadenie vlády Slovenskej republiky z .../2024, ktorým sa ustanovuje spôsob výpočtu mýta, sadzby mýta, spôsob určenia emisnej triedy vozidla a systém zliav zo sadzieb mýta za užívanie vymedzených úsekov pozemných komunikácií“. Zároveň odporúčame vyplniť bod 7. Transpozícia/implementácia práva EÚ (goldplating), bod. 8 Preskúmanie účelnosti a bod 10. Poznámky (najmä zhrnutie vplyvov, uviesť prevládajúci charakter vplyvov) v zmysle Jednotnej metodiky na posudzovanie vybraných vplyvov.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dôvodovej správe, osobitná časť</w:t>
            </w:r>
            <w:r>
              <w:rPr>
                <w:rFonts w:ascii="Times" w:hAnsi="Times" w:cs="Times"/>
                <w:sz w:val="25"/>
                <w:szCs w:val="25"/>
              </w:rPr>
              <w:br/>
              <w:t>Odporúčame v časti „K čl. I bodu 9“ odstrániť písmeno „s“ z dôvodu jeho nadbytočnosti.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vlastnému materiálu</w:t>
            </w:r>
            <w:r>
              <w:rPr>
                <w:rFonts w:ascii="Times" w:hAnsi="Times" w:cs="Times"/>
                <w:sz w:val="25"/>
                <w:szCs w:val="25"/>
              </w:rPr>
              <w:br/>
              <w:t>Odporúčame v čl. III bod 3 doplniť do ods. 1 ďalšiu kategóriu vozidla v zmysle prílohy č. 1 k zákonu č. 361/2014 Z. z., a to konkréte v nasledujúcom znení: „(1) Ročné sadzby dane pre vozidlá kategórie L, M1 a N1, ktorého jediným zdrojom energie je elektrina sú uvedené v prílohe č. 1.“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obalu</w:t>
            </w:r>
            <w:r>
              <w:rPr>
                <w:rFonts w:ascii="Times" w:hAnsi="Times" w:cs="Times"/>
                <w:sz w:val="25"/>
                <w:szCs w:val="25"/>
              </w:rPr>
              <w:br/>
              <w:t>Odporúčame v názve predloženého materiálu nahradiť slovo „predpisov“ slovom „zákony“.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predkladacej správe</w:t>
            </w:r>
            <w:r>
              <w:rPr>
                <w:rFonts w:ascii="Times" w:hAnsi="Times" w:cs="Times"/>
                <w:sz w:val="25"/>
                <w:szCs w:val="25"/>
              </w:rPr>
              <w:br/>
              <w:t>Odporúčame v treťom odseku nahradiť slová „cestnej infraštruktúry vozidlami“ slovami „určitej dopravnej infraštruktúry ťažkými nákladnými vozidlami (Ú. v. EÚ L 187, 20.7.1999)". Zároveň odporúčame vložiť za slovo „tachografov“ slová „(Ú. v. EÚ L 249, 31.7.2020)“.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Odporúčame vyplniť doložku zlučiteľnosti, ktorá je prílohou č. 2 k Legislatívnym pravidlám vlády Slovenskej republiky.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správe o účasti verejnosti na tvorbe právneho predpisu</w:t>
            </w:r>
            <w:r>
              <w:rPr>
                <w:rFonts w:ascii="Times" w:hAnsi="Times" w:cs="Times"/>
                <w:sz w:val="25"/>
                <w:szCs w:val="25"/>
              </w:rPr>
              <w:br/>
              <w:t>Odporúčame vyplniť správu o účasti verejnosti na tvorbe právneho predpisu, ktorá je prílohou č. 4 k Legislatívnym pravidlám vlády Slovenskej republiky.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sz w:val="25"/>
                <w:szCs w:val="25"/>
              </w:rPr>
              <w:t>Správa o účasti verejnosti na tvorbe právneho predpisu je vypracovaná v súlade s čl. 21 Legislatívnych pravidiel vlády. Príloha č. 4 Legislatívnych pravidiel vlády je fakultatívna.</w:t>
            </w: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predkladacej správe</w:t>
            </w:r>
            <w:r>
              <w:rPr>
                <w:rFonts w:ascii="Times" w:hAnsi="Times" w:cs="Times"/>
                <w:sz w:val="25"/>
                <w:szCs w:val="25"/>
              </w:rPr>
              <w:br/>
              <w:t>Odporúčame zaviesť skratku názvu predloženého materiálu v prvom odseku, a to konkrétne vložiť za slovo „zákony“ slová „(ďalej ako „návrh zákona“)“. Podobne aj v druhom odseku odporúčame zaviesť skratku pre smernicu Európskeho parlamentu a Rady (EÚ) 2022/362 z 24. februára, ktorá bude naďalej používaná v texte predkladacej správy. Uvedené je potrebné zohľadniť aj vo všeobecnej časti dôvodovej správy.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sz w:val="25"/>
                <w:szCs w:val="25"/>
              </w:rPr>
              <w:t>V sprievodných materiáloch nie je potrebné a nevyhnutné zavádzať legislatívnu skratku pre návrh zákona, keďže z kontextu je dostatočne zrejmé, čo sa myslí pod návrhom zákona.</w:t>
            </w: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vlastnému materiálu</w:t>
            </w:r>
            <w:r>
              <w:rPr>
                <w:rFonts w:ascii="Times" w:hAnsi="Times" w:cs="Times"/>
                <w:sz w:val="25"/>
                <w:szCs w:val="25"/>
              </w:rPr>
              <w:br/>
              <w:t>V čl. I bod 1 odporúčame v odseku 3 nahradiť slovo „účel“ slovom „účely“.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vlastnému materiálu</w:t>
            </w:r>
            <w:r>
              <w:rPr>
                <w:rFonts w:ascii="Times" w:hAnsi="Times" w:cs="Times"/>
                <w:sz w:val="25"/>
                <w:szCs w:val="25"/>
              </w:rPr>
              <w:br/>
              <w:t>V čl. I bod 5 odporúčame odstrániť slová „za slovom ,predpisu´“ z dôvodu ich nadbytočnosti. Zároveň odporúčame, aby sa na konci za slovom „alebo“ pripojili tieto slová „v súlade s dokladom podľa osobitného predpisu, 18b)“. Slovo „alebo“ je v tomto prípade duplicitné. Odporúčame v znení odkazu 18b doplniť za písmeno „č“ bodku.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vlastnému materiálu</w:t>
            </w:r>
            <w:r>
              <w:rPr>
                <w:rFonts w:ascii="Times" w:hAnsi="Times" w:cs="Times"/>
                <w:sz w:val="25"/>
                <w:szCs w:val="25"/>
              </w:rPr>
              <w:br/>
              <w:t>V úvodnej vete čl. IV odporúčame doplniť skrátenú citáciu novely predmetného právneho predpisu, a to konkrétne „zákon č. 747/2004 Z. z.“.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uzneseniu vlády SR</w:t>
            </w:r>
            <w:r>
              <w:rPr>
                <w:rFonts w:ascii="Times" w:hAnsi="Times" w:cs="Times"/>
                <w:sz w:val="25"/>
                <w:szCs w:val="25"/>
              </w:rPr>
              <w:br/>
              <w:t>Vzhľadom na to, že sprievodná dokumentácia k predloženému materiálu obsahuje dva návrhy uznesenia vlády Slovenskej republiky, odporúčame v súbore s názvom „01_uznesenie.doc“ uviesť názov predkladaného materiálu tučným písmom, pred bod A. schvaľuje vložiť slovo „Vláda“ tučným písmom, bod A.1. neuvádzať tučným písmom a posunúť ho v riadku v súlade s bodom B.1. a B.2., na konci bodu A.1. vložiť bodkočiarku, na konci bodu B.1. vložiť čiarku a na konci bodu B.2. vložiť bodku. Pokiaľ ide o súbor s názvom „Zákon-návrh uznesenia vlády.docx“ tak odporúčame uviesť slovo minister s malým začiatočným písmenom (uvedené je potrebné zohľadniť aj v iných častiach tohto návrhu uznesenia vlády Slovenskej republiky), text jednotlivých bodov A.1. a B.1. zarovnať podľa okrajov a odstrániť medzeru pred bodkočiarkou v bode A.1..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Čl. II bod 1</w:t>
            </w:r>
            <w:r>
              <w:rPr>
                <w:rFonts w:ascii="Times" w:hAnsi="Times" w:cs="Times"/>
                <w:sz w:val="25"/>
                <w:szCs w:val="25"/>
              </w:rPr>
              <w:br/>
              <w:t>Navrhujeme v Čl. II bod 1vypustiť písmená h) a i). Túto pripomienku považujeme za zásadnú. Odôvodnenie: Uvedeným návrhom zákona sa okrem iného mení v čl. II zákon č. 8/2009 Z. z. o cestnej premávke v platnom znení, kde sa s účinnosťou od 01. 07. 2025 navrhuje zmeniť § 113 odsek 15. Uvedenou zmenou sa dopĺňajú nové položky v písmenách h) až j). Jedná sa o údaje, ktoré bude musieť Ministerstvo vnútra Slovenskej republiky poskytovať inému členskému štátu Európskej únie a štátu, ktorý je zmluvnou stranou Dohody o Európskom hospodárskom priestore prostredníctvom informačného systému EUCARIS a to: h) trieda emisií CO2 vozidla, i) CO2 v g/tkm vozidla, j) najvyššia technicky prípustná hmotnosť naloženého vozidla. V čl. 3 smernice Európskeho parlamentu a Rady (EÚ) 2022/362 sa nahrádza príloha 1 k smernici (EÚ) 2019/520 novou prílohou, v ktorej sú uvedené dátové prvky, ktoré sa poskytujú iným štátom prostredníctvom systému EUCARIS. Z vyššie novo zavedených položiek je nepovinné zasielanie triedy emisií CO2 vozidla a CO2 v g/tkm vozidla a povinné je zasielanie najvyššej technicky prípustnej hmotnosti naloženého vozidla. V poznámke k položkám trieda emisií CO2 vozidla a CO2 v g/tkm vozidla je zároveň uvedené, že tieto sú uplatniteľné na ťažké úžitkové vozidlá. S Ministerstvom dopravy Slovenskej republiky, ktoré je gestorom položiek o technických údajoch uvádzaných v dokladoch od vozidiel, sa uskutočnilo pracovné rokovanie, na ktorom bolo konštatované, že trieda emisií CO2 vozidla sa môže časom meniť. Zároveň novú položku CO2 v g/tkm vozidla v systéme evidencia vozidiel v súčasnosti neevidujeme. Ako ďalšiu podstatnú skutočnosť uvádzame, že v systéme EUCARIS v súčasnosti neevidujú položky trieda emisií CO2 vozidla a CO2 v g/tkm vozidla. V prípade schválenia návrhu novely zákona bude nutné systémy evidencia vozidiel a EUCARIS upraviť, pričom dávame do pozornosti, že tieto sú dodávané dvomi externými dodávateľmi. Zároveň by musela prebehnúť analýza zapracovania nových položiek, vrátane potrebných organizačných, technických, testovacích a zmluvných opatrení.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MZVEZ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V bode 4. písm. c) odporúčame doplniť do výpočtu právnych predpisov, v ktorých sú uvádzané právne akty Európskej únie už prebrané, vyhlášku Ministerstva dopravy a výstavby Slovenskej republiky č. 138/2018 Z. z., ktorou sa ustanovujú podrobnosti v oblasti emisnej kontroly v znení neskorších predpisov. Odôvodnenie: Zosúladenie zoznamu právnych predpisov v doložke zlučiteľnosti s tabuľkou zhody.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MZVEZ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V bode 4. písm. c) odporúčame slová ,,č. 410/2013 Z. z.“ nahradiť slovami ,,č. 410/2014 Z. z.“. Odôvodnenie: Oprava chyby v písaní.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MZVEZ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V názve odporúčame slová ,,právneho predpisu“ nahradiť slovami ,,návrhu zákona“. Odôvodnenie: Zosúladenie s prílohou č. 2 k Legislatívnym pravidlám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NDS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Čl. I § 4 ods. 8 bod 2</w:t>
            </w:r>
            <w:r>
              <w:rPr>
                <w:rFonts w:ascii="Times" w:hAnsi="Times" w:cs="Times"/>
                <w:sz w:val="25"/>
                <w:szCs w:val="25"/>
              </w:rPr>
              <w:br/>
              <w:t>V § 4 ods. 8 navrhujeme vypustiť časť vety za čiarkou. Odôvodnenie: Podľa navrhovaného znenia by poskytovateľ Európskej služby elektronického výberu mýta nebol povinný zaslať správcovi výberu mýta údaje potrebné pre výpočet zľavy pri registrácii vozidiel do elektronického mýtneho systému, t.j. pri zaslaní prvotného záznamu o vozidle v tzv. WhiteList-e, ale by bol povinný poslať údaje až po užití vymedzených úsekov ciest vozidlom, pričom v uvedenom ustanovení nie je presne vymedzené, v akom momente by poskytovateľ Európskej služby elektronického výberu mýta mal tieto údaje správcovi výberu mýta poskytnúť. Poskytnutie údajov zo strany poskytovateľa Európskej služby elektronického výberu mýta až po prejazde vozidla vymedzeným úsekom ciest by znamenalo spätné dopočítavanie prejazdených kilometrov pre účely výpočtu zliav a uvedené riešenie by bolo technicky a výpočtovo náročné.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Čl. I</w:t>
            </w:r>
            <w:r>
              <w:rPr>
                <w:rFonts w:ascii="Times" w:hAnsi="Times" w:cs="Times"/>
                <w:sz w:val="25"/>
                <w:szCs w:val="25"/>
              </w:rPr>
              <w:br/>
              <w:t>1. K Čl. I bodu 5: V poznámke pod čiarou k odkazu 18b) žiadame na prvom mieste odkazovať na Časť II Prílohy IV nariadenia (EÚ) 2017/2400 v platnom znení, a následne na § 12 ods. 1 zákona č. 106/2018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tabuľke zhody so smernicou 1999/62/ES v platnom znení:</w:t>
            </w:r>
            <w:r>
              <w:rPr>
                <w:rFonts w:ascii="Times" w:hAnsi="Times" w:cs="Times"/>
                <w:sz w:val="25"/>
                <w:szCs w:val="25"/>
              </w:rPr>
              <w:br/>
              <w:t>1. Názov smernice 1999/62/ES v platnom znení v ľavej časti záhlavia tabuľky zhody žiadame upraviť nasledovne: „Smernica Európskeho parlamentu a Rady 1999/62/ES zo 17. júna 1999 o poplatkoch za používanie určitej dopravnej infraštruktúry vozidlami (Mimoriadne vydanie Ú. v. EÚ, kap. 7/zv. 4; Ú. v. EÚ L 187, 20.7.1999)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1. V bode 3 písm. b) doložky zlučiteľnosti žiadame spolu s príslušným gestorom uvádzať aj ďalšie relevantné sekundárne právne akty Európskej únie, predovšetkým: - smernicu Európskeho parlamentu a Rady 1999/62/ES zo 17. júna 1999 o poplatkoch za používanie cestnej infraštruktúry vozidlami v platnom znení; - nariadenie Európskeho parlamentu a Rady (EÚ) 2020/1054 z 15. júla 2020, ktorým sa mení nariadenie (ES) č. 561/2006, pokiaľ ide o minimálne požiadavky na maximálne denné a týždenné časy jazdy, minimálne prestávky a doby denného a týždenného odpočinku, a nariadenie (EÚ) č. 165/2014, pokiaľ ide o určovanie polohy prostredníctvom tachografov; a - nariadenie Komisie (EÚ) 2017/2400 z 12. decembra 2017, ktorým sa vykonáva nariadenie Európskeho parlamentu a Rady (ES) č. 595/2009, pokiaľ ide o určovanie emisií CO2 a spotreby paliva ťažkých úžitkových vozidiel a ktorým sa mení smernica Európskeho parlamentu a Rady 2007/46/ES a nariadenie Komisie (EÚ) č. 582/2011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transpozícií a tabuľke zhody so smernicou (EÚ) 2022/362:</w:t>
            </w:r>
            <w:r>
              <w:rPr>
                <w:rFonts w:ascii="Times" w:hAnsi="Times" w:cs="Times"/>
                <w:sz w:val="25"/>
                <w:szCs w:val="25"/>
              </w:rPr>
              <w:br/>
              <w:t>1. V predkladanej tabuľke zhody so smernicou (EÚ) 2022/362 žiadame uvádzať celý text transponovanej smernice publikovaný v Úradnom vestníku Európskej únie. Túto pripomienku vzťahujeme najmä na čl. 1 bod 1, čl. 1 bod 2 úvodnú vetu smernice (EÚ) 2022/362, úvodnú vetu čl. 2 smernice 1999/62/ES v znení čl. 1 bodu 2 smernice (EÚ) 2022/362, ako aj čl. 5 a 6 smernice (EÚ) 2022/362.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sprievodným dokumentom:</w:t>
            </w:r>
            <w:r>
              <w:rPr>
                <w:rFonts w:ascii="Times" w:hAnsi="Times" w:cs="Times"/>
                <w:sz w:val="25"/>
                <w:szCs w:val="25"/>
              </w:rPr>
              <w:br/>
              <w:t>1. Za názvom smernice (EÚ) 2022/362 v druhom odseku predkladacej správy a v druhom odseku všeobecnej časti dôvodovej správy žiadame zaviesť skrátenú citáciu nasledovne: „(ďalej len „smernica (EÚ) 2022/362“)“. Takto zavedenú skrátenú citáciu žiadame následne dôsledne používať v sprievodných dokumentoch k predkladanému návrhu zákona, predovšetkým v druhom s piatom odseku predkladacej správy, v druhom odseku všeobecnej časti dôvodovej správy, ako aj v osobitnej časti dôvodovej správy (najmä v odôvodnení k Čl. I bodom 1 a 2, bodu 9, bodom 10 až 12, bodu 13, k Čl. II bodu 2, k Čl. III bodu 7 a k Čl. IV predkladaného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transpozícií a tabuľke zhody so smernicou (EÚ) 2022/362:</w:t>
            </w:r>
            <w:r>
              <w:rPr>
                <w:rFonts w:ascii="Times" w:hAnsi="Times" w:cs="Times"/>
                <w:sz w:val="25"/>
                <w:szCs w:val="25"/>
              </w:rPr>
              <w:br/>
              <w:t>10. Žiadame preukázať transpozíciu čl. 7 ods. 10 smernice 1999/62/ES v znení čl. 1 ods. 3 smernice (EÚ) 2022/362 do slovenského právneho poriadku. Uvádzané transpozičné opatrenia nie sú na preukázanie úplnej transpozície dostatočné.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transpozícií a tabuľke zhody so smernicou (EÚ) 2022/362:</w:t>
            </w:r>
            <w:r>
              <w:rPr>
                <w:rFonts w:ascii="Times" w:hAnsi="Times" w:cs="Times"/>
                <w:sz w:val="25"/>
                <w:szCs w:val="25"/>
              </w:rPr>
              <w:br/>
              <w:t>11. Žiadame preukázať transpozíciu čl. 7a ods. 2 smernice 1999/62/ES v znení čl. 1 ods. 3 smernice (EÚ) 2022/362 do slovenského právneho poriadku. Uvádzané transpozičné opatrenia nie sú na preukázanie úplnej transpozície dostatočné.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sz w:val="25"/>
                <w:szCs w:val="25"/>
              </w:rPr>
              <w:t xml:space="preserve">Transpozícia je korektná. Čl. 7a ods. 2 smernice 1999/62/ES v znení čl. 1 ods. 3 smernice (EÚ) 2022/362 hovorí, že „Ak sa užívateľské poplatky uplatňujú na ťažké úžitkové vozidlá,...“. Do poznámky doplnená skutočnosť, že pre ťažké úžitkové vozidlá na SR sa neuplatňujú užívateľské poplatky od 1. 1. 2010, kedy bolo zavedené výkonové mýto, čo bolo notifikované EK. </w:t>
            </w: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transpozícií a tabuľke zhody so smernicou (EÚ) 2022/362:</w:t>
            </w:r>
            <w:r>
              <w:rPr>
                <w:rFonts w:ascii="Times" w:hAnsi="Times" w:cs="Times"/>
                <w:sz w:val="25"/>
                <w:szCs w:val="25"/>
              </w:rPr>
              <w:br/>
              <w:t>12. Máme za to, že transpozícia čl. 7a ods. 3 smernice 1999/62/ES v znení čl. 1 ods. 3 smernice (EÚ) 2022/362 do slovenského právneho poriadku nie je správna s ohľadom na stanovené ceny diaľničnej známky stanovené v § 1 ods. 1 a 2 nariadenia vlády Slovenskej republiky č. 410/2014 Z. z. v prípade mesačnej a desaťdňovej diaľničnej známky. Žiadame upraviť resp. vysvetliť v ôsmom stĺpci tabuľky zhody.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sz w:val="25"/>
                <w:szCs w:val="25"/>
              </w:rPr>
              <w:t xml:space="preserve">Členské štáty musia limity stanovené v prvom pododseku uplatňovať najneskôr do 25. marca 2030. </w:t>
            </w: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transpozícií a tabuľke zhody so smernicou (EÚ) 2022/362:</w:t>
            </w:r>
            <w:r>
              <w:rPr>
                <w:rFonts w:ascii="Times" w:hAnsi="Times" w:cs="Times"/>
                <w:sz w:val="25"/>
                <w:szCs w:val="25"/>
              </w:rPr>
              <w:br/>
              <w:t>13. Žiadame preukázať transpozíciu čl. 7a ods. 3 štvrtého pododseku smernice 1999/62/ES v znení čl. 1 ods. 3 smernice (EÚ) 2022/362 do slovenského právneho poriadku. Uvádzané transpozičné opatrenia nie sú na preukázanie úplnej transpozície dostatočné.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sz w:val="25"/>
                <w:szCs w:val="25"/>
              </w:rPr>
              <w:t xml:space="preserve">Žiadna podstatná zmena režimu spoplatnenia v prípade užívateľských poplatkov pre osobné vozidlá nenastala a ani sa neplánuje. Transpozícia je korektná. Členské štáty musia limity stanovené v prvom pododseku uplatňovať najneskôr do 25. marca 2030. </w:t>
            </w: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transpozícií a tabuľke zhody so smernicou (EÚ) 2022/362:</w:t>
            </w:r>
            <w:r>
              <w:rPr>
                <w:rFonts w:ascii="Times" w:hAnsi="Times" w:cs="Times"/>
                <w:sz w:val="25"/>
                <w:szCs w:val="25"/>
              </w:rPr>
              <w:br/>
              <w:t>14. V ôsmom stĺpci tabuľky zhody žiadame uviesť vysvetlenie, prečo k transpozícií čl. 7aa smernice 1999/62/ES v znení čl. 1 ods. 4 smernice (EÚ) 2022/362 do slovenského právneho poriadku nedochádza.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transpozícií a tabuľke zhody so smernicou (EÚ) 2022/362:</w:t>
            </w:r>
            <w:r>
              <w:rPr>
                <w:rFonts w:ascii="Times" w:hAnsi="Times" w:cs="Times"/>
                <w:sz w:val="25"/>
                <w:szCs w:val="25"/>
              </w:rPr>
              <w:br/>
              <w:t>15. Pri preukazovaní transpozície čl. 7c ods. 1 smernice 1999/62/ES v znení čl. 1 ods. 5 smernice (EÚ) 2022/362 do slovenského právneho poriadku žiadame v deviatom stĺpci tabuľky zhody uviesť slová „GP – A, b) navýšenie požiadaviek“, a v desiatom stĺpci tabuľky zhody uviesť slová „oblasť s vplyvom na podnikateľské prostredie, oblasť s vplyvom na životné prostredie“. Následne žiadame v súlade s Prílohou č. 3 k Legislatívnym pravidlám vlády Slovenskej republiky pod tabuľkou zhody so smernicou (EÚ) 2022/362 uviesť vyjadrenie k opodstatnenosti goldplatingu a jeho odôvodnenie.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sz w:val="25"/>
                <w:szCs w:val="25"/>
              </w:rPr>
              <w:t xml:space="preserve">Podľa čl. 7c ods. 1 prvého pododseku smernice 1999/62/ES v znení čl. 1 ods. 5 členské štáty môžu zachovať alebo zaviesť poplatok za externé náklady, ktorý súvisí s nákladmi v dôsledku znečistenia ovzdušia, hluku, emisií CO2 spôsobených premávkou alebo ich ľubovoľnej kombinácie. Podľa 7ca ods. 3 smernice 1999/62/ES v znení čl. 1 ods. 6 smernice (EÚ) 2022/362 členské štáty uplatňujú od 25. marca 2026 na ťažké úžitkové vozidlá poplatok za externé náklady v súvislosti so znečistením ovzdušia spôsobeného premávkou, a to na spoplatnenej sieti, ako sa uvádza v článku 7 ods. 1. Nejde teda o goldplating, ale vo vzťahu k poplatku za externé náklady v súvislosti so znečistením ovzdušia spôsobeného premávkou o povinnosť. </w:t>
            </w: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transpozícií a tabuľke zhody so smernicou (EÚ) 2022/362:</w:t>
            </w:r>
            <w:r>
              <w:rPr>
                <w:rFonts w:ascii="Times" w:hAnsi="Times" w:cs="Times"/>
                <w:sz w:val="25"/>
                <w:szCs w:val="25"/>
              </w:rPr>
              <w:br/>
              <w:t>16. Žiadame preukázať transpozíciu čl. 7c ods. 1 druhého pododseku a ods. 2 smernice 1999/62/ES v znení čl. 1 ods. 5 smernice (EÚ) 2022/362 do slovenského právneho poriadku. Uvádzané transpozičné opatrenia nie sú na preukázanie úplnej transpozície dostatočné.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sz w:val="25"/>
                <w:szCs w:val="25"/>
              </w:rPr>
              <w:t>Transpozičné opatrenie k čl. 7c ods. 1 druhého pododseku smernice doplnené; transpozícia čl. 7c ods. 2 smernice je preukázaná Prílohou č. 1 návrhu nariadenia vlády, kde je uvedená výška poplatkov za externé náklady spojené so znečistením ovzdušia spôsobeným premávkou.</w:t>
            </w: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transpozícií a tabuľke zhody so smernicou (EÚ) 2022/362:</w:t>
            </w:r>
            <w:r>
              <w:rPr>
                <w:rFonts w:ascii="Times" w:hAnsi="Times" w:cs="Times"/>
                <w:sz w:val="25"/>
                <w:szCs w:val="25"/>
              </w:rPr>
              <w:br/>
              <w:t>17. Žiadame preukázať transpozíciu čl. 7ca ods. 1 smernice 1999/62/ES v znení čl. 1 ods. 6 smernice (EÚ) 2022/362 do slovenského právneho poriadku. Uvádzané transpozičné opatrenia nie sú na preukázanie úplnej transpozície dostatočné.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transpozícií a tabuľke zhody so smernicou (EÚ) 2022/362:</w:t>
            </w:r>
            <w:r>
              <w:rPr>
                <w:rFonts w:ascii="Times" w:hAnsi="Times" w:cs="Times"/>
                <w:sz w:val="25"/>
                <w:szCs w:val="25"/>
              </w:rPr>
              <w:br/>
              <w:t>18. Pri preukazovaní transpozície čl. 7ca ods. 3 smernice 1999/62/ES v znení čl. 1 ods. 6 smernice (EÚ) 2022/362 žiadame v šiestom stĺpci tabuľky zhody ako transpozičné opatrenie uvádzať aj Čl. V predkladaného návrhu zákona a § 8 predložených téz návrhu nariadenia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transpozícií a tabuľke zhody so smernicou (EÚ) 2022/362:</w:t>
            </w:r>
            <w:r>
              <w:rPr>
                <w:rFonts w:ascii="Times" w:hAnsi="Times" w:cs="Times"/>
                <w:sz w:val="25"/>
                <w:szCs w:val="25"/>
              </w:rPr>
              <w:br/>
              <w:t>19. Pri preukazovaní transpozície čl. 7ca smernice 1999/62/ES v znení čl. 1 ods. 6 smernice (EÚ) 2022/362 do slovenského právneho poriadku žiadame v deviatom stĺpci tabuľky zhody uviesť slová „GP – A, e) skoršia transpozícia“, a v desiatom stĺpci tabuľky zhody uviesť slová „oblasť s vplyvom na podnikateľské prostredie, oblasť s vplyvom na životné prostredie“. Následne žiadame v súlade s Prílohou č. 3 k Legislatívnym pravidlám vlády Slovenskej republiky pod tabuľkou zhody so smernicou (EÚ) 2022/362 uviesť vyjadrenie k opodstatnenosti goldplatingu a jeho odôvodnenie.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sz w:val="25"/>
                <w:szCs w:val="25"/>
              </w:rPr>
              <w:t xml:space="preserve">Upravené s drobnými odchýlkami v nadväznosti na zásadnú pripomienku MH SR. </w:t>
            </w: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Čl. II</w:t>
            </w:r>
            <w:r>
              <w:rPr>
                <w:rFonts w:ascii="Times" w:hAnsi="Times" w:cs="Times"/>
                <w:sz w:val="25"/>
                <w:szCs w:val="25"/>
              </w:rPr>
              <w:br/>
              <w:t>2. K Čl. II bodu 1: Upozorňujeme na nedostatočnú transpozíciu Prílohy I k smernici (EÚ) 2019/520 v znení čl. 3 smernice (EÚ) 2022/362 do slovenského právneho poriadku, nakoľko sa do § 113 ods. 15 zákona č. 8/2009 Z. z. v znení navrhovanom v Čl. II bode 1 predkladaného návrhu zákona netransponuje bod týkajúci sa dátumu prekvalifikácie, a žiadame tento nedostatok odstrániť.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sz w:val="25"/>
                <w:szCs w:val="25"/>
              </w:rPr>
              <w:t xml:space="preserve">V nadväznosti na zásadnú pripomienku MV SR dochádza k úprave predmetného ustanovenia; dátum preklasifikácie je nepovinný údaj, t. j. nebude sa transponovať. </w:t>
            </w: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sprievodným dokumentom:</w:t>
            </w:r>
            <w:r>
              <w:rPr>
                <w:rFonts w:ascii="Times" w:hAnsi="Times" w:cs="Times"/>
                <w:sz w:val="25"/>
                <w:szCs w:val="25"/>
              </w:rPr>
              <w:br/>
              <w:t>2. Názov smernice 1999/62/ES v platnom znení uvádzaný v treťom odseku predkladacej správy a v treťom odseku všeobecnej časti dôvodovej správy žiadame upraviť nasledovne: „smernica Európskeho parlamentu a Rady 1999/62/ES zo 17. júna 1999 o poplatkoch za používanie určitej dopravnej infraštruktúry vozidlami (Mimoriadne vydanie Ú. v. EÚ, kap. 7/zv. 4; Ú. v. EÚ L 187, 20.7.1999)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2. V bode 4 písm. b) doložky zlučiteľnosti žiadame uvádzať aj informáciu o prebiehajúcom konaní o porušení zmlúv č. INFR(2021)0544 v štádiu odôvodneného stanoviska doručeného dňa 29. septembra 2022 listom č. C(2022)6350 final týkajúceho sa nedostatočnej transpozície smernice (EÚ) 2019/520 v platnom znení do slovenského právneho poriadku.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transpozícií a tabuľke zhody so smernicou (EÚ) 2022/362:</w:t>
            </w:r>
            <w:r>
              <w:rPr>
                <w:rFonts w:ascii="Times" w:hAnsi="Times" w:cs="Times"/>
                <w:sz w:val="25"/>
                <w:szCs w:val="25"/>
              </w:rPr>
              <w:br/>
              <w:t>2. V predkladanej tabuľke zhody so smernicou (EÚ) 2022/362 žiadame v prípade, ak sa v transpozičnom opatrení uvádzanom v šiestom stĺpci tabuľky zhody odkazuje na osobitný predpis, uvádzať poznámky pod čiarou v ôsmom stĺpci tabuľky zhody.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tabuľke zhody so smernicou 1999/62/ES v platnom znení:</w:t>
            </w:r>
            <w:r>
              <w:rPr>
                <w:rFonts w:ascii="Times" w:hAnsi="Times" w:cs="Times"/>
                <w:sz w:val="25"/>
                <w:szCs w:val="25"/>
              </w:rPr>
              <w:br/>
              <w:t>2. V predloženej tabuľke zhody žiadame uviesť v treťom stĺpci tabuľky zhody znenie Prílohy I smernice 1999/62/ES v platnom znení, a v šiestom stĺpci preukázať jej transpozíciu do Príloh č. 1, 1a, 1b, 1c, 1d a 1e zákona č. 361/2014 Z. z. v znení navrhovanom v Čl. III bodoch 5 a 6 predkladaného návrhu zákona. Upozorňujeme, že účelom tabuľky zhody je umožnenie porovnania európskej a navrhovanej národnej právnej úpravy za účelom posúdenia dostatočnosti navrhovanej úpravy na zabezpečenie úplnej transpozície ustanovení smernice, ktorých transpozícia je pre členské štáty povinná, a v prípade, ak tieto ustanovenia nie sú v tabuľke zhody obsiahnuté, tabuľka zhody nemá výpovednú hodnotu.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sz w:val="25"/>
                <w:szCs w:val="25"/>
              </w:rPr>
              <w:t xml:space="preserve">Uvádzať celé znenie Prílohy I, ktorej súčasťou je aj tabuľka, by samotnú tabuľku zhody k smernici 1999/62/ES v platnom znení spravilo neprehľadnou. </w:t>
            </w: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transpozícií a tabuľke zhody so smernicou (EÚ) 2022/362:</w:t>
            </w:r>
            <w:r>
              <w:rPr>
                <w:rFonts w:ascii="Times" w:hAnsi="Times" w:cs="Times"/>
                <w:sz w:val="25"/>
                <w:szCs w:val="25"/>
              </w:rPr>
              <w:br/>
              <w:t>20. Pri preukazovaní transpozície čl. 7cb smernice 1999/62/ES v znení čl. 1 ods. 6 smernice (EÚ) 2022/362 do slovenského právneho poriadku žiadame v deviatom stĺpci tabuľky zhody uviesť slová „GP – A, a) rozšírenie na iné subjekty“, a v desiatom stĺpci tabuľky zhody uviesť slová „oblasť s vplyvom na podnikateľské prostredie“. Následne žiadame v súlade s Prílohou č. 3 k Legislatívnym pravidlám vlády Slovenskej republiky pod tabuľkou zhody so smernicou (EÚ) 2022/362 uviesť vyjadrenie k opodstatnenosti goldplatingu a jeho odôvodnenie.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sz w:val="25"/>
                <w:szCs w:val="25"/>
              </w:rPr>
              <w:t xml:space="preserve">V nadväznosti na zásadnú pripomienku MH SR dochádza ku goldplatingu typu GP - A písm. f) (zachovanie súčasnej právnej úpravy), pričom sa vyznačil aj vplyv na podnikateľské prostredie (dopravcov). Zdôvodnenie opodstatnenosti goldplatingu je doplnené, a to aj na základe požiadavky MH SR. </w:t>
            </w: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transpozícií a tabuľke zhody so smernicou (EÚ) 2022/362:</w:t>
            </w:r>
            <w:r>
              <w:rPr>
                <w:rFonts w:ascii="Times" w:hAnsi="Times" w:cs="Times"/>
                <w:sz w:val="25"/>
                <w:szCs w:val="25"/>
              </w:rPr>
              <w:br/>
              <w:t>21. Máme za to, že nevyužitím výnimky stanovenej v čl. 1 ods. 11 v čl. 7ga ods. 1 piatom pododseku smernice (EÚ) 2022/362, dochádza ku goldplatingu stanovením sadzieb poplatkov nad minimálny rozsah vyžadovaný smernicou (EÚ) 2022/362. Žiadame preto v deviatom stĺpci tabuľky zhody uviesť slová „GP – A, c) nevyužitie výnimky“, a v desiatom stĺpci tabuľky zhody uviesť slová „oblasť s vplyvom na podnikateľské prostredie“. Následne žiadame v súlade s Prílohou č. 3 k Legislatívnym pravidlám vlády Slovenskej republiky pod tabuľkou zhody so smernicou (EÚ) 2022/362 uviesť vyjadrenie k opodstatnenosti goldplatingu a jeho odôvodnenie.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sz w:val="25"/>
                <w:szCs w:val="25"/>
              </w:rPr>
              <w:t xml:space="preserve">Podľa čl. 7ga ods. 1 piateho pododseku smernice 1999/62/ES v znení čl. 1 ods. 11 smernice (EÚ) 2022/362 bez toho, aby bolo dotknuté zníženie sadzieb stanovené v odseku 3, môžu členské štáty od 24. marca 2022 do 31. decembra 2025 stanoviť znížené sadzby poplatkov za infraštruktúru alebo užívateľských poplatkov alebo výnimky z povinnosti platiť poplatky za infraštruktúru alebo užívateľské poplatky za vozidlá s nulovými emisiami ktorejkoľvek skupiny vozidiel. Od 1. januára 2026 bude toto zníženie poplatkov obmedzené na 75 % v porovnaní s poplatkami platnými pre triedu emisií CO2 1 v zmysle odseku 2. Transpozícia čl. 7ga ods. 1 piateho pododseku smernice 1999/62/ES v znení čl. 1 ods. 11 smernice (EÚ) 2022/362 je dobrovoľná. Nevieme, na základe čoho dochádza nevyužitím nepovinnej výnimky ku „goldplatingu stanovením poplatkov mýta nad minimálny rozsah vyžadovaný smernicou (EÚ) 2022/362“. Na základe požiadavky uplatňovanej záujmovými združenia dopravcov pre jednotný termín zavedenia uplatňovania všetkých pravidiel vyžadovaných smernicou z dôvodu stability sektora sa výnimka nevyužila. Treba zdôrazniť, že goldplating v tomto prípade nepožadovalo uviesť ani MH SR ako gestor analýzy vplyvov na podnikateľské prostredie. </w:t>
            </w: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transpozícií a tabuľke zhody so smernicou (EÚ) 2022/362:</w:t>
            </w:r>
            <w:r>
              <w:rPr>
                <w:rFonts w:ascii="Times" w:hAnsi="Times" w:cs="Times"/>
                <w:sz w:val="25"/>
                <w:szCs w:val="25"/>
              </w:rPr>
              <w:br/>
              <w:t>22. Máme za to, že nevyužitím výnimky stanovenej v čl. 1 ods. 11 v čl. 7gb ods. 1 až 3 smernice (EÚ) 2022/362 dochádza ku goldplatingu stanovením sadzieb mýta a užívateľských poplatkov nad minimálny rozsah vyžadovaný smernicou (EÚ) 2022/362. Žiadame preto v deviatom stĺpci tabuľky zhody uviesť slová „GP – A, c) nevyužitie výnimky“, a v desiatom stĺpci tabuľky zhody uviesť slová „oblasť s vplyvom na podnikateľské prostredie, oblasť so sociálnymi vplyvmi“. Následne žiadame v súlade s Prílohou č. 3 k Legislatívnym pravidlám vlády Slovenskej republiky pod tabuľkou zhody so smernicou (EÚ) 2022/362 uviesť vyjadrenie k opodstatnenosti goldplatingu a jeho odôvodnenie.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sz w:val="25"/>
                <w:szCs w:val="25"/>
              </w:rPr>
              <w:t xml:space="preserve">Podľa čl. 7gb ods. 1 smernice 1999/62/ES v znení čl. 1 ods. 11 smernice (EÚ) 2022/362 členské štáty môžu diferencovať mýto a užívateľské poplatky za ľahké vozidlá na základe environmentálnych vlastností vozidla určených kombináciou alebo váženou kombináciou špecifických emisií CO2 uvedených v bode 49 osvedčenia o zhode vozidla a podľa emisnej triedy Euro. Transpozícia čl. 7gb smernice 1999/62/ES v znení čl. 1 ods. 11 smernice (EÚ) 2022/362 je dobrovoľná. Nevieme, na základe čoho bolo vyvodené, že „dochádza ku goldplatingu stanovením sadzieb mýta a užívateľských poplatkov nad minimálny rozsah vyžadovaný smernicou (EÚ) 2022/362“, keďže smernica (EÚ) 2022/362 nestanovila limity pre užívateľské poplatky pre osobné vozidlá. Čl. 7gb smernice 1999/62/ES v znení čl. 1 ods. 11 smernice (EÚ) upravuje dobrovoľnú možnosť diferenciácie sadzieb mýta a užívateľských poplatkov pre ľahké vozidlá. Ľahké vozidlá na Slovensku nemajú stanovené sadzby mýta, keďže všetky podliehajú užívateľskému poplatku, t. j. časovému spoplatneniu prostredníctvom elektronickej diaľničnej známky bez rozlíšenia typu pohonu. Je podstatne uviesť, že goldplating v tomto prípade nepožadovalo uviesť ani MH SR ako gestor analýzy vplyvov na podnikateľské prostredie. </w:t>
            </w: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transpozícií a tabuľke zhody so smernicou (EÚ) 2022/362:</w:t>
            </w:r>
            <w:r>
              <w:rPr>
                <w:rFonts w:ascii="Times" w:hAnsi="Times" w:cs="Times"/>
                <w:sz w:val="25"/>
                <w:szCs w:val="25"/>
              </w:rPr>
              <w:br/>
              <w:t>23. Žiadame preukázať transpozíciu čl. 7gb ods. 2 smernice 1999/62/ES v znení čl. 1 ods. 11 smernice (EÚ) 2022/362 do slovenského právneho poriadku. Ide o ustanovenie s bežnou transpozíciou, ktorého prebratie je pre členské štáty povinné („N“).</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sz w:val="25"/>
                <w:szCs w:val="25"/>
              </w:rPr>
              <w:t xml:space="preserve">Transpozícia čl. 7gb ods. 1 smernice 1999/62/ES v znení čl. 1 ods. 11 smernice (EÚ) 2022/362 je pre členské štáty dobrovoľná, keďže čl. 7 gb ods. 2 nadväzuje na čl. 7gb ods. 1 a treba ho vykladať v kontexte tohto ustanovenia. </w:t>
            </w: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transpozícií a tabuľke zhody so smernicou (EÚ) 2022/362:</w:t>
            </w:r>
            <w:r>
              <w:rPr>
                <w:rFonts w:ascii="Times" w:hAnsi="Times" w:cs="Times"/>
                <w:sz w:val="25"/>
                <w:szCs w:val="25"/>
              </w:rPr>
              <w:br/>
              <w:t>24. Žiadame preukázať transpozíciu čl. 7h smernice 1999/62/ES v znení čl. 1 ods. 12 smernice (EÚ) 2022/362 do slovenského právneho poriadku. Uvádzané transpozičné opatrenia nie sú na preukázanie úplnej transpozície dostatočné.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sz w:val="25"/>
                <w:szCs w:val="25"/>
              </w:rPr>
              <w:t xml:space="preserve">Transpozícia je korektná; ide v podstate o prenesenie znenia príslušných ustanovení smernice do návrhu zákona. </w:t>
            </w: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transpozícií a tabuľke zhody so smernicou (EÚ) 2022/362:</w:t>
            </w:r>
            <w:r>
              <w:rPr>
                <w:rFonts w:ascii="Times" w:hAnsi="Times" w:cs="Times"/>
                <w:sz w:val="25"/>
                <w:szCs w:val="25"/>
              </w:rPr>
              <w:br/>
              <w:t>25. Pri preukazovaní transpozície čl. 7i ods. 2 písm. b) a c) smernice 1999/62/ES v znení čl. 1 ods. 13 písm. a) smernice (EÚ) 2022/362 do slovenského právneho poriadku žiadame v deviatom stĺpci tabuľky zhody uviesť slová „GP – A, b) navýšenie požiadaviek“, a v desiatom stĺpci tabuľky zhody uviesť slová „oblasť s vplyvom na podnikateľské prostredie“. Následne žiadame v súlade s Prílohou č. 3 k Legislatívnym pravidlám vlády Slovenskej republiky pod tabuľkou zhody so smernicou (EÚ) 2022/362 uviesť vyjadrenie k opodstatnenosti goldplatingu a jeho odôvodnenie.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sz w:val="25"/>
                <w:szCs w:val="25"/>
              </w:rPr>
              <w:t xml:space="preserve">V nadväznosti na zásadnú pripomienku MH SR dochádza ku goldplatingu typu GP - A písm. f) (zachovanie súčasnej právnej úpravy), pričom sa vyznačil aj vplyv na podnikateľské prostredie (dopravcov). Uvedené znenie bolo schválené zo strany MH SR. Zdôvodnenie opodstatnenosti goldplatingu je doplnené, a to aj na základe požiadavky MH SR. </w:t>
            </w: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transpozícií a tabuľke zhody so smernicou (EÚ) 2022/362:</w:t>
            </w:r>
            <w:r>
              <w:rPr>
                <w:rFonts w:ascii="Times" w:hAnsi="Times" w:cs="Times"/>
                <w:sz w:val="25"/>
                <w:szCs w:val="25"/>
              </w:rPr>
              <w:br/>
              <w:t>26. Pri preukazovaní transpozície čl. 7i ods. 2a smernice 1999/62/ES v znení čl. 1 ods. 13 písm. b) smernice (EÚ) 2022/362 do slovenského právneho poriadku žiadame v deviatom stĺpci tabuľky zhody uviesť slová „GP – A, c) nevyužitie výnimky“, a v desiatom stĺpci tabuľky zhody uviesť slová „oblasť s vplyvom na podnikateľské prostredie, oblasť so sociálnymi vplyvmi“. Následne žiadame v súlade s Prílohou č. 3 k Legislatívnym pravidlám vlády Slovenskej republiky pod tabuľkou zhody so smernicou (EÚ) 2022/362 uviesť vyjadrenie k opodstatnenosti goldplatingu a jeho odôvodnenie.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sz w:val="25"/>
                <w:szCs w:val="25"/>
              </w:rPr>
              <w:t xml:space="preserve">V nadväznosti na zásadnú pripomienku MH SR dochádza ku goldplatingu typu GP - A písm. f) (zachovanie súčasnej právnej úpravy), pričom sa vyznačil aj vplyv na podnikateľské prostredie (dopravcov). Sociálne vplyvy nie sú v materiáli identifikované. Zdôvodnenie opodstatnenosti goldplatingu je doplnené, a to aj na základe požiadavky MH SR. </w:t>
            </w: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transpozícií a tabuľke zhody so smernicou (EÚ) 2022/362:</w:t>
            </w:r>
            <w:r>
              <w:rPr>
                <w:rFonts w:ascii="Times" w:hAnsi="Times" w:cs="Times"/>
                <w:sz w:val="25"/>
                <w:szCs w:val="25"/>
              </w:rPr>
              <w:br/>
              <w:t>27. Žiadame preukázať transpozíciu čl. 7j ods. 2a smernice 1999/62/ES v znení čl. 1 ods. 14 písm. b) smernice (EÚ) 2022/362 do slovenského právneho poriadku. Uvádzané transpozičné opatrenia nie sú na preukázanie úplnej transpozície dostatočné.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sz w:val="25"/>
                <w:szCs w:val="25"/>
              </w:rPr>
              <w:t xml:space="preserve">MD SR problematiku spätného dokladovania zaradenia do emisnej triedy upraví v návrhu nariadenia vlády, ktoré bude predmetom pripomienkového konania. </w:t>
            </w: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transpozícií a tabuľke zhody so smernicou (EÚ) 2022/362:</w:t>
            </w:r>
            <w:r>
              <w:rPr>
                <w:rFonts w:ascii="Times" w:hAnsi="Times" w:cs="Times"/>
                <w:sz w:val="25"/>
                <w:szCs w:val="25"/>
              </w:rPr>
              <w:br/>
              <w:t>28. V ôsmom stĺpci tabuľky zhody žiadame uviesť vysvetlenie, prečo k transpozícií čl. 7k smernice 1999/62/ES v znení čl. 1 ods. 15 smernice (EÚ) 2022/362 do slovenského právneho poriadku nedochádza.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transpozícií a tabuľke zhody so smernicou (EÚ) 2022/362:</w:t>
            </w:r>
            <w:r>
              <w:rPr>
                <w:rFonts w:ascii="Times" w:hAnsi="Times" w:cs="Times"/>
                <w:sz w:val="25"/>
                <w:szCs w:val="25"/>
              </w:rPr>
              <w:br/>
              <w:t>29. Pri preukazovaní transpozície čl. 3 smernice (EÚ) 2022/362 do slovenského právneho poriadku žiadame v deviatom stĺpci tabuľky zhody uviesť slová „GP – A, b) navýšenie požiadaviek“, a v desiatom stĺpci tabuľky zhody uviesť slová „oblasť s vplyvom na podnikateľské prostredie“. Následne žiadame v súlade s Prílohou č. 3 k Legislatívnym pravidlám vlády Slovenskej republiky pod tabuľkou zhody so smernicou (EÚ) 2022/362 uviesť vyjadrenie k opodstatnenosti goldplatingu a jeho odôvodnenie.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sz w:val="25"/>
                <w:szCs w:val="25"/>
              </w:rPr>
              <w:t xml:space="preserve">V nadväznosti na zásadnú pripomienku MV SR sa upravuje návrh tak, že dôjde len k prebratiu najväčšej technicky prípustnej celkovej hmotnosti vozidla, ktorý je povinným údajom; k prebratiu nepovinných údajov teda nedochádza a nevzniká goldplating. Zdôvodnenie opodstatnenosti goldplatingu je doplnené, a to aj na základe požiadavky MH SR. </w:t>
            </w: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Čl. IV</w:t>
            </w:r>
            <w:r>
              <w:rPr>
                <w:rFonts w:ascii="Times" w:hAnsi="Times" w:cs="Times"/>
                <w:sz w:val="25"/>
                <w:szCs w:val="25"/>
              </w:rPr>
              <w:br/>
              <w:t>3. K Čl. IV: Nakoľko predkladaným návrhom zákona sa v Čl. IV do slovenského právneho poriadku resp. do zákona č. 639/2004 Z. z. v znení neskorších predpisov transponuje čl. 1 bod 21 smernice (EÚ) 2022/362, v ktorom dochádza k nahradeniu čl. 11 smernice 1999/62/ES v platnom znení, žiadame v súlade s čl. 4 ods. 1 až 3 a čl. 8 ods. 11 Legislatívnych pravidiel vlády Slovenskej republiky v platnom znení do Čl. IV návrhu zaradiť samostatné novelizačné body, v ktorých dôjde k zriadeniu odkazu na transpozičnú prílohu v rámci spoločných ustanovení zákona, a k zriadeniu transpozičnej prílohy zákona č. 639/2004 Z. z., ktorej obsahom bude transponovaná smernica (EÚ) 2022/362.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sprievodným dokumentom:</w:t>
            </w:r>
            <w:r>
              <w:rPr>
                <w:rFonts w:ascii="Times" w:hAnsi="Times" w:cs="Times"/>
                <w:sz w:val="25"/>
                <w:szCs w:val="25"/>
              </w:rPr>
              <w:br/>
              <w:t>3. Názov nariadenia (EÚ) 2020/1054 uvádzaný v treťom odseku predkladacej správy a v treťom odseku všeobecnej časti dôvodovej správy žiadame upraviť nasledovne: „nariadenie Európskeho parlamentu a Rady (EÚ) 2020/1054 z 15. júla 2020, ktorým sa mení nariadenie (ES) č. 561/2006, pokiaľ ide o minimálne požiadavky na maximálne denné a týždenné časy jazdy, minimálne prestávky a doby denného a týždenného odpočinku, a nariadenie (EÚ) č. 165/2014, pokiaľ ide o určovanie polohy prostredníctvom tachografov (Ú. v. EÚ L 249, 31.7.2020)“.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transpozícií a tabuľke zhody so smernicou (EÚ) 2022/362:</w:t>
            </w:r>
            <w:r>
              <w:rPr>
                <w:rFonts w:ascii="Times" w:hAnsi="Times" w:cs="Times"/>
                <w:sz w:val="25"/>
                <w:szCs w:val="25"/>
              </w:rPr>
              <w:br/>
              <w:t>3. Predkladateľ na viacerých miestach tabuľky zhody so smernicou (EÚ) 2022/362 uvádza, že ustanovenie smernice do slovenského právneho poriadku bude zabezpečené jednotlivými prílohami návrhu nariadenia vlády Slovenskej republiky, ktorým sa ustanovuje spôsob výpočtu mýta, sadzby mýta, spôsob určenia emisnej triedy vozidla a systém zliav zo sadzieb mýta za užívanie vymedzených úsekov pozemných komunikácií. Upozorňujeme, že na posúdenie správnej a úplnej transpozície smernice (EÚ) 2022/362 do slovenského právneho poriadku je potrebné jednotlivé transpozičné opatrenia uvádzať v šiestom stĺpci tabuľky zhody. Túto pripomienku vzťahujeme napríklad na preukazovanie transpozície čl. 2 ods. 1 bodov 3, 29, 30, 32, 34 až 38 smernice 1999/62/ES v znení čl. 1 ods. 2 smernice (EÚ) 2022/362, čl. 2 ods. 2 smernice 1999/62/ES v znení čl. 1 ods. 2 smernice (EÚ) 2022/362, čl. 7c smernice 1999/62/ES v znení čl. 1 ods. 5 smernice (EÚ) 2022/362, čl. 7ca ods. 2 smernice 1999/62/ES v znení čl. 1 ods. 6 smernice (EÚ) 2022/362, čl. 7cb smernice 1999/62/ES v znení čl. 1 ods. 6 smernice (EÚ) 2022/362, čl. 1 ods. 9 smernice (EÚ) 2022/362, čl. 7ga ods. 1 smernice 1999/62/ES v znení čl. 1 ods. 6 smernice (EÚ) 2022/362, čl. 1 ods.11 smernice (EÚ) 2022/362, a pod.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sz w:val="25"/>
                <w:szCs w:val="25"/>
              </w:rPr>
              <w:t>Uvádzať celé znenia jednotlivých príloh, ktorých súčasťou je aj tabuľka, by samotnú tabuľku zhody k smernici (EÚ) 2022/362 spravilo neprehľadnou. Máme za to, že na tabuľku zhody je potrebné nazerať spolu so súvisiacimi materiálmi, najmä návrhom nariadenia vlády.</w:t>
            </w: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3. V bode 4 písm. c) doložky zlučiteľnosti žiadame uvádzať aj vyhlášku Ministerstva dopravy a výstavby Slovenskej republiky č. 138/2018 Z. z., nakoľko bola Európskej komisii notifikovaná ako transpozičné opatrenie smernice (EÚ) 2022/362.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transpozícií a tabuľke zhody so smernicou (EÚ) 2022/362:</w:t>
            </w:r>
            <w:r>
              <w:rPr>
                <w:rFonts w:ascii="Times" w:hAnsi="Times" w:cs="Times"/>
                <w:sz w:val="25"/>
                <w:szCs w:val="25"/>
              </w:rPr>
              <w:br/>
              <w:t>30. Pri preukazovaní transpozície čl. 3 smernice (EÚ) 2022/362 do slovenského právneho poriadku žiadame v treťom stĺpci tabuľky zhody uvádzať úplné znenie tabuľky Časti I Prílohy I (Údaje o vozidlách), a v šiestom stĺpci tabuľky zhody uvádzať úplné znenie § 113 ods. 15 zákona č. 8/2009 Z. z. v znení Čl. II bodu 1 predkladaného návrhu zákona. Upozorňujeme, že do predkladaného návrhu nie je transponovaný „Dátum preklasifikovania“ a žiadame Čl. II bod 1 upraviť.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sz w:val="25"/>
                <w:szCs w:val="25"/>
              </w:rPr>
              <w:t xml:space="preserve">Uvádzať celé znenie Prílohy I, ktorej súčasťou je aj tabuľka, by samotnú tabuľku zhody k smernici (EÚ) 2022/362 spravilo neprehľadnou. § 113 ods. 15 zákona č. 8/2009 Z. z. uvádzaný v plnom znení. Dátum preklasifikovania sa aj v nadväznosti na zásadnú pripomienku MV SR nebude transponovať, ide o nepovinný údaj. </w:t>
            </w: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transpozícií a tabuľke zhody so smernicou (EÚ) 2022/362:</w:t>
            </w:r>
            <w:r>
              <w:rPr>
                <w:rFonts w:ascii="Times" w:hAnsi="Times" w:cs="Times"/>
                <w:sz w:val="25"/>
                <w:szCs w:val="25"/>
              </w:rPr>
              <w:br/>
              <w:t>31. Transpozíciu čl. 4 smernice (EÚ) 2022/362 žiadame v tabuľke zhody preukazovať aj prostredníctvom § 37 zákona č. 474/2013 Z. z., § 145 zákona č. 8/2009 Z. z. a § 6 návrhu nariadenia vlády, ktoré bolo predložené ako vykonávací právny predpis.</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transpozícií a tabuľke zhody so smernicou (EÚ) 2022/362:</w:t>
            </w:r>
            <w:r>
              <w:rPr>
                <w:rFonts w:ascii="Times" w:hAnsi="Times" w:cs="Times"/>
                <w:sz w:val="25"/>
                <w:szCs w:val="25"/>
              </w:rPr>
              <w:br/>
              <w:t>32. V predloženej tabuľke zhody žiadame uvádzať všetky prílohy smernice (EÚ) 2022/362 a preukázať ich transpozíciu do slovenského právneho poriadku. V opačnom prípade nebude možné považovať transpozíciu smernice za úplnú.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sz w:val="25"/>
                <w:szCs w:val="25"/>
              </w:rPr>
              <w:t>Uvádzať celé znenie Prílohy I, ktorej súčasťou je aj tabuľka, by samotnú tabuľku zhody k smernici EÚ) 2022/362 spravilo neprehľadnou. Máme za to, že na tabuľku zhody je potrebné nazerať spolu so súvisiacimi materiálmi, najmä návrhom nariadenia vlády.</w:t>
            </w: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4. V bode 4 písm. c) doložky zlučiteľnosti žiadame uviesť informáciu o vnútroštátnych právnych predpisoch, do ktorých bola transponovaná smernica 1999/62/ES v platnom znení a smernica (EÚ) 2019/520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sprievodným dokumentom:</w:t>
            </w:r>
            <w:r>
              <w:rPr>
                <w:rFonts w:ascii="Times" w:hAnsi="Times" w:cs="Times"/>
                <w:sz w:val="25"/>
                <w:szCs w:val="25"/>
              </w:rPr>
              <w:br/>
              <w:t>4. V odôvodnení k Čl. II bodu 1 v rámci osobitnej časti dôvodovej správy žiadame slová „k smernici Európskeho parlamentu a Rady (EÚ) 2022/362“ nahradiť slovami „smernice (EÚ) 2019/520 v znení čl. 3 smernice (EÚ) 2022/362“.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transpozícií a tabuľke zhody so smernicou (EÚ) 2022/362:</w:t>
            </w:r>
            <w:r>
              <w:rPr>
                <w:rFonts w:ascii="Times" w:hAnsi="Times" w:cs="Times"/>
                <w:sz w:val="25"/>
                <w:szCs w:val="25"/>
              </w:rPr>
              <w:br/>
              <w:t>4. Žiadame preukázať transpozíciu čl. 2 ods. 1 bodu 4 a 5 smernice 1999/62/ES v znení čl. 1 ods. 2 smernice (EÚ) 2022/362 do slovenského právneho poriadku. Uvádzané transpozičné opatrenia nie sú na preukázanie úplnej transpozície dostatočné.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5. Názov nariadenia vlády uvádzaný v piatom bode doložky zlučiteľnosti žiadame zosúladiť s názvom nariadenia vlády, ktorého tézy boli predložené do medzirezortného pripomienkového konania ako návrh vykonávacieho právneho predpisu.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sprievodným dokumentom:</w:t>
            </w:r>
            <w:r>
              <w:rPr>
                <w:rFonts w:ascii="Times" w:hAnsi="Times" w:cs="Times"/>
                <w:sz w:val="25"/>
                <w:szCs w:val="25"/>
              </w:rPr>
              <w:br/>
              <w:t>5. V odôvodnení k Čl. IV v rámci osobitnej časti dôvodovej správy žiadame slová „s bodom 21 (čl. 11) smernice Európskeho parlamentu a Rady (EÚ) 2022/362“ nahradiť slovami „s čl. 1 bodom 21 smernice (EÚ) 2022/362, v ktorom dochádza k nahradeniu čl. 11 smernice 1999/62/ES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transpozícií a tabuľke zhody so smernicou (EÚ) 2022/362:</w:t>
            </w:r>
            <w:r>
              <w:rPr>
                <w:rFonts w:ascii="Times" w:hAnsi="Times" w:cs="Times"/>
                <w:sz w:val="25"/>
                <w:szCs w:val="25"/>
              </w:rPr>
              <w:br/>
              <w:t>5. Žiadame preukázať transpozíciu čl. 2 ods. 1 bodov 19 až 22 a bodov 24 až 27 smernice 1999/62/ES v znení čl. 1 ods. 22 smernice (EÚ) 2022/362 do slovenského právneho poriadku. Uvádzané transpozičné opatrenia nie sú na preukázanie úplnej transpozície dostatočné. V opačnom prípade žiadame vysvetlenie, prečo k transpozícií nedochádza, uvádzať v ôsmom stĺpci tabuľky zhody.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transpozícií a tabuľke zhody so smernicou (EÚ) 2022/362:</w:t>
            </w:r>
            <w:r>
              <w:rPr>
                <w:rFonts w:ascii="Times" w:hAnsi="Times" w:cs="Times"/>
                <w:sz w:val="25"/>
                <w:szCs w:val="25"/>
              </w:rPr>
              <w:br/>
              <w:t>6. Pri preukazovaní transpozície čl. 2 ods. 1 bodu 28 smernice 1999/62/ES v znení čl. 1 ods. 2 smernice (EÚ) 2022/362 žiadame v šiestom stĺpci tabuľky zhody ako transpozičné opatrenie uvádzať konsolidované znenie § 9 ods. 2 úvodnú vetu a písm. c) zákona č. 474/2013 Z. z. v znení navrhovanom v Čl. I bode 5 predkladaného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sprievodným dokumentom:</w:t>
            </w:r>
            <w:r>
              <w:rPr>
                <w:rFonts w:ascii="Times" w:hAnsi="Times" w:cs="Times"/>
                <w:sz w:val="25"/>
                <w:szCs w:val="25"/>
              </w:rPr>
              <w:br/>
              <w:t>6. Za názvom smernice (EÚ) 2022/362 v prvom bode doložky vybraných vplyvov žiadame uvádzať publikačný zdroj smernice nasledovne: „(Ú. v. EÚ L 69, 4.3.2022)“.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sprievodným dokumentom:</w:t>
            </w:r>
            <w:r>
              <w:rPr>
                <w:rFonts w:ascii="Times" w:hAnsi="Times" w:cs="Times"/>
                <w:sz w:val="25"/>
                <w:szCs w:val="25"/>
              </w:rPr>
              <w:br/>
              <w:t>7. V siedmom bode doložky vybraných vplyvov žiadame v súlade s čl. 20 ods. 4 Legislatívnych pravidiel vlády Slovenskej republiky v platnom znení uviesť a osobitne zhodnotiť jednotlivé prípady goldplatingu na základe tabuľky zhody so smernicou (EÚ) 2022/362.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transpozícií a tabuľke zhody so smernicou (EÚ) 2022/362:</w:t>
            </w:r>
            <w:r>
              <w:rPr>
                <w:rFonts w:ascii="Times" w:hAnsi="Times" w:cs="Times"/>
                <w:sz w:val="25"/>
                <w:szCs w:val="25"/>
              </w:rPr>
              <w:br/>
              <w:t>7. Žiadame preukázať transpozíciu čl. 2 ods. 1 bodu 33 smernice 1999/62/ES v znení čl. 1 ods. 2 smernice (EÚ) 2022/362 do slovenského právneho poriadku. Uvádzané transpozičné opatrenia nie sú na preukázanie úplnej transpozície dostatočné.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sprievodným dokumentom:</w:t>
            </w:r>
            <w:r>
              <w:rPr>
                <w:rFonts w:ascii="Times" w:hAnsi="Times" w:cs="Times"/>
                <w:sz w:val="25"/>
                <w:szCs w:val="25"/>
              </w:rPr>
              <w:br/>
              <w:t>8. Názov smernice 1999/62/ES v platnom znení uvádzaný v dvanástom bode doložky vybraných vplyvov žiadame uvádzať spolu so slovami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transpozícií a tabuľke zhody so smernicou (EÚ) 2022/362:</w:t>
            </w:r>
            <w:r>
              <w:rPr>
                <w:rFonts w:ascii="Times" w:hAnsi="Times" w:cs="Times"/>
                <w:sz w:val="25"/>
                <w:szCs w:val="25"/>
              </w:rPr>
              <w:br/>
              <w:t>8. Žiadame v celej predkladanej tabuľke zhody so smernicou (EÚ) 2022/362 uvádzať v deviatom stĺpci skratku „GP-N“ v prípade, ak nedochádza navrhovanou vnútroštátnou právnou úpravou ku goldplatingu. Túto pripomienku vzťahujeme napr. na preukazovanie transpozície čl. 1 ods. 3 smernice (EÚ) 2022/362 (čl. 7 a 7a smernice 1999/62/ES v platnom znení) a na preukazovanie transpozície čl. 1 ods. 11 smernice (EÚ) 2022/362 (čl. 7ga a 7gb smernice 1999/62/ES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transpozícií a tabuľke zhody so smernicou (EÚ) 2022/362:</w:t>
            </w:r>
            <w:r>
              <w:rPr>
                <w:rFonts w:ascii="Times" w:hAnsi="Times" w:cs="Times"/>
                <w:sz w:val="25"/>
                <w:szCs w:val="25"/>
              </w:rPr>
              <w:br/>
              <w:t>9. Pri preukazovaní transpozície čl. 7 ods. 9 smernice 1999/62/ES v znení čl. 1 ods. 3 smernice (EÚ) 2022/362 žiadame v šiestom stĺpci tabuľky zhody ako transpozičné opatrenie uvádzať aj § 7 písm. a) až f) zákona č. 488/2013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sz w:val="25"/>
                <w:szCs w:val="25"/>
              </w:rPr>
              <w:t>Okruh vozidiel uvedených v čl. 7 ods. 9 smernice 1999/62/ES v znení čl. 1 ods. 3 smernice (EÚ) 2022/362 nezodpovedá okruhu vozidiel uvedených v § 7 písm. a) až f) zákona č. 488/2013 Z. z.</w:t>
            </w: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K transpozičným záväzkom Slovenskej republiky:</w:t>
            </w:r>
            <w:r>
              <w:rPr>
                <w:rFonts w:ascii="Times" w:hAnsi="Times" w:cs="Times"/>
                <w:sz w:val="25"/>
                <w:szCs w:val="25"/>
              </w:rPr>
              <w:br/>
              <w:t>Upozorňujeme, že predkladaným návrhom zákona dochádza v Čl. I k zásahom do transpozičných opatrení smernice Európskeho parlamentu a Rady (EÚ) 2019/520 z 19. marca 2019 o interoperabilite elektronických cestných mýtnych systémov a uľahčení cezhraničnej výmeny informácií o neuhradenom cestnom mýte v Únii (prepracované znenie) v platnom znení. V súlade s čl. 17 ods. 1 písm. h) Legislatívnych pravidiel vlády Slovenskej republiky v platnom znení žiadame do ďalšieho štádia legislatívneho procesu k predkladanému návrhu zákona predložiť čiastkovú tabuľku zhody na účely posúdenia zachovania úplnej transpozície nasledovných ustanovení smernice (EÚ) 2019/520 v planom znení: - Čl. 2 bodov 15 a 17, ako aj čl. 8 smernice (EÚ) 2019/520 v planom znení, ktoré boli transponované do § 4 ods. 2 zákona č. 474/2013 Z. z. v znení neskorších predpisov, k novelizácii ktorého dochádza v Čl. I bode 1 predkladaného návrhu; - Čl. 6 ods. 5 smernice (EÚ) 2019/520 v planom znení, ktorý bol transponovaný do § 35 ods. 1 zákona č. 474/2013 Z. z. v znení neskorších predpisov, k nahradeniu ktorého dochádza v Čl. I bode 13 predkladaného návrhu; a - Čl. 6 ods. 7 smernice (EÚ) 2019/520 v planom znení, ktorý bol transponovaný do § 6 ods. 5 zákona č. 474/2013 Z. z. v znení neskorších predpisov, k vypusteniu ktorého dochádza v Čl. I bodoch 3 a 4 predkladaného návrhu.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p>
        </w:tc>
      </w:tr>
      <w:tr w:rsidR="00D97870">
        <w:trPr>
          <w:divId w:val="69011230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b/>
                <w:bCs/>
                <w:sz w:val="25"/>
                <w:szCs w:val="25"/>
              </w:rPr>
            </w:pPr>
            <w:r>
              <w:rPr>
                <w:rFonts w:ascii="Times" w:hAnsi="Times" w:cs="Times"/>
                <w:b/>
                <w:bCs/>
                <w:sz w:val="25"/>
                <w:szCs w:val="25"/>
              </w:rPr>
              <w:t>ÚNMSSR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b/>
                <w:bCs/>
                <w:sz w:val="25"/>
                <w:szCs w:val="25"/>
              </w:rPr>
              <w:t>nad rámec materiálu v MPK</w:t>
            </w:r>
            <w:r>
              <w:rPr>
                <w:rFonts w:ascii="Times" w:hAnsi="Times" w:cs="Times"/>
                <w:sz w:val="25"/>
                <w:szCs w:val="25"/>
              </w:rPr>
              <w:br/>
              <w:t>ÚNMS SR uplatňuje obyčajnú pripomienku nad rámec materiálu v MPK k zákonu č. 474/2013 Z. z. V poznámke pod čiarou k odkazu 27 odporúčame doplniť za názov slovenskej technickej normy triediaci znak v zátvorke „(01 0320)“, čiže odporúčame upraviť poznámku pod čiarou k odkazu 27 nasledovne: „Napríklad podľa STN EN ISO 9001 Systémy manažérstva kvality. Požiadavky (ISO 9001) (01 0320)“. Odôvodnenie: Dosiahnutie súladu s Legislatívnymi pravidlami vlády SR pri uvádzaní odkazov na technické normy.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870" w:rsidRDefault="00D97870">
            <w:pPr>
              <w:rPr>
                <w:rFonts w:ascii="Times" w:hAnsi="Times" w:cs="Times"/>
                <w:sz w:val="25"/>
                <w:szCs w:val="25"/>
              </w:rPr>
            </w:pPr>
            <w:r>
              <w:rPr>
                <w:rFonts w:ascii="Times" w:hAnsi="Times" w:cs="Times"/>
                <w:sz w:val="25"/>
                <w:szCs w:val="25"/>
              </w:rPr>
              <w:t xml:space="preserve">Pripomienka smeruje nad rámec prekladanej právnej úpravy. Poznámky pod čiarou nemajú normatívny charakter. </w:t>
            </w: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67E" w:rsidRDefault="00B8767E" w:rsidP="000A67D5">
      <w:pPr>
        <w:spacing w:after="0" w:line="240" w:lineRule="auto"/>
      </w:pPr>
      <w:r>
        <w:separator/>
      </w:r>
    </w:p>
  </w:endnote>
  <w:endnote w:type="continuationSeparator" w:id="0">
    <w:p w:rsidR="00B8767E" w:rsidRDefault="00B8767E"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67E" w:rsidRDefault="00B8767E" w:rsidP="000A67D5">
      <w:pPr>
        <w:spacing w:after="0" w:line="240" w:lineRule="auto"/>
      </w:pPr>
      <w:r>
        <w:separator/>
      </w:r>
    </w:p>
  </w:footnote>
  <w:footnote w:type="continuationSeparator" w:id="0">
    <w:p w:rsidR="00B8767E" w:rsidRDefault="00B8767E"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36C44"/>
    <w:rsid w:val="00474A9D"/>
    <w:rsid w:val="00532574"/>
    <w:rsid w:val="0059081C"/>
    <w:rsid w:val="005E7C53"/>
    <w:rsid w:val="00642FB8"/>
    <w:rsid w:val="006A3681"/>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B721A5"/>
    <w:rsid w:val="00B76589"/>
    <w:rsid w:val="00B8767E"/>
    <w:rsid w:val="00BD1FAB"/>
    <w:rsid w:val="00BE7302"/>
    <w:rsid w:val="00BF7CE0"/>
    <w:rsid w:val="00CA44D2"/>
    <w:rsid w:val="00CE47A6"/>
    <w:rsid w:val="00CF3D59"/>
    <w:rsid w:val="00D261C9"/>
    <w:rsid w:val="00D85172"/>
    <w:rsid w:val="00D969AC"/>
    <w:rsid w:val="00D97870"/>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12749">
      <w:bodyDiv w:val="1"/>
      <w:marLeft w:val="0"/>
      <w:marRight w:val="0"/>
      <w:marTop w:val="0"/>
      <w:marBottom w:val="0"/>
      <w:divBdr>
        <w:top w:val="none" w:sz="0" w:space="0" w:color="auto"/>
        <w:left w:val="none" w:sz="0" w:space="0" w:color="auto"/>
        <w:bottom w:val="none" w:sz="0" w:space="0" w:color="auto"/>
        <w:right w:val="none" w:sz="0" w:space="0" w:color="auto"/>
      </w:divBdr>
    </w:div>
    <w:div w:id="690112308">
      <w:bodyDiv w:val="1"/>
      <w:marLeft w:val="0"/>
      <w:marRight w:val="0"/>
      <w:marTop w:val="0"/>
      <w:marBottom w:val="0"/>
      <w:divBdr>
        <w:top w:val="none" w:sz="0" w:space="0" w:color="auto"/>
        <w:left w:val="none" w:sz="0" w:space="0" w:color="auto"/>
        <w:bottom w:val="none" w:sz="0" w:space="0" w:color="auto"/>
        <w:right w:val="none" w:sz="0" w:space="0" w:color="auto"/>
      </w:divBdr>
    </w:div>
    <w:div w:id="946543023">
      <w:bodyDiv w:val="1"/>
      <w:marLeft w:val="0"/>
      <w:marRight w:val="0"/>
      <w:marTop w:val="0"/>
      <w:marBottom w:val="0"/>
      <w:divBdr>
        <w:top w:val="none" w:sz="0" w:space="0" w:color="auto"/>
        <w:left w:val="none" w:sz="0" w:space="0" w:color="auto"/>
        <w:bottom w:val="none" w:sz="0" w:space="0" w:color="auto"/>
        <w:right w:val="none" w:sz="0" w:space="0" w:color="auto"/>
      </w:divBdr>
    </w:div>
    <w:div w:id="1307004054">
      <w:bodyDiv w:val="1"/>
      <w:marLeft w:val="0"/>
      <w:marRight w:val="0"/>
      <w:marTop w:val="0"/>
      <w:marBottom w:val="0"/>
      <w:divBdr>
        <w:top w:val="none" w:sz="0" w:space="0" w:color="auto"/>
        <w:left w:val="none" w:sz="0" w:space="0" w:color="auto"/>
        <w:bottom w:val="none" w:sz="0" w:space="0" w:color="auto"/>
        <w:right w:val="none" w:sz="0" w:space="0" w:color="auto"/>
      </w:divBdr>
    </w:div>
    <w:div w:id="1309700466">
      <w:bodyDiv w:val="1"/>
      <w:marLeft w:val="0"/>
      <w:marRight w:val="0"/>
      <w:marTop w:val="0"/>
      <w:marBottom w:val="0"/>
      <w:divBdr>
        <w:top w:val="none" w:sz="0" w:space="0" w:color="auto"/>
        <w:left w:val="none" w:sz="0" w:space="0" w:color="auto"/>
        <w:bottom w:val="none" w:sz="0" w:space="0" w:color="auto"/>
        <w:right w:val="none" w:sz="0" w:space="0" w:color="auto"/>
      </w:divBdr>
    </w:div>
    <w:div w:id="1357778405">
      <w:bodyDiv w:val="1"/>
      <w:marLeft w:val="0"/>
      <w:marRight w:val="0"/>
      <w:marTop w:val="0"/>
      <w:marBottom w:val="0"/>
      <w:divBdr>
        <w:top w:val="none" w:sz="0" w:space="0" w:color="auto"/>
        <w:left w:val="none" w:sz="0" w:space="0" w:color="auto"/>
        <w:bottom w:val="none" w:sz="0" w:space="0" w:color="auto"/>
        <w:right w:val="none" w:sz="0" w:space="0" w:color="auto"/>
      </w:divBdr>
    </w:div>
    <w:div w:id="1780220289">
      <w:bodyDiv w:val="1"/>
      <w:marLeft w:val="0"/>
      <w:marRight w:val="0"/>
      <w:marTop w:val="0"/>
      <w:marBottom w:val="0"/>
      <w:divBdr>
        <w:top w:val="none" w:sz="0" w:space="0" w:color="auto"/>
        <w:left w:val="none" w:sz="0" w:space="0" w:color="auto"/>
        <w:bottom w:val="none" w:sz="0" w:space="0" w:color="auto"/>
        <w:right w:val="none" w:sz="0" w:space="0" w:color="auto"/>
      </w:divBdr>
    </w:div>
    <w:div w:id="187970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5.8.2024 10:45:31"/>
    <f:field ref="objchangedby" par="" text="Administrator, System"/>
    <f:field ref="objmodifiedat" par="" text="15.8.2024 10:45:44"/>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8722</Words>
  <Characters>49717</Characters>
  <Application>Microsoft Office Word</Application>
  <DocSecurity>4</DocSecurity>
  <Lines>414</Lines>
  <Paragraphs>116</Paragraphs>
  <ScaleCrop>false</ScaleCrop>
  <Company/>
  <LinksUpToDate>false</LinksUpToDate>
  <CharactersWithSpaces>58323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2024-08-15T08:45:00Z</dcterms:created>
  <dcterms:modified xsi:type="dcterms:W3CDTF">2024-08-15T08:45:00Z</dcterms:modified>
</cp:coreProperties>
</file>

<file path=docProps/custom.xml><?xml version="1.0" encoding="utf-8"?>
<Properties xmlns="http://schemas.openxmlformats.org/officeDocument/2006/custom-properties" xmlns:vt="http://schemas.openxmlformats.org/officeDocument/2006/docPropsVTypes">
  <property name="FSC#SKEDITIONSLOVLEX@103.510:spravaucastverej" pid="2" fmtid="{D5CDD505-2E9C-101B-9397-08002B2CF9AE}">
    <vt:lpwstr/>
  </property>
  <property name="FSC#SKEDITIONSLOVLEX@103.510:typpredpis" pid="3" fmtid="{D5CDD505-2E9C-101B-9397-08002B2CF9AE}">
    <vt:lpwstr>Zákon</vt:lpwstr>
  </property>
  <property name="FSC#SKEDITIONSLOVLEX@103.510:cisloparlamenttlac" pid="4" fmtid="{D5CDD505-2E9C-101B-9397-08002B2CF9AE}">
    <vt:lpwstr/>
  </property>
  <property name="FSC#SKEDITIONSLOVLEX@103.510:stavpredpis" pid="5" fmtid="{D5CDD505-2E9C-101B-9397-08002B2CF9AE}">
    <vt:lpwstr>Vyhodnotenie medzirezortného pripomienkového konania</vt:lpwstr>
  </property>
  <property name="FSC#SKEDITIONSLOVLEX@103.510:povodpredpis" pid="6" fmtid="{D5CDD505-2E9C-101B-9397-08002B2CF9AE}">
    <vt:lpwstr>Slovlex (eLeg)</vt:lpwstr>
  </property>
  <property name="FSC#SKEDITIONSLOVLEX@103.510:legoblast" pid="7" fmtid="{D5CDD505-2E9C-101B-9397-08002B2CF9AE}">
    <vt:lpwstr>Pozemné komunikácie</vt:lpwstr>
  </property>
  <property name="FSC#SKEDITIONSLOVLEX@103.510:uzemplat" pid="8" fmtid="{D5CDD505-2E9C-101B-9397-08002B2CF9AE}">
    <vt:lpwstr/>
  </property>
  <property name="FSC#SKEDITIONSLOVLEX@103.510:vztahypredpis" pid="9" fmtid="{D5CDD505-2E9C-101B-9397-08002B2CF9AE}">
    <vt:lpwstr/>
  </property>
  <property name="FSC#SKEDITIONSLOVLEX@103.510:predkladatel" pid="10" fmtid="{D5CDD505-2E9C-101B-9397-08002B2CF9AE}">
    <vt:lpwstr>Peter Považan</vt:lpwstr>
  </property>
  <property name="FSC#SKEDITIONSLOVLEX@103.510:zodppredkladatel" pid="11" fmtid="{D5CDD505-2E9C-101B-9397-08002B2CF9AE}">
    <vt:lpwstr>JUDr. Jozef Ráž</vt:lpwstr>
  </property>
  <property name="FSC#SKEDITIONSLOVLEX@103.510:dalsipredkladatel" pid="12" fmtid="{D5CDD505-2E9C-101B-9397-08002B2CF9AE}">
    <vt:lpwstr/>
  </property>
  <property name="FSC#SKEDITIONSLOVLEX@103.510:nazovpredpis" pid="13" fmtid="{D5CDD505-2E9C-101B-9397-08002B2CF9AE}">
    <vt:lpwstr> ktorým sa mení a dopĺňa zákon č. 474/2013 Z. z. o výbere mýta za užívanie vymedzených úsekov pozemných komunikácií a o zmene a doplnení niektorých zákonov v znení neskorších predpisov a ktorým sa menia a dopĺňajú niektoré zákony </vt:lpwstr>
  </property>
  <property name="FSC#SKEDITIONSLOVLEX@103.510:nazovpredpis1" pid="14" fmtid="{D5CDD505-2E9C-101B-9397-08002B2CF9AE}">
    <vt:lpwstr/>
  </property>
  <property name="FSC#SKEDITIONSLOVLEX@103.510:nazovpredpis2" pid="15" fmtid="{D5CDD505-2E9C-101B-9397-08002B2CF9AE}">
    <vt:lpwstr/>
  </property>
  <property name="FSC#SKEDITIONSLOVLEX@103.510:nazovpredpis3" pid="16" fmtid="{D5CDD505-2E9C-101B-9397-08002B2CF9AE}">
    <vt:lpwstr/>
  </property>
  <property name="FSC#SKEDITIONSLOVLEX@103.510:cislopredpis" pid="17" fmtid="{D5CDD505-2E9C-101B-9397-08002B2CF9AE}">
    <vt:lpwstr/>
  </property>
  <property name="FSC#SKEDITIONSLOVLEX@103.510:zodpinstitucia" pid="18" fmtid="{D5CDD505-2E9C-101B-9397-08002B2CF9AE}">
    <vt:lpwstr>Ministerstvo dopravy Slovenskej republiky</vt:lpwstr>
  </property>
  <property name="FSC#SKEDITIONSLOVLEX@103.510:pripomienkovatelia" pid="19" fmtid="{D5CDD505-2E9C-101B-9397-08002B2CF9AE}">
    <vt:lpwstr/>
  </property>
  <property name="FSC#SKEDITIONSLOVLEX@103.510:autorpredpis" pid="20" fmtid="{D5CDD505-2E9C-101B-9397-08002B2CF9AE}">
    <vt:lpwstr/>
  </property>
  <property name="FSC#SKEDITIONSLOVLEX@103.510:podnetpredpis" pid="21" fmtid="{D5CDD505-2E9C-101B-9397-08002B2CF9AE}">
    <vt:lpwstr>úloha B.5. z uznesenia vlády SR _x000d__x000a_č. 609/2022_x000d__x000a_</vt:lpwstr>
  </property>
  <property name="FSC#SKEDITIONSLOVLEX@103.510:plnynazovpredpis" pid="22" fmtid="{D5CDD505-2E9C-101B-9397-08002B2CF9AE}">
    <vt:lpwstr> Zákon ktorým sa mení a dopĺňa zákon č. 474/2013 Z. z. o výbere mýta za užívanie vymedzených úsekov pozemných komunikácií a o zmene a doplnení niektorých zákonov v znení neskorších predpisov a ktorým sa menia a dopĺňajú niektoré zákony </vt:lpwstr>
  </property>
  <property name="FSC#SKEDITIONSLOVLEX@103.510:plnynazovpredpis1" pid="23" fmtid="{D5CDD505-2E9C-101B-9397-08002B2CF9AE}">
    <vt:lpwstr/>
  </property>
  <property name="FSC#SKEDITIONSLOVLEX@103.510:plnynazovpredpis2" pid="24" fmtid="{D5CDD505-2E9C-101B-9397-08002B2CF9AE}">
    <vt:lpwstr/>
  </property>
  <property name="FSC#SKEDITIONSLOVLEX@103.510:plnynazovpredpis3" pid="25" fmtid="{D5CDD505-2E9C-101B-9397-08002B2CF9AE}">
    <vt:lpwstr/>
  </property>
  <property name="FSC#SKEDITIONSLOVLEX@103.510:rezortcislopredpis" pid="26" fmtid="{D5CDD505-2E9C-101B-9397-08002B2CF9AE}">
    <vt:lpwstr>19849/2024/SCDPK/60925-M </vt:lpwstr>
  </property>
  <property name="FSC#SKEDITIONSLOVLEX@103.510:citaciapredpis" pid="27" fmtid="{D5CDD505-2E9C-101B-9397-08002B2CF9AE}">
    <vt:lpwstr/>
  </property>
  <property name="FSC#SKEDITIONSLOVLEX@103.510:spiscislouv" pid="28" fmtid="{D5CDD505-2E9C-101B-9397-08002B2CF9AE}">
    <vt:lpwstr/>
  </property>
  <property name="FSC#SKEDITIONSLOVLEX@103.510:datumschvalpredpis" pid="29" fmtid="{D5CDD505-2E9C-101B-9397-08002B2CF9AE}">
    <vt:lpwstr/>
  </property>
  <property name="FSC#SKEDITIONSLOVLEX@103.510:platneod" pid="30" fmtid="{D5CDD505-2E9C-101B-9397-08002B2CF9AE}">
    <vt:lpwstr/>
  </property>
  <property name="FSC#SKEDITIONSLOVLEX@103.510:platnedo" pid="31" fmtid="{D5CDD505-2E9C-101B-9397-08002B2CF9AE}">
    <vt:lpwstr/>
  </property>
  <property name="FSC#SKEDITIONSLOVLEX@103.510:ucinnostod" pid="32" fmtid="{D5CDD505-2E9C-101B-9397-08002B2CF9AE}">
    <vt:lpwstr/>
  </property>
  <property name="FSC#SKEDITIONSLOVLEX@103.510:ucinnostdo" pid="33" fmtid="{D5CDD505-2E9C-101B-9397-08002B2CF9AE}">
    <vt:lpwstr/>
  </property>
  <property name="FSC#SKEDITIONSLOVLEX@103.510:datumplatnosti" pid="34" fmtid="{D5CDD505-2E9C-101B-9397-08002B2CF9AE}">
    <vt:lpwstr/>
  </property>
  <property name="FSC#SKEDITIONSLOVLEX@103.510:cislolp" pid="35" fmtid="{D5CDD505-2E9C-101B-9397-08002B2CF9AE}">
    <vt:lpwstr>LP/2024/391</vt:lpwstr>
  </property>
  <property name="FSC#SKEDITIONSLOVLEX@103.510:typsprievdok" pid="36" fmtid="{D5CDD505-2E9C-101B-9397-08002B2CF9AE}">
    <vt:lpwstr>Vyhodnotenie medzirezortného pripomienkového konania</vt:lpwstr>
  </property>
  <property name="FSC#SKEDITIONSLOVLEX@103.510:cislopartlac" pid="37" fmtid="{D5CDD505-2E9C-101B-9397-08002B2CF9AE}">
    <vt:lpwstr/>
  </property>
  <property name="FSC#SKEDITIONSLOVLEX@103.510:AttrStrListDocPropUcelPredmetZmluvy" pid="38" fmtid="{D5CDD505-2E9C-101B-9397-08002B2CF9AE}">
    <vt:lpwstr/>
  </property>
  <property name="FSC#SKEDITIONSLOVLEX@103.510:AttrStrListDocPropUpravaPravFOPRO" pid="39" fmtid="{D5CDD505-2E9C-101B-9397-08002B2CF9AE}">
    <vt:lpwstr/>
  </property>
  <property name="FSC#SKEDITIONSLOVLEX@103.510:AttrStrListDocPropUpravaPredmetuZmluvy" pid="40" fmtid="{D5CDD505-2E9C-101B-9397-08002B2CF9AE}">
    <vt:lpwstr/>
  </property>
  <property name="FSC#SKEDITIONSLOVLEX@103.510:AttrStrListDocPropKategoriaZmluvy74" pid="41" fmtid="{D5CDD505-2E9C-101B-9397-08002B2CF9AE}">
    <vt:lpwstr/>
  </property>
  <property name="FSC#SKEDITIONSLOVLEX@103.510:AttrStrListDocPropKategoriaZmluvy75" pid="42" fmtid="{D5CDD505-2E9C-101B-9397-08002B2CF9AE}">
    <vt:lpwstr/>
  </property>
  <property name="FSC#SKEDITIONSLOVLEX@103.510:AttrStrListDocPropDopadyPrijatiaZmluvy" pid="43" fmtid="{D5CDD505-2E9C-101B-9397-08002B2CF9AE}">
    <vt:lpwstr/>
  </property>
  <property name="FSC#SKEDITIONSLOVLEX@103.510:AttrStrListDocPropProblematikaPPa" pid="44" fmtid="{D5CDD505-2E9C-101B-9397-08002B2CF9AE}">
    <vt:lpwstr/>
  </property>
  <property name="FSC#SKEDITIONSLOVLEX@103.510:AttrStrListDocPropPrimarnePravoEU" pid="45" fmtid="{D5CDD505-2E9C-101B-9397-08002B2CF9AE}">
    <vt:lpwstr/>
  </property>
  <property name="FSC#SKEDITIONSLOVLEX@103.510:AttrStrListDocPropSekundarneLegPravoPO" pid="46" fmtid="{D5CDD505-2E9C-101B-9397-08002B2CF9AE}">
    <vt:lpwstr/>
  </property>
  <property name="FSC#SKEDITIONSLOVLEX@103.510:AttrStrListDocPropSekundarneNelegPravoPO" pid="47" fmtid="{D5CDD505-2E9C-101B-9397-08002B2CF9AE}">
    <vt:lpwstr/>
  </property>
  <property name="FSC#SKEDITIONSLOVLEX@103.510:AttrStrListDocPropSekundarneLegPravoDO" pid="48" fmtid="{D5CDD505-2E9C-101B-9397-08002B2CF9AE}">
    <vt:lpwstr/>
  </property>
  <property name="FSC#SKEDITIONSLOVLEX@103.510:AttrStrListDocPropProblematikaPPb" pid="49" fmtid="{D5CDD505-2E9C-101B-9397-08002B2CF9AE}">
    <vt:lpwstr/>
  </property>
  <property name="FSC#SKEDITIONSLOVLEX@103.510:AttrStrListDocPropNazovPredpisuEU" pid="50" fmtid="{D5CDD505-2E9C-101B-9397-08002B2CF9AE}">
    <vt:lpwstr/>
  </property>
  <property name="FSC#SKEDITIONSLOVLEX@103.510:AttrStrListDocPropLehotaPrebratieSmernice" pid="51" fmtid="{D5CDD505-2E9C-101B-9397-08002B2CF9AE}">
    <vt:lpwstr/>
  </property>
  <property name="FSC#SKEDITIONSLOVLEX@103.510:AttrStrListDocPropLehotaNaPredlozenie" pid="52" fmtid="{D5CDD505-2E9C-101B-9397-08002B2CF9AE}">
    <vt:lpwstr/>
  </property>
  <property name="FSC#SKEDITIONSLOVLEX@103.510:AttrStrListDocPropInfoZaciatokKonania" pid="53" fmtid="{D5CDD505-2E9C-101B-9397-08002B2CF9AE}">
    <vt:lpwstr/>
  </property>
  <property name="FSC#SKEDITIONSLOVLEX@103.510:AttrStrListDocPropInfoUzPreberanePP" pid="54" fmtid="{D5CDD505-2E9C-101B-9397-08002B2CF9AE}">
    <vt:lpwstr/>
  </property>
  <property name="FSC#SKEDITIONSLOVLEX@103.510:AttrStrListDocPropStupenZlucitelnostiPP" pid="55" fmtid="{D5CDD505-2E9C-101B-9397-08002B2CF9AE}">
    <vt:lpwstr/>
  </property>
  <property name="FSC#SKEDITIONSLOVLEX@103.510:AttrStrListDocPropGestorSpolupRezorty" pid="56" fmtid="{D5CDD505-2E9C-101B-9397-08002B2CF9AE}">
    <vt:lpwstr/>
  </property>
  <property name="FSC#SKEDITIONSLOVLEX@103.510:AttrDateDocPropZaciatokPKK" pid="57" fmtid="{D5CDD505-2E9C-101B-9397-08002B2CF9AE}">
    <vt:lpwstr/>
  </property>
  <property name="FSC#SKEDITIONSLOVLEX@103.510:AttrDateDocPropUkonceniePKK" pid="58" fmtid="{D5CDD505-2E9C-101B-9397-08002B2CF9AE}">
    <vt:lpwstr/>
  </property>
  <property name="FSC#SKEDITIONSLOVLEX@103.510:AttrStrDocPropVplyvRozpocetVS" pid="59" fmtid="{D5CDD505-2E9C-101B-9397-08002B2CF9AE}">
    <vt:lpwstr/>
  </property>
  <property name="FSC#SKEDITIONSLOVLEX@103.510:AttrStrDocPropVplyvPodnikatelskeProstr" pid="60" fmtid="{D5CDD505-2E9C-101B-9397-08002B2CF9AE}">
    <vt:lpwstr/>
  </property>
  <property name="FSC#SKEDITIONSLOVLEX@103.510:AttrStrDocPropVplyvSocialny" pid="61" fmtid="{D5CDD505-2E9C-101B-9397-08002B2CF9AE}">
    <vt:lpwstr/>
  </property>
  <property name="FSC#SKEDITIONSLOVLEX@103.510:AttrStrDocPropVplyvNaZivotProstr" pid="62" fmtid="{D5CDD505-2E9C-101B-9397-08002B2CF9AE}">
    <vt:lpwstr/>
  </property>
  <property name="FSC#SKEDITIONSLOVLEX@103.510:AttrStrDocPropVplyvNaInformatizaciu" pid="63" fmtid="{D5CDD505-2E9C-101B-9397-08002B2CF9AE}">
    <vt:lpwstr/>
  </property>
  <property name="FSC#SKEDITIONSLOVLEX@103.510:AttrStrListDocPropPoznamkaVplyv" pid="64" fmtid="{D5CDD505-2E9C-101B-9397-08002B2CF9AE}">
    <vt:lpwstr/>
  </property>
  <property name="FSC#SKEDITIONSLOVLEX@103.510:AttrStrListDocPropAltRiesenia" pid="65" fmtid="{D5CDD505-2E9C-101B-9397-08002B2CF9AE}">
    <vt:lpwstr/>
  </property>
  <property name="FSC#SKEDITIONSLOVLEX@103.510:AttrStrListDocPropStanoviskoGest" pid="66" fmtid="{D5CDD505-2E9C-101B-9397-08002B2CF9AE}">
    <vt:lpwstr/>
  </property>
  <property name="FSC#SKEDITIONSLOVLEX@103.510:AttrStrListDocPropTextKomunike" pid="67" fmtid="{D5CDD505-2E9C-101B-9397-08002B2CF9AE}">
    <vt:lpwstr/>
  </property>
  <property name="FSC#SKEDITIONSLOVLEX@103.510:AttrStrListDocPropUznesenieCastA" pid="68" fmtid="{D5CDD505-2E9C-101B-9397-08002B2CF9AE}">
    <vt:lpwstr/>
  </property>
  <property name="FSC#SKEDITIONSLOVLEX@103.510:AttrStrListDocPropUznesenieZodpovednyA1" pid="69" fmtid="{D5CDD505-2E9C-101B-9397-08002B2CF9AE}">
    <vt:lpwstr/>
  </property>
  <property name="FSC#SKEDITIONSLOVLEX@103.510:AttrStrListDocPropUznesenieTextA1" pid="70" fmtid="{D5CDD505-2E9C-101B-9397-08002B2CF9AE}">
    <vt:lpwstr/>
  </property>
  <property name="FSC#SKEDITIONSLOVLEX@103.510:AttrStrListDocPropUznesenieTerminA1" pid="71" fmtid="{D5CDD505-2E9C-101B-9397-08002B2CF9AE}">
    <vt:lpwstr/>
  </property>
  <property name="FSC#SKEDITIONSLOVLEX@103.510:AttrStrListDocPropUznesenieBODA1" pid="72" fmtid="{D5CDD505-2E9C-101B-9397-08002B2CF9AE}">
    <vt:lpwstr/>
  </property>
  <property name="FSC#SKEDITIONSLOVLEX@103.510:AttrStrListDocPropUznesenieZodpovednyA2" pid="73" fmtid="{D5CDD505-2E9C-101B-9397-08002B2CF9AE}">
    <vt:lpwstr/>
  </property>
  <property name="FSC#SKEDITIONSLOVLEX@103.510:AttrStrListDocPropUznesenieTextA2" pid="74" fmtid="{D5CDD505-2E9C-101B-9397-08002B2CF9AE}">
    <vt:lpwstr/>
  </property>
  <property name="FSC#SKEDITIONSLOVLEX@103.510:AttrStrListDocPropUznesenieTerminA2" pid="75" fmtid="{D5CDD505-2E9C-101B-9397-08002B2CF9AE}">
    <vt:lpwstr/>
  </property>
  <property name="FSC#SKEDITIONSLOVLEX@103.510:AttrStrListDocPropUznesenieBODA3" pid="76" fmtid="{D5CDD505-2E9C-101B-9397-08002B2CF9AE}">
    <vt:lpwstr/>
  </property>
  <property name="FSC#SKEDITIONSLOVLEX@103.510:AttrStrListDocPropUznesenieZodpovednyA3" pid="77" fmtid="{D5CDD505-2E9C-101B-9397-08002B2CF9AE}">
    <vt:lpwstr/>
  </property>
  <property name="FSC#SKEDITIONSLOVLEX@103.510:AttrStrListDocPropUznesenieTextA3" pid="78" fmtid="{D5CDD505-2E9C-101B-9397-08002B2CF9AE}">
    <vt:lpwstr/>
  </property>
  <property name="FSC#SKEDITIONSLOVLEX@103.510:AttrStrListDocPropUznesenieTerminA3" pid="79" fmtid="{D5CDD505-2E9C-101B-9397-08002B2CF9AE}">
    <vt:lpwstr/>
  </property>
  <property name="FSC#SKEDITIONSLOVLEX@103.510:AttrStrListDocPropUznesenieBODA4" pid="80" fmtid="{D5CDD505-2E9C-101B-9397-08002B2CF9AE}">
    <vt:lpwstr/>
  </property>
  <property name="FSC#SKEDITIONSLOVLEX@103.510:AttrStrListDocPropUznesenieZodpovednyA4" pid="81" fmtid="{D5CDD505-2E9C-101B-9397-08002B2CF9AE}">
    <vt:lpwstr/>
  </property>
  <property name="FSC#SKEDITIONSLOVLEX@103.510:AttrStrListDocPropUznesenieTextA4" pid="82" fmtid="{D5CDD505-2E9C-101B-9397-08002B2CF9AE}">
    <vt:lpwstr/>
  </property>
  <property name="FSC#SKEDITIONSLOVLEX@103.510:AttrStrListDocPropUznesenieTerminA4" pid="83" fmtid="{D5CDD505-2E9C-101B-9397-08002B2CF9AE}">
    <vt:lpwstr/>
  </property>
  <property name="FSC#SKEDITIONSLOVLEX@103.510:AttrStrListDocPropUznesenieCastB" pid="84" fmtid="{D5CDD505-2E9C-101B-9397-08002B2CF9AE}">
    <vt:lpwstr/>
  </property>
  <property name="FSC#SKEDITIONSLOVLEX@103.510:AttrStrListDocPropUznesenieBODB1" pid="85" fmtid="{D5CDD505-2E9C-101B-9397-08002B2CF9AE}">
    <vt:lpwstr/>
  </property>
  <property name="FSC#SKEDITIONSLOVLEX@103.510:AttrStrListDocPropUznesenieZodpovednyB1" pid="86" fmtid="{D5CDD505-2E9C-101B-9397-08002B2CF9AE}">
    <vt:lpwstr/>
  </property>
  <property name="FSC#SKEDITIONSLOVLEX@103.510:AttrStrListDocPropUznesenieTextB1" pid="87" fmtid="{D5CDD505-2E9C-101B-9397-08002B2CF9AE}">
    <vt:lpwstr/>
  </property>
  <property name="FSC#SKEDITIONSLOVLEX@103.510:AttrStrListDocPropUznesenieTerminB1" pid="88" fmtid="{D5CDD505-2E9C-101B-9397-08002B2CF9AE}">
    <vt:lpwstr/>
  </property>
  <property name="FSC#SKEDITIONSLOVLEX@103.510:AttrStrListDocPropUznesenieBODB2" pid="89" fmtid="{D5CDD505-2E9C-101B-9397-08002B2CF9AE}">
    <vt:lpwstr/>
  </property>
  <property name="FSC#SKEDITIONSLOVLEX@103.510:AttrStrListDocPropUznesenieZodpovednyB2" pid="90" fmtid="{D5CDD505-2E9C-101B-9397-08002B2CF9AE}">
    <vt:lpwstr/>
  </property>
  <property name="FSC#SKEDITIONSLOVLEX@103.510:AttrStrListDocPropUznesenieTextB2" pid="91" fmtid="{D5CDD505-2E9C-101B-9397-08002B2CF9AE}">
    <vt:lpwstr/>
  </property>
  <property name="FSC#SKEDITIONSLOVLEX@103.510:AttrStrListDocPropUznesenieTerminB2" pid="92" fmtid="{D5CDD505-2E9C-101B-9397-08002B2CF9AE}">
    <vt:lpwstr/>
  </property>
  <property name="FSC#SKEDITIONSLOVLEX@103.510:AttrStrListDocPropUznesenieBODB3" pid="93" fmtid="{D5CDD505-2E9C-101B-9397-08002B2CF9AE}">
    <vt:lpwstr/>
  </property>
  <property name="FSC#SKEDITIONSLOVLEX@103.510:AttrStrListDocPropUznesenieZodpovednyB3" pid="94" fmtid="{D5CDD505-2E9C-101B-9397-08002B2CF9AE}">
    <vt:lpwstr/>
  </property>
  <property name="FSC#SKEDITIONSLOVLEX@103.510:AttrStrListDocPropUznesenieTextB3" pid="95" fmtid="{D5CDD505-2E9C-101B-9397-08002B2CF9AE}">
    <vt:lpwstr/>
  </property>
  <property name="FSC#SKEDITIONSLOVLEX@103.510:AttrStrListDocPropUznesenieTerminB3" pid="96" fmtid="{D5CDD505-2E9C-101B-9397-08002B2CF9AE}">
    <vt:lpwstr/>
  </property>
  <property name="FSC#SKEDITIONSLOVLEX@103.510:AttrStrListDocPropUznesenieBODB4" pid="97" fmtid="{D5CDD505-2E9C-101B-9397-08002B2CF9AE}">
    <vt:lpwstr/>
  </property>
  <property name="FSC#SKEDITIONSLOVLEX@103.510:AttrStrListDocPropUznesenieZodpovednyB4" pid="98" fmtid="{D5CDD505-2E9C-101B-9397-08002B2CF9AE}">
    <vt:lpwstr/>
  </property>
  <property name="FSC#SKEDITIONSLOVLEX@103.510:AttrStrListDocPropUznesenieTextB4" pid="99" fmtid="{D5CDD505-2E9C-101B-9397-08002B2CF9AE}">
    <vt:lpwstr/>
  </property>
  <property name="FSC#SKEDITIONSLOVLEX@103.510:AttrStrListDocPropUznesenieTerminB4" pid="100" fmtid="{D5CDD505-2E9C-101B-9397-08002B2CF9AE}">
    <vt:lpwstr/>
  </property>
  <property name="FSC#SKEDITIONSLOVLEX@103.510:AttrStrListDocPropUznesenieCastC" pid="101" fmtid="{D5CDD505-2E9C-101B-9397-08002B2CF9AE}">
    <vt:lpwstr/>
  </property>
  <property name="FSC#SKEDITIONSLOVLEX@103.510:AttrStrListDocPropUznesenieBODC1" pid="102" fmtid="{D5CDD505-2E9C-101B-9397-08002B2CF9AE}">
    <vt:lpwstr/>
  </property>
  <property name="FSC#SKEDITIONSLOVLEX@103.510:AttrStrListDocPropUznesenieZodpovednyC1" pid="103" fmtid="{D5CDD505-2E9C-101B-9397-08002B2CF9AE}">
    <vt:lpwstr/>
  </property>
  <property name="FSC#SKEDITIONSLOVLEX@103.510:AttrStrListDocPropUznesenieTextC1" pid="104" fmtid="{D5CDD505-2E9C-101B-9397-08002B2CF9AE}">
    <vt:lpwstr/>
  </property>
  <property name="FSC#SKEDITIONSLOVLEX@103.510:AttrStrListDocPropUznesenieTerminC1" pid="105" fmtid="{D5CDD505-2E9C-101B-9397-08002B2CF9AE}">
    <vt:lpwstr/>
  </property>
  <property name="FSC#SKEDITIONSLOVLEX@103.510:AttrStrListDocPropUznesenieBODC2" pid="106" fmtid="{D5CDD505-2E9C-101B-9397-08002B2CF9AE}">
    <vt:lpwstr/>
  </property>
  <property name="FSC#SKEDITIONSLOVLEX@103.510:AttrStrListDocPropUznesenieZodpovednyC2" pid="107" fmtid="{D5CDD505-2E9C-101B-9397-08002B2CF9AE}">
    <vt:lpwstr/>
  </property>
  <property name="FSC#SKEDITIONSLOVLEX@103.510:AttrStrListDocPropUznesenieTextC2" pid="108" fmtid="{D5CDD505-2E9C-101B-9397-08002B2CF9AE}">
    <vt:lpwstr/>
  </property>
  <property name="FSC#SKEDITIONSLOVLEX@103.510:AttrStrListDocPropUznesenieTerminC2" pid="109" fmtid="{D5CDD505-2E9C-101B-9397-08002B2CF9AE}">
    <vt:lpwstr/>
  </property>
  <property name="FSC#SKEDITIONSLOVLEX@103.510:AttrStrListDocPropUznesenieBODC3" pid="110" fmtid="{D5CDD505-2E9C-101B-9397-08002B2CF9AE}">
    <vt:lpwstr/>
  </property>
  <property name="FSC#SKEDITIONSLOVLEX@103.510:AttrStrListDocPropUznesenieZodpovednyC3" pid="111" fmtid="{D5CDD505-2E9C-101B-9397-08002B2CF9AE}">
    <vt:lpwstr/>
  </property>
  <property name="FSC#SKEDITIONSLOVLEX@103.510:AttrStrListDocPropUznesenieTextC3" pid="112" fmtid="{D5CDD505-2E9C-101B-9397-08002B2CF9AE}">
    <vt:lpwstr/>
  </property>
  <property name="FSC#SKEDITIONSLOVLEX@103.510:AttrStrListDocPropUznesenieTerminC3" pid="113" fmtid="{D5CDD505-2E9C-101B-9397-08002B2CF9AE}">
    <vt:lpwstr/>
  </property>
  <property name="FSC#SKEDITIONSLOVLEX@103.510:AttrStrListDocPropUznesenieBODC4" pid="114" fmtid="{D5CDD505-2E9C-101B-9397-08002B2CF9AE}">
    <vt:lpwstr/>
  </property>
  <property name="FSC#SKEDITIONSLOVLEX@103.510:AttrStrListDocPropUznesenieZodpovednyC4" pid="115" fmtid="{D5CDD505-2E9C-101B-9397-08002B2CF9AE}">
    <vt:lpwstr/>
  </property>
  <property name="FSC#SKEDITIONSLOVLEX@103.510:AttrStrListDocPropUznesenieTextC4" pid="116" fmtid="{D5CDD505-2E9C-101B-9397-08002B2CF9AE}">
    <vt:lpwstr/>
  </property>
  <property name="FSC#SKEDITIONSLOVLEX@103.510:AttrStrListDocPropUznesenieTerminC4" pid="117" fmtid="{D5CDD505-2E9C-101B-9397-08002B2CF9AE}">
    <vt:lpwstr/>
  </property>
  <property name="FSC#SKEDITIONSLOVLEX@103.510:AttrStrListDocPropUznesenieCastD" pid="118" fmtid="{D5CDD505-2E9C-101B-9397-08002B2CF9AE}">
    <vt:lpwstr/>
  </property>
  <property name="FSC#SKEDITIONSLOVLEX@103.510:AttrStrListDocPropUznesenieBODD1" pid="119" fmtid="{D5CDD505-2E9C-101B-9397-08002B2CF9AE}">
    <vt:lpwstr/>
  </property>
  <property name="FSC#SKEDITIONSLOVLEX@103.510:AttrStrListDocPropUznesenieZodpovednyD1" pid="120" fmtid="{D5CDD505-2E9C-101B-9397-08002B2CF9AE}">
    <vt:lpwstr/>
  </property>
  <property name="FSC#SKEDITIONSLOVLEX@103.510:AttrStrListDocPropUznesenieTextD1" pid="121" fmtid="{D5CDD505-2E9C-101B-9397-08002B2CF9AE}">
    <vt:lpwstr/>
  </property>
  <property name="FSC#SKEDITIONSLOVLEX@103.510:AttrStrListDocPropUznesenieTerminD1" pid="122" fmtid="{D5CDD505-2E9C-101B-9397-08002B2CF9AE}">
    <vt:lpwstr/>
  </property>
  <property name="FSC#SKEDITIONSLOVLEX@103.510:AttrStrListDocPropUznesenieBODD2" pid="123" fmtid="{D5CDD505-2E9C-101B-9397-08002B2CF9AE}">
    <vt:lpwstr/>
  </property>
  <property name="FSC#SKEDITIONSLOVLEX@103.510:AttrStrListDocPropUznesenieZodpovednyD2" pid="124" fmtid="{D5CDD505-2E9C-101B-9397-08002B2CF9AE}">
    <vt:lpwstr/>
  </property>
  <property name="FSC#SKEDITIONSLOVLEX@103.510:AttrStrListDocPropUznesenieTextD2" pid="125" fmtid="{D5CDD505-2E9C-101B-9397-08002B2CF9AE}">
    <vt:lpwstr/>
  </property>
  <property name="FSC#SKEDITIONSLOVLEX@103.510:AttrStrListDocPropUznesenieTerminD2" pid="126" fmtid="{D5CDD505-2E9C-101B-9397-08002B2CF9AE}">
    <vt:lpwstr/>
  </property>
  <property name="FSC#SKEDITIONSLOVLEX@103.510:AttrStrListDocPropUznesenieBODD3" pid="127" fmtid="{D5CDD505-2E9C-101B-9397-08002B2CF9AE}">
    <vt:lpwstr/>
  </property>
  <property name="FSC#SKEDITIONSLOVLEX@103.510:AttrStrListDocPropUznesenieZodpovednyD3" pid="128" fmtid="{D5CDD505-2E9C-101B-9397-08002B2CF9AE}">
    <vt:lpwstr/>
  </property>
  <property name="FSC#SKEDITIONSLOVLEX@103.510:AttrStrListDocPropUznesenieTextD3" pid="129" fmtid="{D5CDD505-2E9C-101B-9397-08002B2CF9AE}">
    <vt:lpwstr/>
  </property>
  <property name="FSC#SKEDITIONSLOVLEX@103.510:AttrStrListDocPropUznesenieTerminD3" pid="130" fmtid="{D5CDD505-2E9C-101B-9397-08002B2CF9AE}">
    <vt:lpwstr/>
  </property>
  <property name="FSC#SKEDITIONSLOVLEX@103.510:AttrStrListDocPropUznesenieBODD4" pid="131" fmtid="{D5CDD505-2E9C-101B-9397-08002B2CF9AE}">
    <vt:lpwstr/>
  </property>
  <property name="FSC#SKEDITIONSLOVLEX@103.510:AttrStrListDocPropUznesenieZodpovednyD4" pid="132" fmtid="{D5CDD505-2E9C-101B-9397-08002B2CF9AE}">
    <vt:lpwstr/>
  </property>
  <property name="FSC#SKEDITIONSLOVLEX@103.510:AttrStrListDocPropUznesenieTextD4" pid="133" fmtid="{D5CDD505-2E9C-101B-9397-08002B2CF9AE}">
    <vt:lpwstr/>
  </property>
  <property name="FSC#SKEDITIONSLOVLEX@103.510:AttrStrListDocPropUznesenieTerminD4" pid="134" fmtid="{D5CDD505-2E9C-101B-9397-08002B2CF9AE}">
    <vt:lpwstr/>
  </property>
  <property name="FSC#SKEDITIONSLOVLEX@103.510:AttrStrListDocPropUznesenieVykonaju" pid="135" fmtid="{D5CDD505-2E9C-101B-9397-08002B2CF9AE}">
    <vt:lpwstr>predseda vlády Slovenskej republiky_x000d__x000a_Minister dopravy Slovenskej republiky</vt:lpwstr>
  </property>
  <property name="FSC#SKEDITIONSLOVLEX@103.510:AttrStrListDocPropUznesenieNaVedomie" pid="136" fmtid="{D5CDD505-2E9C-101B-9397-08002B2CF9AE}">
    <vt:lpwstr>predseda Národnej rady Slovenskej republiky</vt:lpwstr>
  </property>
  <property name="FSC#SKEDITIONSLOVLEX@103.510:funkciaPred" pid="137" fmtid="{D5CDD505-2E9C-101B-9397-08002B2CF9AE}">
    <vt:lpwstr/>
  </property>
  <property name="FSC#SKEDITIONSLOVLEX@103.510:funkciaPredAkuzativ" pid="138" fmtid="{D5CDD505-2E9C-101B-9397-08002B2CF9AE}">
    <vt:lpwstr/>
  </property>
  <property name="FSC#SKEDITIONSLOVLEX@103.510:funkciaPredDativ" pid="139" fmtid="{D5CDD505-2E9C-101B-9397-08002B2CF9AE}">
    <vt:lpwstr/>
  </property>
  <property name="FSC#SKEDITIONSLOVLEX@103.510:funkciaZodpPred" pid="140" fmtid="{D5CDD505-2E9C-101B-9397-08002B2CF9AE}">
    <vt:lpwstr>Minister dopravy Slovenskej republiky</vt:lpwstr>
  </property>
  <property name="FSC#SKEDITIONSLOVLEX@103.510:funkciaZodpPredAkuzativ" pid="141" fmtid="{D5CDD505-2E9C-101B-9397-08002B2CF9AE}">
    <vt:lpwstr>Ministra dopravy Slovenskej republiky</vt:lpwstr>
  </property>
  <property name="FSC#SKEDITIONSLOVLEX@103.510:funkciaZodpPredDativ" pid="142" fmtid="{D5CDD505-2E9C-101B-9397-08002B2CF9AE}">
    <vt:lpwstr>Ministrovi dopravy Slovenskej republiky</vt:lpwstr>
  </property>
  <property name="FSC#SKEDITIONSLOVLEX@103.510:funkciaDalsiPred" pid="143" fmtid="{D5CDD505-2E9C-101B-9397-08002B2CF9AE}">
    <vt:lpwstr/>
  </property>
  <property name="FSC#SKEDITIONSLOVLEX@103.510:funkciaDalsiPredAkuzativ" pid="144" fmtid="{D5CDD505-2E9C-101B-9397-08002B2CF9AE}">
    <vt:lpwstr/>
  </property>
  <property name="FSC#SKEDITIONSLOVLEX@103.510:funkciaDalsiPredDativ" pid="145" fmtid="{D5CDD505-2E9C-101B-9397-08002B2CF9AE}">
    <vt:lpwstr/>
  </property>
  <property name="FSC#SKEDITIONSLOVLEX@103.510:predkladateliaObalSD" pid="146" fmtid="{D5CDD505-2E9C-101B-9397-08002B2CF9AE}">
    <vt:lpwstr>JUDr. Jozef Ráž_x000d__x000a_Minister dopravy Slovenskej republiky</vt:lpwstr>
  </property>
  <property name="FSC#SKEDITIONSLOVLEX@103.510:AttrStrListDocPropTextVseobPrilohy" pid="147" fmtid="{D5CDD505-2E9C-101B-9397-08002B2CF9AE}">
    <vt:lpwstr/>
  </property>
  <property name="FSC#SKEDITIONSLOVLEX@103.510:AttrStrListDocPropTextPredklSpravy" pid="148" fmtid="{D5CDD505-2E9C-101B-9397-08002B2CF9AE}">
    <vt:lpwstr/>
  </property>
  <property name="FSC#COOSYSTEM@1.1:Container" pid="149" fmtid="{D5CDD505-2E9C-101B-9397-08002B2CF9AE}">
    <vt:lpwstr>COO.2145.1000.3.6310661</vt:lpwstr>
  </property>
  <property name="FSC#FSCFOLIO@1.1001:docpropproject" pid="150" fmtid="{D5CDD505-2E9C-101B-9397-08002B2CF9AE}">
    <vt:lpwstr/>
  </property>
  <property name="FSC#SKEDITIONSLOVLEX@103.510:aktualnyrok" pid="151" fmtid="{D5CDD505-2E9C-101B-9397-08002B2CF9AE}">
    <vt:lpwstr>2024</vt:lpwstr>
  </property>
  <property name="FSC#SKEDITIONSLOVLEX@103.510:vytvorenedna" pid="152" fmtid="{D5CDD505-2E9C-101B-9397-08002B2CF9AE}">
    <vt:lpwstr>15. 8. 2024</vt:lpwstr>
  </property>
</Properties>
</file>